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92d6f8346bb84efb"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F2A43"/>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188B84"/>
          <w:sz w:val="23"/>
        </w:rPr>
        <w:t>OFRA prediction with an offline ETG evidence ledger</w:t>
      </w:r>
    </w:p>
    <w:p w14:paraId="00100004" w14:textId="00100005">
      <w:pPr>
        <w:spacing w:after="320"/>
        <w:jc w:val="center"/>
      </w:pPr>
      <w:r>
        <w:rPr>
          <w:rFonts w:ascii="Arial" w:hAnsi="Arial"/>
          <w:b/>
          <w:i w:val="0"/>
          <w:sz w:val="21"/>
        </w:rPr>
        <w:t>WU LIQIANG</w:t>
      </w:r>
    </w:p>
    <w:p w14:paraId="00100006" w14:textId="00100007">
      <w:pPr>
        <w:pStyle w:val="Heading1"/>
        <w:keepNext/>
      </w:pPr>
      <w:r>
        <w:t>Abstract</w:t>
      </w:r>
    </w:p>
    <w:p w14:paraId="00100008" w14:textId="0010011B">
      <w:pPr>
        <w:spacing w:before="0" w:after="100" w:line="259" w:lineRule="auto"/>
        <w:jc w:val="both"/>
      </w:pPr>
      <w:r>
        <w:rPr>
          <w:rFonts w:ascii="Arial" w:hAnsi="Arial"/>
          <w:b w:val="0"/>
          <w:i w:val="0"/>
          <w:sz w:val="20"/>
        </w:rPr>
        <w:t xml:space="preserve">Class-incremental network traffic classification requires a model to learn newly introduced classes without an oracle task identifier while retaining earlier decisions. This paper studies prediction, explanation stability, and post-hoc governance as linked but separately bounded layers. OFRA combines a shared FT-Transformer encoder, family-specific low-rank binary heads, bounded replay, and a DP-Means router. SHAP expected gradients explain the registered joint-cap class margin, and ETG records certification, refusal, escalation, and strict recertification outcomes without changing the underlying prediction. Four completed FT-Transformer seeds on MalayaNetwork_GT and NSL-KDD provide descriptive evidence. An additive TabM mean-embedding encoder comparison has now completed five Malaya seeds while preserving the existing OFRA heads, router, memory, and joint-score rule. Over the four seeds shared with FT-Transformer 512x12, TabM-OFRA raises joint-cap accuracy by 5.23 percentage points but changes Macro-F1 by only +0.15 points, balanced accuracy by -0.64 points, and forgetting by -0.01 points. A separate cumulative CatBoost diagnostic reaches 66.50% accuracy and 34.76% Macro-F1, indicating feature-level classification headroom, but it is not a matched OFRA arm. The completed Malaya seed-1 explanation analysis identifies 12 silent-drift events among 17 eligible class-by-adjacent-checkpoint transitions; ETG records six admissions, four refusals, four escalations, one strict recertification, and two recertification failures. The evidence supports an integrated offline audit pipeline, not an online feedback loop.</w:t>
      </w:r>
    </w:p>
    <w:p w14:paraId="0010019D" w14:textId="0010019E">
      <w:pPr>
        <w:pStyle w:val="Normal"/>
      </w:pPr>
      <w:r>
        <w:rPr/>
        <w:t xml:space="preserve">The cumulative CatBoost and TabM rows retrain on all seen-class training samples and therefore have more information than OFRA's bounded replay pipeline. They diagnose classification headroom but cannot isolate the effect of the encoder, family heads, router, or memory budget. The CatBoost 400-tree setting is exploratory because it followed a seed-1 sensitivity check; no confirmatory superiority claim is made.</w:t>
      </w:r>
    </w:p>
    <w:p w14:paraId="0010000A" w14:textId="0010000B">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14:paraId="0010000C" w14:textId="0010000D">
      <w:pPr>
        <w:pStyle w:val="Heading1"/>
        <w:keepNext/>
      </w:pPr>
      <w:r>
        <w:t>1. Introduction</w:t>
      </w:r>
    </w:p>
    <w:p w14:paraId="0010000E" w14:textId="0010000F">
      <w:pPr>
        <w:pStyle w:val="Heading2"/>
        <w:keepNext/>
      </w:pPr>
      <w:r>
        <w:t>1.1 Background and motivation</w:t>
      </w:r>
    </w:p>
    <w:p w14:paraId="00100010" w14:textId="00100011">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14:paraId="00100014" w14:textId="00100015">
      <w:pPr>
        <w:pStyle w:val="Heading2"/>
        <w:keepNext/>
      </w:pPr>
      <w:r>
        <w:t>1.2 Problem statement</w:t>
      </w:r>
    </w:p>
    <w:p w14:paraId="00100016" w14:textId="00100017">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t>1.3 Research questions and objectives</w:t>
      </w:r>
    </w:p>
    <w:p w14:paraId="0010001A" w14:textId="0010001B">
      <w:pPr>
        <w:spacing w:before="0" w:after="100" w:line="259" w:lineRule="auto"/>
        <w:jc w:val="both"/>
      </w:pPr>
      <w:r>
        <w:rPr>
          <w:rFonts w:ascii="Arial" w:hAnsi="Arial"/>
          <w:b/>
          <w:i w:val="0"/>
          <w:sz w:val="20"/>
        </w:rPr>
        <w:t>RQ1:</w:t>
      </w:r>
      <w:r>
        <w:rPr>
          <w:rFonts w:ascii="Arial" w:hAnsi="Arial"/>
          <w:b w:val="0"/>
          <w:i w:val="0"/>
          <w:sz w:val="20"/>
        </w:rPr>
        <w:t xml:space="preserve"> Under legitimate class-incremental model updates, how stable are the feature attributions supporting OFRA's registered routed decision when class-level predictive performance remains within a declared stability rule?</w:t>
      </w:r>
    </w:p>
    <w:p w14:paraId="0010001C" w14:textId="00100114">
      <w:pPr>
        <w:spacing w:before="0" w:after="100" w:line="259" w:lineRule="auto"/>
        <w:jc w:val="both"/>
      </w:pPr>
      <w:r>
        <w:rPr>
          <w:rFonts w:ascii="Arial" w:hAnsi="Arial"/>
          <w:b/>
          <w:i w:val="0"/>
          <w:sz w:val="20"/>
        </w:rPr>
        <w:t xml:space="preserve">RQ2: What accuracy, Macro-F1, balanced-accuracy, and forgetting trade-offs arise between registered OFRA decision arms, and what additional headroom is indicated by bounded classifier comparisons?</w:t>
      </w:r>
    </w:p>
    <w:p w14:paraId="0010001E" w14:textId="0010001F">
      <w:pPr>
        <w:spacing w:before="0" w:after="100" w:line="259" w:lineRule="auto"/>
        <w:jc w:val="both"/>
      </w:pPr>
      <w:r>
        <w:rPr>
          <w:rFonts w:ascii="Arial" w:hAnsi="Arial"/>
          <w:b/>
          <w:i w:val="0"/>
          <w:sz w:val="20"/>
        </w:rPr>
        <w:t>RQ3:</w:t>
      </w:r>
      <w:r>
        <w:rPr>
          <w:rFonts w:ascii="Arial" w:hAnsi="Arial"/>
          <w:b w:val="0"/>
          <w:i w:val="0"/>
          <w:sz w:val="20"/>
        </w:rPr>
        <w:t xml:space="preserve"> How can explanation evidence be certified, refused, escalated, and re-certified after prediction without suppressing the underlying network-classification alert?</w:t>
      </w:r>
    </w:p>
    <w:p w14:paraId="00100020" w14:textId="00100115">
      <w:pPr>
        <w:spacing w:before="0" w:after="100" w:line="259" w:lineRule="auto"/>
        <w:jc w:val="both"/>
      </w:pPr>
      <w:r>
        <w:rPr>
          <w:rFonts w:ascii="Arial" w:hAnsi="Arial"/>
          <w:b w:val="0"/>
          <w:i w:val="0"/>
          <w:sz w:val="20"/>
        </w:rPr>
        <w:t xml:space="preserve">RO1 is to implement a fixed-probe, adjacent-checkpoint protocol for the actual joint-cap class margin. RO2 is to compare registered OFRA decision arms and bounded encoder or classifier diagnostics without changing the primary method or mixing unmatched protocols. RO3 is to operate an offline ETG ledger whose state transitions and limitations are explicitly auditable.</w:t>
      </w:r>
    </w:p>
    <w:p w14:paraId="00100022" w14:textId="00100023">
      <w:pPr>
        <w:pStyle w:val="Heading1"/>
        <w:keepNext/>
      </w:pPr>
      <w:r>
        <w:t>2. Related Work</w:t>
      </w:r>
    </w:p>
    <w:p w14:paraId="00100024" w14:textId="00100025">
      <w:pPr>
        <w:pStyle w:val="Heading2"/>
        <w:keepNext/>
      </w:pPr>
      <w:r>
        <w:t>2.1 Continual learning and parameter-efficient adaptation</w:t>
      </w:r>
    </w:p>
    <w:p w14:paraId="00100026" w14:textId="0010011C">
      <w:pPr>
        <w:spacing w:before="0" w:after="100" w:line="259" w:lineRule="auto"/>
        <w:jc w:val="both"/>
      </w:pPr>
      <w:r>
        <w:rPr>
          <w:rFonts w:ascii="Arial" w:hAnsi="Arial"/>
          <w:b w:val="0"/>
          <w:i w:val="0"/>
          <w:sz w:val="20"/>
        </w:rPr>
        <w:t xml:space="preserve">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t>2.2 Explanation drift and IDS governance</w:t>
      </w:r>
    </w:p>
    <w:p w14:paraId="0010002A" w14:textId="0010002B">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spacing w:before="80" w:after="120"/>
        <w:jc w:val="center"/>
      </w:pPr>
      <w:r>
        <w:rPr>
          <w:rFonts w:ascii="Arial" w:hAnsi="Arial"/>
          <w:b w:val="0"/>
          <w:i/>
          <w:color w:val="5A646E"/>
          <w:sz w:val="17"/>
        </w:rPr>
        <w:t>Table 1.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c>
          <w:tcPr>
            <w:tcW w:w="1550" w:type="dxa"/>
            <w:shd w:val="clear" w:fill="EAF0F5"/>
            <w:tcMar>
              <w:top w:w="80" w:type="dxa"/>
              <w:start w:w="120" w:type="dxa"/>
              <w:bottom w:w="80" w:type="dxa"/>
              <w:end w:w="120" w:type="dxa"/>
            </w:tcMar>
            <w:vAlign w:val="center"/>
          </w:tcPr>
          <w:p w14:paraId="0010002E" w14:textId="0010002F">
            <w:pPr>
              <w:spacing w:after="0"/>
              <w:jc w:val="center"/>
            </w:pPr>
            <w:r>
              <w:rPr>
                <w:rFonts w:ascii="Arial" w:hAnsi="Arial"/>
                <w:b/>
                <w:i w:val="0"/>
                <w:color w:val="0F2A43"/>
                <w:sz w:val="15"/>
              </w:rPr>
              <w:t>Study</w:t>
            </w:r>
          </w:p>
        </w:tc>
        <w:tc>
          <w:tcPr>
            <w:tcW w:w="2250" w:type="dxa"/>
            <w:shd w:val="clear" w:fill="EAF0F5"/>
            <w:tcMar>
              <w:top w:w="80" w:type="dxa"/>
              <w:start w:w="120" w:type="dxa"/>
              <w:bottom w:w="80" w:type="dxa"/>
              <w:end w:w="120" w:type="dxa"/>
            </w:tcMar>
            <w:vAlign w:val="center"/>
          </w:tcPr>
          <w:p w14:paraId="00100030" w14:textId="00100031">
            <w:pPr>
              <w:spacing w:after="0"/>
              <w:jc w:val="center"/>
            </w:pPr>
            <w:r>
              <w:rPr>
                <w:rFonts w:ascii="Arial" w:hAnsi="Arial"/>
                <w:b/>
                <w:i w:val="0"/>
                <w:color w:val="0F2A43"/>
                <w:sz w:val="15"/>
              </w:rPr>
              <w:t>Drift or trust trigger</w:t>
            </w:r>
          </w:p>
        </w:tc>
        <w:tc>
          <w:tcPr>
            <w:tcW w:w="1800" w:type="dxa"/>
            <w:shd w:val="clear" w:fill="EAF0F5"/>
            <w:tcMar>
              <w:top w:w="80" w:type="dxa"/>
              <w:start w:w="120" w:type="dxa"/>
              <w:bottom w:w="80" w:type="dxa"/>
              <w:end w:w="120" w:type="dxa"/>
            </w:tcMar>
            <w:vAlign w:val="center"/>
          </w:tcPr>
          <w:p w14:paraId="00100032" w14:textId="00100033">
            <w:pPr>
              <w:spacing w:after="0"/>
              <w:jc w:val="center"/>
            </w:pPr>
            <w:r>
              <w:rPr>
                <w:rFonts w:ascii="Arial" w:hAnsi="Arial"/>
                <w:b/>
                <w:i w:val="0"/>
                <w:color w:val="0F2A43"/>
                <w:sz w:val="15"/>
              </w:rPr>
              <w:t>IDS setting</w:t>
            </w:r>
          </w:p>
        </w:tc>
        <w:tc>
          <w:tcPr>
            <w:tcW w:w="3760" w:type="dxa"/>
            <w:shd w:val="clear" w:fill="EAF0F5"/>
            <w:tcMar>
              <w:top w:w="80" w:type="dxa"/>
              <w:start w:w="120" w:type="dxa"/>
              <w:bottom w:w="80" w:type="dxa"/>
              <w:end w:w="120" w:type="dxa"/>
            </w:tcMar>
            <w:vAlign w:val="center"/>
          </w:tcPr>
          <w:p w14:paraId="00100034" w14:textId="00100035">
            <w:pPr>
              <w:spacing w:after="0"/>
              <w:jc w:val="center"/>
            </w:pPr>
            <w:r>
              <w:rPr>
                <w:rFonts w:ascii="Arial" w:hAnsi="Arial"/>
                <w:b/>
                <w:i w:val="0"/>
                <w:color w:val="0F2A43"/>
                <w:sz w:val="15"/>
              </w:rPr>
              <w:t>Gap relative to this work</w:t>
            </w:r>
          </w:p>
        </w:tc>
      </w:tr>
      <w:tr>
        <w:tc>
          <w:tcPr>
            <w:tcW w:w="1550" w:type="dxa"/>
            <w:tcMar>
              <w:top w:w="80" w:type="dxa"/>
              <w:start w:w="120" w:type="dxa"/>
              <w:bottom w:w="80" w:type="dxa"/>
              <w:end w:w="120" w:type="dxa"/>
            </w:tcMar>
            <w:vAlign w:val="center"/>
          </w:tcPr>
          <w:p w14:paraId="00100036" w14:textId="00100037">
            <w:pPr>
              <w:spacing w:after="0"/>
              <w:jc w:val="left"/>
            </w:pPr>
            <w:r>
              <w:rPr>
                <w:rFonts w:ascii="Arial" w:hAnsi="Arial"/>
                <w:b w:val="0"/>
                <w:i w:val="0"/>
                <w:sz w:val="15"/>
              </w:rPr>
              <w:t>E2D2 (2026)</w:t>
            </w:r>
          </w:p>
        </w:tc>
        <w:tc>
          <w:tcPr>
            <w:tcW w:w="2250" w:type="dxa"/>
            <w:tcMar>
              <w:top w:w="80" w:type="dxa"/>
              <w:start w:w="120" w:type="dxa"/>
              <w:bottom w:w="80" w:type="dxa"/>
              <w:end w:w="120" w:type="dxa"/>
            </w:tcMar>
            <w:vAlign w:val="center"/>
          </w:tcPr>
          <w:p w14:paraId="00100038" w14:textId="00100039">
            <w:pPr>
              <w:spacing w:after="0"/>
              <w:jc w:val="center"/>
            </w:pPr>
            <w:r>
              <w:rPr>
                <w:rFonts w:ascii="Arial" w:hAnsi="Arial"/>
                <w:b w:val="0"/>
                <w:i w:val="0"/>
                <w:sz w:val="15"/>
              </w:rPr>
              <w:t>Unsupervised explanation-based drift</w:t>
            </w:r>
          </w:p>
        </w:tc>
        <w:tc>
          <w:tcPr>
            <w:tcW w:w="1800" w:type="dxa"/>
            <w:tcMar>
              <w:top w:w="80" w:type="dxa"/>
              <w:start w:w="120" w:type="dxa"/>
              <w:bottom w:w="80" w:type="dxa"/>
              <w:end w:w="120" w:type="dxa"/>
            </w:tcMar>
            <w:vAlign w:val="center"/>
          </w:tcPr>
          <w:p w14:paraId="0010003A" w14:textId="0010003B">
            <w:pPr>
              <w:spacing w:after="0"/>
              <w:jc w:val="center"/>
            </w:pPr>
            <w:r>
              <w:rPr>
                <w:rFonts w:ascii="Arial" w:hAnsi="Arial"/>
                <w:b w:val="0"/>
                <w:i w:val="0"/>
                <w:sz w:val="15"/>
              </w:rPr>
              <w:t>Unsupervised NIDS</w:t>
            </w:r>
          </w:p>
        </w:tc>
        <w:tc>
          <w:tcPr>
            <w:tcW w:w="3760" w:type="dxa"/>
            <w:tcMar>
              <w:top w:w="80" w:type="dxa"/>
              <w:start w:w="120" w:type="dxa"/>
              <w:bottom w:w="80" w:type="dxa"/>
              <w:end w:w="120" w:type="dxa"/>
            </w:tcMar>
            <w:vAlign w:val="center"/>
          </w:tcPr>
          <w:p w14:paraId="0010003C" w14:textId="0010003D">
            <w:pPr>
              <w:spacing w:after="0"/>
              <w:jc w:val="center"/>
            </w:pPr>
            <w:r>
              <w:rPr>
                <w:rFonts w:ascii="Arial" w:hAnsi="Arial"/>
                <w:b w:val="0"/>
                <w:i w:val="0"/>
                <w:sz w:val="15"/>
              </w:rPr>
              <w:t>Not legitimate class-incremental model updates; no ETG action ledger</w:t>
            </w:r>
          </w:p>
        </w:tc>
      </w:tr>
      <w:tr>
        <w:tc>
          <w:tcPr>
            <w:tcW w:w="1550" w:type="dxa"/>
            <w:tcMar>
              <w:top w:w="80" w:type="dxa"/>
              <w:start w:w="120" w:type="dxa"/>
              <w:bottom w:w="80" w:type="dxa"/>
              <w:end w:w="120" w:type="dxa"/>
            </w:tcMar>
            <w:vAlign w:val="center"/>
          </w:tcPr>
          <w:p w14:paraId="0010003E" w14:textId="0010003F">
            <w:pPr>
              <w:spacing w:after="0"/>
              <w:jc w:val="left"/>
            </w:pPr>
            <w:r>
              <w:rPr>
                <w:rFonts w:ascii="Arial" w:hAnsi="Arial"/>
                <w:b w:val="0"/>
                <w:i w:val="0"/>
                <w:sz w:val="15"/>
              </w:rPr>
              <w:t>Maseno et al. (2026)</w:t>
            </w:r>
          </w:p>
        </w:tc>
        <w:tc>
          <w:tcPr>
            <w:tcW w:w="2250" w:type="dxa"/>
            <w:tcMar>
              <w:top w:w="80" w:type="dxa"/>
              <w:start w:w="120" w:type="dxa"/>
              <w:bottom w:w="80" w:type="dxa"/>
              <w:end w:w="120" w:type="dxa"/>
            </w:tcMar>
            <w:vAlign w:val="center"/>
          </w:tcPr>
          <w:p w14:paraId="00100040" w14:textId="00100041">
            <w:pPr>
              <w:spacing w:after="0"/>
              <w:jc w:val="center"/>
            </w:pPr>
            <w:r>
              <w:rPr>
                <w:rFonts w:ascii="Arial" w:hAnsi="Arial"/>
                <w:b w:val="0"/>
                <w:i w:val="0"/>
                <w:sz w:val="15"/>
              </w:rPr>
              <w:t>Adversarial SHAP instability</w:t>
            </w:r>
          </w:p>
        </w:tc>
        <w:tc>
          <w:tcPr>
            <w:tcW w:w="1800" w:type="dxa"/>
            <w:tcMar>
              <w:top w:w="80" w:type="dxa"/>
              <w:start w:w="120" w:type="dxa"/>
              <w:bottom w:w="80" w:type="dxa"/>
              <w:end w:w="120" w:type="dxa"/>
            </w:tcMar>
            <w:vAlign w:val="center"/>
          </w:tcPr>
          <w:p w14:paraId="00100042" w14:textId="00100043">
            <w:pPr>
              <w:spacing w:after="0"/>
              <w:jc w:val="center"/>
            </w:pPr>
            <w:r>
              <w:rPr>
                <w:rFonts w:ascii="Arial" w:hAnsi="Arial"/>
                <w:b w:val="0"/>
                <w:i w:val="0"/>
                <w:sz w:val="15"/>
              </w:rPr>
              <w:t>Recurrent multiclass IDS</w:t>
            </w:r>
          </w:p>
        </w:tc>
        <w:tc>
          <w:tcPr>
            <w:tcW w:w="3760" w:type="dxa"/>
            <w:tcMar>
              <w:top w:w="80" w:type="dxa"/>
              <w:start w:w="120" w:type="dxa"/>
              <w:bottom w:w="80" w:type="dxa"/>
              <w:end w:w="120" w:type="dxa"/>
            </w:tcMar>
            <w:vAlign w:val="center"/>
          </w:tcPr>
          <w:p w14:paraId="00100044" w14:textId="00100045">
            <w:pPr>
              <w:spacing w:after="0"/>
              <w:jc w:val="center"/>
            </w:pPr>
            <w:r>
              <w:rPr>
                <w:rFonts w:ascii="Arial" w:hAnsi="Arial"/>
                <w:b w:val="0"/>
                <w:i w:val="0"/>
                <w:sz w:val="15"/>
              </w:rPr>
              <w:t>Adversarial trigger, not benign learning increments; no non-suppressing governance</w:t>
            </w:r>
          </w:p>
        </w:tc>
      </w:tr>
      <w:tr>
        <w:tc>
          <w:tcPr>
            <w:tcW w:w="1550" w:type="dxa"/>
            <w:tcMar>
              <w:top w:w="80" w:type="dxa"/>
              <w:start w:w="120" w:type="dxa"/>
              <w:bottom w:w="80" w:type="dxa"/>
              <w:end w:w="120" w:type="dxa"/>
            </w:tcMar>
            <w:vAlign w:val="center"/>
          </w:tcPr>
          <w:p w14:paraId="00100046" w14:textId="00100047">
            <w:pPr>
              <w:spacing w:after="0"/>
              <w:jc w:val="left"/>
            </w:pPr>
            <w:r>
              <w:rPr>
                <w:rFonts w:ascii="Arial" w:hAnsi="Arial"/>
                <w:b w:val="0"/>
                <w:i w:val="0"/>
                <w:sz w:val="15"/>
              </w:rPr>
              <w:t>Goncalves and Alomari (2026)</w:t>
            </w:r>
          </w:p>
        </w:tc>
        <w:tc>
          <w:tcPr>
            <w:tcW w:w="2250" w:type="dxa"/>
            <w:tcMar>
              <w:top w:w="80" w:type="dxa"/>
              <w:start w:w="120" w:type="dxa"/>
              <w:bottom w:w="80" w:type="dxa"/>
              <w:end w:w="120" w:type="dxa"/>
            </w:tcMar>
            <w:vAlign w:val="center"/>
          </w:tcPr>
          <w:p w14:paraId="00100048" w14:textId="00100049">
            <w:pPr>
              <w:spacing w:after="0"/>
              <w:jc w:val="center"/>
            </w:pPr>
            <w:r>
              <w:rPr>
                <w:rFonts w:ascii="Arial" w:hAnsi="Arial"/>
                <w:b w:val="0"/>
                <w:i w:val="0"/>
                <w:sz w:val="15"/>
              </w:rPr>
              <w:t>Human interpretation of SHAP/LIME</w:t>
            </w:r>
          </w:p>
        </w:tc>
        <w:tc>
          <w:tcPr>
            <w:tcW w:w="1800" w:type="dxa"/>
            <w:tcMar>
              <w:top w:w="80" w:type="dxa"/>
              <w:start w:w="120" w:type="dxa"/>
              <w:bottom w:w="80" w:type="dxa"/>
              <w:end w:w="120" w:type="dxa"/>
            </w:tcMar>
            <w:vAlign w:val="center"/>
          </w:tcPr>
          <w:p w14:paraId="0010004A" w14:textId="0010004B">
            <w:pPr>
              <w:spacing w:after="0"/>
              <w:jc w:val="center"/>
            </w:pPr>
            <w:r>
              <w:rPr>
                <w:rFonts w:ascii="Arial" w:hAnsi="Arial"/>
                <w:b w:val="0"/>
                <w:i w:val="0"/>
                <w:sz w:val="15"/>
              </w:rPr>
              <w:t>AWS GuardDuty</w:t>
            </w:r>
          </w:p>
        </w:tc>
        <w:tc>
          <w:tcPr>
            <w:tcW w:w="3760" w:type="dxa"/>
            <w:tcMar>
              <w:top w:w="80" w:type="dxa"/>
              <w:start w:w="120" w:type="dxa"/>
              <w:bottom w:w="80" w:type="dxa"/>
              <w:end w:w="120" w:type="dxa"/>
            </w:tcMar>
            <w:vAlign w:val="center"/>
          </w:tcPr>
          <w:p w14:paraId="0010004C" w14:textId="0010004D">
            <w:pPr>
              <w:spacing w:after="0"/>
              <w:jc w:val="center"/>
            </w:pPr>
            <w:r>
              <w:rPr>
                <w:rFonts w:ascii="Arial" w:hAnsi="Arial"/>
                <w:b w:val="0"/>
                <w:i w:val="0"/>
                <w:sz w:val="15"/>
              </w:rPr>
              <w:t>User study rather than longitudinal routed-score stability</w:t>
            </w:r>
          </w:p>
        </w:tc>
      </w:tr>
      <w:tr>
        <w:tc>
          <w:tcPr>
            <w:tcW w:w="1550" w:type="dxa"/>
            <w:tcMar>
              <w:top w:w="80" w:type="dxa"/>
              <w:start w:w="120" w:type="dxa"/>
              <w:bottom w:w="80" w:type="dxa"/>
              <w:end w:w="120" w:type="dxa"/>
            </w:tcMar>
            <w:vAlign w:val="center"/>
          </w:tcPr>
          <w:p w14:paraId="0010004E" w14:textId="0010004F">
            <w:pPr>
              <w:spacing w:after="0"/>
              <w:jc w:val="left"/>
            </w:pPr>
            <w:r>
              <w:rPr>
                <w:rFonts w:ascii="Arial" w:hAnsi="Arial"/>
                <w:b w:val="0"/>
                <w:i w:val="0"/>
                <w:sz w:val="15"/>
              </w:rPr>
              <w:t>Adabara et al. (2025)</w:t>
            </w:r>
          </w:p>
        </w:tc>
        <w:tc>
          <w:tcPr>
            <w:tcW w:w="2250" w:type="dxa"/>
            <w:tcMar>
              <w:top w:w="80" w:type="dxa"/>
              <w:start w:w="120" w:type="dxa"/>
              <w:bottom w:w="80" w:type="dxa"/>
              <w:end w:w="120" w:type="dxa"/>
            </w:tcMar>
            <w:vAlign w:val="center"/>
          </w:tcPr>
          <w:p w14:paraId="00100050" w14:textId="00100051">
            <w:pPr>
              <w:spacing w:after="0"/>
              <w:jc w:val="center"/>
            </w:pPr>
            <w:r>
              <w:rPr>
                <w:rFonts w:ascii="Arial" w:hAnsi="Arial"/>
                <w:b w:val="0"/>
                <w:i w:val="0"/>
                <w:sz w:val="15"/>
              </w:rPr>
              <w:t>Calibration, uncertainty, and SHAP</w:t>
            </w:r>
          </w:p>
        </w:tc>
        <w:tc>
          <w:tcPr>
            <w:tcW w:w="1800" w:type="dxa"/>
            <w:tcMar>
              <w:top w:w="80" w:type="dxa"/>
              <w:start w:w="120" w:type="dxa"/>
              <w:bottom w:w="80" w:type="dxa"/>
              <w:end w:w="120" w:type="dxa"/>
            </w:tcMar>
            <w:vAlign w:val="center"/>
          </w:tcPr>
          <w:p w14:paraId="00100052" w14:textId="00100053">
            <w:pPr>
              <w:spacing w:after="0"/>
              <w:jc w:val="center"/>
            </w:pPr>
            <w:r>
              <w:rPr>
                <w:rFonts w:ascii="Arial" w:hAnsi="Arial"/>
                <w:b w:val="0"/>
                <w:i w:val="0"/>
                <w:sz w:val="15"/>
              </w:rPr>
              <w:t>CICIDS2017</w:t>
            </w:r>
          </w:p>
        </w:tc>
        <w:tc>
          <w:tcPr>
            <w:tcW w:w="3760" w:type="dxa"/>
            <w:tcMar>
              <w:top w:w="80" w:type="dxa"/>
              <w:start w:w="120" w:type="dxa"/>
              <w:bottom w:w="80" w:type="dxa"/>
              <w:end w:w="120" w:type="dxa"/>
            </w:tcMar>
            <w:vAlign w:val="center"/>
          </w:tcPr>
          <w:p w14:paraId="00100054" w14:textId="00100055">
            <w:pPr>
              <w:spacing w:after="0"/>
              <w:jc w:val="center"/>
            </w:pPr>
            <w:r>
              <w:rPr>
                <w:rFonts w:ascii="Arial" w:hAnsi="Arial"/>
                <w:b w:val="0"/>
                <w:i w:val="0"/>
                <w:sz w:val="15"/>
              </w:rPr>
              <w:t>No class-incremental sequence or explanation-state transition ledger</w:t>
            </w:r>
          </w:p>
        </w:tc>
      </w:tr>
    </w:tbl>
    <w:p w14:paraId="00100056" w14:textId="00100057">
      <w:pPr>
        <w:pStyle w:val="Heading2"/>
        <w:keepNext/>
      </w:pPr>
      <w:r>
        <w:t>2.3 Research gap</w:t>
      </w:r>
    </w:p>
    <w:p w14:paraId="00100058" w14:textId="00100059">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14:paraId="0010005A" w14:textId="0010005B">
      <w:pPr>
        <w:pStyle w:val="Heading1"/>
        <w:keepNext/>
      </w:pPr>
      <w:r>
        <w:t>3. Methodology</w:t>
      </w:r>
    </w:p>
    <w:p w14:paraId="0010005C" w14:textId="0010005D">
      <w:pPr>
        <w:pStyle w:val="Heading2"/>
        <w:keepNext/>
      </w:pPr>
      <w:r>
        <w:t>3.1 Scope and dataset separation</w:t>
      </w:r>
    </w:p>
    <w:p w14:paraId="0010005E" w14:textId="0010011D">
      <w:pPr>
        <w:spacing w:before="0" w:after="100" w:line="259" w:lineRule="auto"/>
        <w:jc w:val="both"/>
      </w:pPr>
      <w:r>
        <w:rPr>
          <w:rFonts w:ascii="Arial" w:hAnsi="Arial"/>
          <w:b w:val="0"/>
          <w:i w:val="0"/>
          <w:sz w:val="20"/>
        </w:rPr>
        <w:t xml:space="preserve">Each dataset is preprocessed, trained, and evaluated independently; records from different datasets are never pooled. The current formal FT-Transformer evidence includes MalayaNetwork_GT and NSL-KDD seeds 1-4. Malaya is an application-traffic classification dataset rather than an intrusion-detection benchmark, so benign false-positive rate and attack recall are not reported for it. The additive TabM-OFRA comparison has completed Malaya seeds 1, 2, 3, 4, and 42. The registered five-dataset suite also includes UNSW-NB15, CIC-IDS-2017, and CSE-CIC-IDS2018, but new current-model formal results for those datasets remain incomplete and are not used for performance claims here.</w:t>
      </w:r>
    </w:p>
    <w:p w14:paraId="00100060" w14:textId="00100061">
      <w:pPr>
        <w:spacing w:before="0" w:after="100" w:line="259" w:lineRule="auto"/>
        <w:jc w:val="both"/>
      </w:pPr>
      <w:r>
        <w:rPr>
          <w:rFonts w:ascii="Arial" w:hAnsi="Arial"/>
          <w:b w:val="0"/>
          <w:i w:val="0"/>
          <w:sz w:val="20"/>
        </w:rPr>
        <w:t>Dataset-specific preprocessing removes identifiers, normalises labels, converts features to finite numerical arrays, fixes feature and class order, and constructs class-by-split shards. NSL-KDD retains its official train/test files and training-only categorical vocabularies, producing 122 features. Malaya uses 31 derived-flow CSVs at frozen revision 384a5927..., removes IP addresses, ports, and timestamps, and holds out one capture per class, producing 77 numerical features. This capture-level split avoids leakage from correlated rows within one capture.</w:t>
      </w:r>
    </w:p>
    <w:p w14:paraId="00100062" w14:textId="00100063">
      <w:pPr>
        <w:spacing w:before="0" w:after="100" w:line="259" w:lineRule="auto"/>
        <w:jc w:val="both"/>
      </w:pPr>
      <w:r>
        <w:rPr>
          <w:rFonts w:ascii="Arial" w:hAnsi="Arial"/>
          <w:b w:val="0"/>
          <w:i w:val="0"/>
          <w:sz w:val="20"/>
        </w:rPr>
        <w:t>Standardisation is fitted on Task-0 training data and then frozen in the current formal pipeline. The submission claim nevertheless remains bounded until every OFRA internal statistic and preprocessing branch is re-audited to confirm that no later-task distributional information is consumed before its increment.</w:t>
      </w:r>
    </w:p>
    <w:p w14:paraId="00100064" w14:textId="00100065">
      <w:pPr>
        <w:pStyle w:val="Heading2"/>
        <w:keepNext/>
      </w:pPr>
      <w:r>
        <w:t>3.2 OFRA architecture and registered decision arms</w:t>
      </w:r>
    </w:p>
    <w:p w14:paraId="00100066" w14:textId="00100067">
      <w:pPr>
        <w:jc w:val="center"/>
      </w:pPr>
      <w:r>
        <w:drawing>
          <wp:inline xmlns:a="http://schemas.openxmlformats.org/drawingml/2006/main" xmlns:pic="http://schemas.openxmlformats.org/drawingml/2006/picture">
            <wp:extent cx="6172200" cy="1671638"/>
            <wp:docPr id="1" name="Picture 1"/>
            <wp:cNvGraphicFramePr>
              <a:graphicFrameLocks noChangeAspect="1"/>
            </wp:cNvGraphicFramePr>
            <a:graphic>
              <a:graphicData uri="http://schemas.openxmlformats.org/drawingml/2006/picture">
                <pic:pic>
                  <pic:nvPicPr>
                    <pic:cNvPr id="0" name="architecture.jpg"/>
                    <pic:cNvPicPr/>
                  </pic:nvPicPr>
                  <pic:blipFill>
                    <a:blip r:embed="rId11"/>
                    <a:stretch>
                      <a:fillRect/>
                    </a:stretch>
                  </pic:blipFill>
                  <pic:spPr>
                    <a:xfrm>
                      <a:off x="0" y="0"/>
                      <a:ext cx="6172200" cy="1671638"/>
                    </a:xfrm>
                    <a:prstGeom prst="rect"/>
                  </pic:spPr>
                </pic:pic>
              </a:graphicData>
            </a:graphic>
          </wp:inline>
        </w:drawing>
      </w:r>
    </w:p>
    <w:p w14:paraId="00100068" w14:textId="00100069">
      <w:pPr>
        <w:spacing w:before="80" w:after="120"/>
        <w:jc w:val="center"/>
      </w:pPr>
      <w:r>
        <w:rPr>
          <w:rFonts w:ascii="Arial" w:hAnsi="Arial"/>
          <w:b w:val="0"/>
          <w:i/>
          <w:color w:val="5A646E"/>
          <w:sz w:val="17"/>
        </w:rPr>
        <w:t>Figure 1. End-to-end OFRA inference. The DP-Means router supplies soft class evidence; it is not a hard selector of one family head.</w:t>
      </w:r>
    </w:p>
    <w:p w14:paraId="0010006A" w14:textId="0010006B">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pPr>
      <w:r>
        <w:t>3.3 Training, metrics, and statistical boundary</w:t>
      </w:r>
    </w:p>
    <w:p w14:paraId="00100070" w14:textId="0010011E">
      <w:pPr>
        <w:spacing w:before="0" w:after="100" w:line="259" w:lineRule="auto"/>
        <w:jc w:val="both"/>
      </w:pPr>
      <w:r>
        <w:rPr>
          <w:rFonts w:ascii="Arial" w:hAnsi="Arial"/>
          <w:b w:val="0"/>
          <w:i w:val="0"/>
          <w:sz w:val="20"/>
        </w:rPr>
        <w:t xml:space="preserve">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FT-Transformer values in this revision are means plus or minus sample standard deviation across seeds 1-4. TabM-OFRA and cumulative classifier diagnostics use seeds 1, 2, 3, 4, and 42. Comparisons are paired only over common seeds and are treated as descriptive because the protocols and available seed sets are not identical.</w:t>
      </w:r>
    </w:p>
    <w:p w14:paraId="00100122" w14:textId="00100123">
      <w:pPr>
        <w:pStyle w:val="Heading2"/>
      </w:pPr>
      <w:r>
        <w:rPr/>
        <w:t xml:space="preserve">3.4 Additive classifier-comparison protocol</w:t>
      </w:r>
    </w:p>
    <w:p w14:paraId="00100124" w14:textId="00100125">
      <w:pPr>
        <w:pStyle w:val="Normal"/>
      </w:pPr>
      <w:r>
        <w:rPr/>
        <w:t xml:space="preserve">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t xml:space="preserve">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t xml:space="preserve">3.5 SHAP explanation protocol</w:t>
      </w:r>
    </w:p>
    <w:p w14:paraId="00100074" w14:textId="00100075">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14:paraId="00100076" w14:textId="00100077">
      <w:pPr>
        <w:spacing w:before="0" w:after="100" w:line="259" w:lineRule="auto"/>
        <w:jc w:val="both"/>
      </w:pPr>
      <w:r>
        <w:rPr>
          <w:rFonts w:ascii="Arial" w:hAnsi="Arial"/>
          <w:b w:val="0"/>
          <w:i w:val="0"/>
          <w:sz w:val="20"/>
        </w:rPr>
        <w:t>For adjacent checkpoints, top-feature overlap is J(A,B)=|A intersection B|/|A union B|. A silent explanation-drift event requires performance to stay within the registered stability rule while top-15 Jaccard falls below 0.70. The 0.70 threshold and the performance tolerance are project governance settings, not externally validated standards. The event unit is a class-by-adjacent-checkpoint transition, not a packet, flow, sample, or real-world incident.</w:t>
      </w:r>
    </w:p>
    <w:p w14:paraId="00100078" w14:textId="00100117">
      <w:pPr>
        <w:pStyle w:val="Heading2"/>
        <w:keepNext/>
      </w:pPr>
      <w:r>
        <w:t xml:space="preserve">3.6 ETG governance scope</w:t>
      </w:r>
    </w:p>
    <w:p w14:paraId="0010007A" w14:textId="0010007B">
      <w:pPr>
        <w:spacing w:before="0" w:after="100" w:line="259" w:lineRule="auto"/>
        <w:jc w:val="both"/>
      </w:pPr>
      <w:r>
        <w:rPr>
          <w:rFonts w:ascii="Arial" w:hAnsi="Arial"/>
          <w:b w:val="0"/>
          <w:i w:val="0"/>
          <w:sz w:val="20"/>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analysis consumes stored OFRA checkpoint evidence for Malaya seed 1. ETG has therefore been connected to the actual routed-score evidence path, but it has not been evaluated as a closed loop that changes future routing, training, or replay.</w:t>
      </w:r>
    </w:p>
    <w:p w14:paraId="0010007C" w14:textId="00100118">
      <w:pPr>
        <w:pStyle w:val="Heading2"/>
        <w:keepNext/>
      </w:pPr>
      <w:r>
        <w:t xml:space="preserve">3.7 Attribution-method robustness protocol</w:t>
      </w:r>
    </w:p>
    <w:p w14:paraId="0010007E" w14:textId="0010007F">
      <w:pPr>
        <w:spacing w:before="0" w:after="100" w:line="259" w:lineRule="auto"/>
        <w:jc w:val="both"/>
      </w:pPr>
      <w:r>
        <w:rPr>
          <w:rFonts w:ascii="Arial" w:hAnsi="Arial"/>
          <w:b w:val="0"/>
          <w:i w:val="0"/>
          <w:sz w:val="20"/>
        </w:rPr>
        <w:t>The earlier occlusion-versus-input-gradient comparison changed 19 of 39 admission decisions, demonstrating that certification can be method-sensitive. That comparison belongs to the legacy separate-MLP experiment and is not mixed with the present routed-margin result. The current source-bound run uses expected gradients only. Before submission, the registered robustness analysis will compare expected gradients, integrated gradients, and gradient-times-input (with occlusion retained as a model-agnostic reference where computationally feasible). It will report pairwise top-15 Jaccard, admission-decision agreement, ETG-state agreement, and the proportion of transitions whose conclusion is unchanged across all methods. No unrun agreement value is reported in this revision.</w:t>
      </w:r>
    </w:p>
    <w:p w14:paraId="00100080" w14:textId="00100081">
      <w:pPr>
        <w:pStyle w:val="Heading1"/>
        <w:keepNext/>
      </w:pPr>
      <w:r>
        <w:t>4. Results</w:t>
      </w:r>
    </w:p>
    <w:p w14:paraId="00100082" w14:textId="00100083">
      <w:pPr>
        <w:pStyle w:val="Heading2"/>
        <w:keepNext/>
      </w:pPr>
      <w:r>
        <w:t>4.1 RQ1: Explanation stability</w:t>
      </w:r>
    </w:p>
    <w:p w14:paraId="00100084" w14:textId="00100085">
      <w:pPr>
        <w:spacing w:before="0" w:after="100" w:line="259" w:lineRule="auto"/>
        <w:jc w:val="both"/>
      </w:pPr>
      <w:r>
        <w:rPr>
          <w:rFonts w:ascii="Arial" w:hAnsi="Arial"/>
          <w:b w:val="0"/>
          <w:i w:val="0"/>
          <w:sz w:val="20"/>
        </w:rPr>
        <w:t>In the completed Malaya seed-1 source-bound analysis, 17 class-by-adjacent-checkpoint transitions satisfy the eligibility rules and 12 meet the registered silent explanation-drift definition, giving 70.59%. This value must always be labelled as a single-seed Malaya result rather than a prevalence estimate, because the evidence unit is a registered class transition and not traffic volume or an operational incident.</w:t>
      </w:r>
    </w:p>
    <w:p w14:paraId="00100086" w14:textId="00100087">
      <w:pPr>
        <w:spacing w:before="0" w:after="100" w:line="259" w:lineRule="auto"/>
        <w:jc w:val="both"/>
      </w:pPr>
      <w:r>
        <w:rPr>
          <w:rFonts w:ascii="Arial" w:hAnsi="Arial"/>
          <w:b w:val="0"/>
          <w:i w:val="0"/>
          <w:sz w:val="20"/>
        </w:rPr>
        <w:t>The high event proportion shows that stable predictive evidence under the chosen tolerance does not guarantee stable top-feature membership. It does not establish that the model became unsafe, that the explanation was wrong, or that 70.59% of network flows drifted. It identifies transitions that require closer interpretation under this registered audit rule.</w:t>
      </w:r>
    </w:p>
    <w:p w14:paraId="00100088" w14:textId="00100089">
      <w:pPr>
        <w:pStyle w:val="Heading2"/>
        <w:keepNext/>
      </w:pPr>
      <w:r>
        <w:t>4.2 RQ2: Predictive performance and retention</w:t>
      </w:r>
    </w:p>
    <w:p w14:paraId="0010008A" w14:textId="0010008B">
      <w:pPr>
        <w:jc w:val="center"/>
      </w:pPr>
      <w:r>
        <w:drawing>
          <wp:inline xmlns:a="http://schemas.openxmlformats.org/drawingml/2006/main" xmlns:pic="http://schemas.openxmlformats.org/drawingml/2006/picture">
            <wp:extent cx="5897880" cy="3407664"/>
            <wp:docPr id="2" name="Picture 2"/>
            <wp:cNvGraphicFramePr>
              <a:graphicFrameLocks noChangeAspect="1"/>
            </wp:cNvGraphicFramePr>
            <a:graphic>
              <a:graphicData uri="http://schemas.openxmlformats.org/drawingml/2006/picture">
                <pic:pic>
                  <pic:nvPicPr>
                    <pic:cNvPr id="0" name="four_seed_results.jpg"/>
                    <pic:cNvPicPr/>
                  </pic:nvPicPr>
                  <pic:blipFill>
                    <a:blip r:embed="rId12"/>
                    <a:stretch>
                      <a:fillRect/>
                    </a:stretch>
                  </pic:blipFill>
                  <pic:spPr>
                    <a:xfrm>
                      <a:off x="0" y="0"/>
                      <a:ext cx="5897880" cy="3407664"/>
                    </a:xfrm>
                    <a:prstGeom prst="rect"/>
                  </pic:spPr>
                </pic:pic>
              </a:graphicData>
            </a:graphic>
          </wp:inline>
        </w:drawing>
      </w:r>
    </w:p>
    <w:p w14:paraId="0010008C" w14:textId="0010008D">
      <w:pPr>
        <w:spacing w:before="80" w:after="120"/>
        <w:jc w:val="center"/>
      </w:pPr>
      <w:r>
        <w:rPr>
          <w:rFonts w:ascii="Arial" w:hAnsi="Arial"/>
          <w:b w:val="0"/>
          <w:i/>
          <w:color w:val="5A646E"/>
          <w:sz w:val="17"/>
        </w:rPr>
        <w:t>Figure 2. Head-only versus joint-cap four-seed descriptive results. Error bars are sample standard deviations.</w:t>
      </w:r>
    </w:p>
    <w:p w14:paraId="0010008E" w14:textId="0010008F">
      <w:pPr>
        <w:spacing w:before="80" w:after="120"/>
        <w:jc w:val="center"/>
      </w:pPr>
      <w:r>
        <w:rPr>
          <w:rFonts w:ascii="Arial" w:hAnsi="Arial"/>
          <w:b w:val="0"/>
          <w:i/>
          <w:color w:val="5A646E"/>
          <w:sz w:val="17"/>
        </w:rPr>
        <w:t>Table 2. Four-seed descriptive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c>
          <w:tcPr>
            <w:tcW w:w="1300" w:type="dxa"/>
            <w:shd w:val="clear" w:fill="EAF0F5"/>
            <w:tcMar>
              <w:top w:w="80" w:type="dxa"/>
              <w:start w:w="120" w:type="dxa"/>
              <w:bottom w:w="80" w:type="dxa"/>
              <w:end w:w="120" w:type="dxa"/>
            </w:tcMar>
            <w:vAlign w:val="center"/>
          </w:tcPr>
          <w:p w14:paraId="00100090" w14:textId="00100091">
            <w:pPr>
              <w:spacing w:after="0"/>
              <w:jc w:val="center"/>
            </w:pPr>
            <w:r>
              <w:rPr>
                <w:rFonts w:ascii="Arial" w:hAnsi="Arial"/>
                <w:b/>
                <w:i w:val="0"/>
                <w:color w:val="0F2A43"/>
                <w:sz w:val="15"/>
              </w:rPr>
              <w:t>Dataset</w:t>
            </w:r>
          </w:p>
        </w:tc>
        <w:tc>
          <w:tcPr>
            <w:tcW w:w="1350" w:type="dxa"/>
            <w:shd w:val="clear" w:fill="EAF0F5"/>
            <w:tcMar>
              <w:top w:w="80" w:type="dxa"/>
              <w:start w:w="120" w:type="dxa"/>
              <w:bottom w:w="80" w:type="dxa"/>
              <w:end w:w="120" w:type="dxa"/>
            </w:tcMar>
            <w:vAlign w:val="center"/>
          </w:tcPr>
          <w:p w14:paraId="00100092" w14:textId="00100093">
            <w:pPr>
              <w:spacing w:after="0"/>
              <w:jc w:val="center"/>
            </w:pPr>
            <w:r>
              <w:rPr>
                <w:rFonts w:ascii="Arial" w:hAnsi="Arial"/>
                <w:b/>
                <w:i w:val="0"/>
                <w:color w:val="0F2A43"/>
                <w:sz w:val="15"/>
              </w:rPr>
              <w:t>Arm</w:t>
            </w:r>
          </w:p>
        </w:tc>
        <w:tc>
          <w:tcPr>
            <w:tcW w:w="1650" w:type="dxa"/>
            <w:shd w:val="clear" w:fill="EAF0F5"/>
            <w:tcMar>
              <w:top w:w="80" w:type="dxa"/>
              <w:start w:w="120" w:type="dxa"/>
              <w:bottom w:w="80" w:type="dxa"/>
              <w:end w:w="120" w:type="dxa"/>
            </w:tcMar>
            <w:vAlign w:val="center"/>
          </w:tcPr>
          <w:p w14:paraId="00100094" w14:textId="00100095">
            <w:pPr>
              <w:spacing w:after="0"/>
              <w:jc w:val="center"/>
            </w:pPr>
            <w:r>
              <w:rPr>
                <w:rFonts w:ascii="Arial" w:hAnsi="Arial"/>
                <w:b/>
                <w:i w:val="0"/>
                <w:color w:val="0F2A43"/>
                <w:sz w:val="15"/>
              </w:rPr>
              <w:t>Accuracy</w:t>
            </w:r>
          </w:p>
        </w:tc>
        <w:tc>
          <w:tcPr>
            <w:tcW w:w="1650" w:type="dxa"/>
            <w:shd w:val="clear" w:fill="EAF0F5"/>
            <w:tcMar>
              <w:top w:w="80" w:type="dxa"/>
              <w:start w:w="120" w:type="dxa"/>
              <w:bottom w:w="80" w:type="dxa"/>
              <w:end w:w="120" w:type="dxa"/>
            </w:tcMar>
            <w:vAlign w:val="center"/>
          </w:tcPr>
          <w:p w14:paraId="00100096" w14:textId="00100097">
            <w:pPr>
              <w:spacing w:after="0"/>
              <w:jc w:val="center"/>
            </w:pPr>
            <w:r>
              <w:rPr>
                <w:rFonts w:ascii="Arial" w:hAnsi="Arial"/>
                <w:b/>
                <w:i w:val="0"/>
                <w:color w:val="0F2A43"/>
                <w:sz w:val="15"/>
              </w:rPr>
              <w:t>Macro-F1</w:t>
            </w:r>
          </w:p>
        </w:tc>
        <w:tc>
          <w:tcPr>
            <w:tcW w:w="1700" w:type="dxa"/>
            <w:shd w:val="clear" w:fill="EAF0F5"/>
            <w:tcMar>
              <w:top w:w="80" w:type="dxa"/>
              <w:start w:w="120" w:type="dxa"/>
              <w:bottom w:w="80" w:type="dxa"/>
              <w:end w:w="120" w:type="dxa"/>
            </w:tcMar>
            <w:vAlign w:val="center"/>
          </w:tcPr>
          <w:p w14:paraId="00100098" w14:textId="00100099">
            <w:pPr>
              <w:spacing w:after="0"/>
              <w:jc w:val="center"/>
            </w:pPr>
            <w:r>
              <w:rPr>
                <w:rFonts w:ascii="Arial" w:hAnsi="Arial"/>
                <w:b/>
                <w:i w:val="0"/>
                <w:color w:val="0F2A43"/>
                <w:sz w:val="15"/>
              </w:rPr>
              <w:t>Balanced acc.</w:t>
            </w:r>
          </w:p>
        </w:tc>
        <w:tc>
          <w:tcPr>
            <w:tcW w:w="1710" w:type="dxa"/>
            <w:shd w:val="clear" w:fill="EAF0F5"/>
            <w:tcMar>
              <w:top w:w="80" w:type="dxa"/>
              <w:start w:w="120" w:type="dxa"/>
              <w:bottom w:w="80" w:type="dxa"/>
              <w:end w:w="120" w:type="dxa"/>
            </w:tcMar>
            <w:vAlign w:val="center"/>
          </w:tcPr>
          <w:p w14:paraId="0010009A" w14:textId="0010009B">
            <w:pPr>
              <w:spacing w:after="0"/>
              <w:jc w:val="center"/>
            </w:pPr>
            <w:r>
              <w:rPr>
                <w:rFonts w:ascii="Arial" w:hAnsi="Arial"/>
                <w:b/>
                <w:i w:val="0"/>
                <w:color w:val="0F2A43"/>
                <w:sz w:val="15"/>
              </w:rPr>
              <w:t>Forgetting</w:t>
            </w:r>
          </w:p>
        </w:tc>
      </w:tr>
      <w:tr>
        <w:tc>
          <w:tcPr>
            <w:tcW w:w="1300" w:type="dxa"/>
            <w:tcMar>
              <w:top w:w="80" w:type="dxa"/>
              <w:start w:w="120" w:type="dxa"/>
              <w:bottom w:w="80" w:type="dxa"/>
              <w:end w:w="120" w:type="dxa"/>
            </w:tcMar>
            <w:vAlign w:val="center"/>
          </w:tcPr>
          <w:p w14:paraId="0010009C" w14:textId="0010009D">
            <w:pPr>
              <w:spacing w:after="0"/>
              <w:jc w:val="left"/>
            </w:pPr>
            <w:r>
              <w:rPr>
                <w:rFonts w:ascii="Arial" w:hAnsi="Arial"/>
                <w:b w:val="0"/>
                <w:i w:val="0"/>
                <w:sz w:val="15"/>
              </w:rPr>
              <w:t>Malaya</w:t>
            </w:r>
          </w:p>
        </w:tc>
        <w:tc>
          <w:tcPr>
            <w:tcW w:w="1350" w:type="dxa"/>
            <w:tcMar>
              <w:top w:w="80" w:type="dxa"/>
              <w:start w:w="120" w:type="dxa"/>
              <w:bottom w:w="80" w:type="dxa"/>
              <w:end w:w="120" w:type="dxa"/>
            </w:tcMar>
            <w:vAlign w:val="center"/>
          </w:tcPr>
          <w:p w14:paraId="0010009E" w14:textId="0010009F">
            <w:pPr>
              <w:spacing w:after="0"/>
              <w:jc w:val="center"/>
            </w:pPr>
            <w:r>
              <w:rPr>
                <w:rFonts w:ascii="Arial" w:hAnsi="Arial"/>
                <w:b w:val="0"/>
                <w:i w:val="0"/>
                <w:sz w:val="15"/>
              </w:rPr>
              <w:t>Head-only</w:t>
            </w:r>
          </w:p>
        </w:tc>
        <w:tc>
          <w:tcPr>
            <w:tcW w:w="1650" w:type="dxa"/>
            <w:tcMar>
              <w:top w:w="80" w:type="dxa"/>
              <w:start w:w="120" w:type="dxa"/>
              <w:bottom w:w="80" w:type="dxa"/>
              <w:end w:w="120" w:type="dxa"/>
            </w:tcMar>
            <w:vAlign w:val="center"/>
          </w:tcPr>
          <w:p w14:paraId="001000A0" w14:textId="001000A1">
            <w:pPr>
              <w:spacing w:after="0"/>
              <w:jc w:val="center"/>
            </w:pPr>
            <w:r>
              <w:rPr>
                <w:rFonts w:ascii="Arial" w:hAnsi="Arial"/>
                <w:b w:val="0"/>
                <w:i w:val="0"/>
                <w:sz w:val="15"/>
              </w:rPr>
              <w:t>55.87 +/- 0.33</w:t>
            </w:r>
          </w:p>
        </w:tc>
        <w:tc>
          <w:tcPr>
            <w:tcW w:w="1650" w:type="dxa"/>
            <w:tcMar>
              <w:top w:w="80" w:type="dxa"/>
              <w:start w:w="120" w:type="dxa"/>
              <w:bottom w:w="80" w:type="dxa"/>
              <w:end w:w="120" w:type="dxa"/>
            </w:tcMar>
            <w:vAlign w:val="center"/>
          </w:tcPr>
          <w:p w14:paraId="001000A2" w14:textId="001000A3">
            <w:pPr>
              <w:spacing w:after="0"/>
              <w:jc w:val="center"/>
            </w:pPr>
            <w:r>
              <w:rPr>
                <w:rFonts w:ascii="Arial" w:hAnsi="Arial"/>
                <w:b w:val="0"/>
                <w:i w:val="0"/>
                <w:sz w:val="15"/>
              </w:rPr>
              <w:t>11.81 +/- 0.93</w:t>
            </w:r>
          </w:p>
        </w:tc>
        <w:tc>
          <w:tcPr>
            <w:tcW w:w="1700" w:type="dxa"/>
            <w:tcMar>
              <w:top w:w="80" w:type="dxa"/>
              <w:start w:w="120" w:type="dxa"/>
              <w:bottom w:w="80" w:type="dxa"/>
              <w:end w:w="120" w:type="dxa"/>
            </w:tcMar>
            <w:vAlign w:val="center"/>
          </w:tcPr>
          <w:p w14:paraId="001000A4" w14:textId="001000A5">
            <w:pPr>
              <w:spacing w:after="0"/>
              <w:jc w:val="center"/>
            </w:pPr>
            <w:r>
              <w:rPr>
                <w:rFonts w:ascii="Arial" w:hAnsi="Arial"/>
                <w:b w:val="0"/>
                <w:i w:val="0"/>
                <w:sz w:val="15"/>
              </w:rPr>
              <w:t>15.16 +/- 0.58</w:t>
            </w:r>
          </w:p>
        </w:tc>
        <w:tc>
          <w:tcPr>
            <w:tcW w:w="1710" w:type="dxa"/>
            <w:tcMar>
              <w:top w:w="80" w:type="dxa"/>
              <w:start w:w="120" w:type="dxa"/>
              <w:bottom w:w="80" w:type="dxa"/>
              <w:end w:w="120" w:type="dxa"/>
            </w:tcMar>
            <w:vAlign w:val="center"/>
          </w:tcPr>
          <w:p w14:paraId="001000A6" w14:textId="001000A7">
            <w:pPr>
              <w:spacing w:after="0"/>
              <w:jc w:val="center"/>
            </w:pPr>
            <w:r>
              <w:rPr>
                <w:rFonts w:ascii="Arial" w:hAnsi="Arial"/>
                <w:b w:val="0"/>
                <w:i w:val="0"/>
                <w:sz w:val="15"/>
              </w:rPr>
              <w:t>1.25 +/- 1.19 pp</w:t>
            </w:r>
          </w:p>
        </w:tc>
      </w:tr>
      <w:tr>
        <w:tc>
          <w:tcPr>
            <w:tcW w:w="1300" w:type="dxa"/>
            <w:tcMar>
              <w:top w:w="80" w:type="dxa"/>
              <w:start w:w="120" w:type="dxa"/>
              <w:bottom w:w="80" w:type="dxa"/>
              <w:end w:w="120" w:type="dxa"/>
            </w:tcMar>
            <w:vAlign w:val="center"/>
          </w:tcPr>
          <w:p w14:paraId="001000A8" w14:textId="001000A9">
            <w:pPr>
              <w:spacing w:after="0"/>
              <w:jc w:val="left"/>
            </w:pPr>
            <w:r>
              <w:rPr>
                <w:rFonts w:ascii="Arial" w:hAnsi="Arial"/>
                <w:b w:val="0"/>
                <w:i w:val="0"/>
                <w:sz w:val="15"/>
              </w:rPr>
              <w:t>Malaya</w:t>
            </w:r>
          </w:p>
        </w:tc>
        <w:tc>
          <w:tcPr>
            <w:tcW w:w="1350" w:type="dxa"/>
            <w:tcMar>
              <w:top w:w="80" w:type="dxa"/>
              <w:start w:w="120" w:type="dxa"/>
              <w:bottom w:w="80" w:type="dxa"/>
              <w:end w:w="120" w:type="dxa"/>
            </w:tcMar>
            <w:vAlign w:val="center"/>
          </w:tcPr>
          <w:p w14:paraId="001000AA" w14:textId="001000AB">
            <w:pPr>
              <w:spacing w:after="0"/>
              <w:jc w:val="center"/>
            </w:pPr>
            <w:r>
              <w:rPr>
                <w:rFonts w:ascii="Arial" w:hAnsi="Arial"/>
                <w:b w:val="0"/>
                <w:i w:val="0"/>
                <w:sz w:val="15"/>
              </w:rPr>
              <w:t>Joint cap</w:t>
            </w:r>
          </w:p>
        </w:tc>
        <w:tc>
          <w:tcPr>
            <w:tcW w:w="1650" w:type="dxa"/>
            <w:tcMar>
              <w:top w:w="80" w:type="dxa"/>
              <w:start w:w="120" w:type="dxa"/>
              <w:bottom w:w="80" w:type="dxa"/>
              <w:end w:w="120" w:type="dxa"/>
            </w:tcMar>
            <w:vAlign w:val="center"/>
          </w:tcPr>
          <w:p w14:paraId="001000AC" w14:textId="001000AD">
            <w:pPr>
              <w:spacing w:after="0"/>
              <w:jc w:val="center"/>
            </w:pPr>
            <w:r>
              <w:rPr>
                <w:rFonts w:ascii="Arial" w:hAnsi="Arial"/>
                <w:b w:val="0"/>
                <w:i w:val="0"/>
                <w:sz w:val="15"/>
              </w:rPr>
              <w:t>54.37 +/- 3.02</w:t>
            </w:r>
          </w:p>
        </w:tc>
        <w:tc>
          <w:tcPr>
            <w:tcW w:w="1650" w:type="dxa"/>
            <w:tcMar>
              <w:top w:w="80" w:type="dxa"/>
              <w:start w:w="120" w:type="dxa"/>
              <w:bottom w:w="80" w:type="dxa"/>
              <w:end w:w="120" w:type="dxa"/>
            </w:tcMar>
            <w:vAlign w:val="center"/>
          </w:tcPr>
          <w:p w14:paraId="001000AE" w14:textId="001000AF">
            <w:pPr>
              <w:spacing w:after="0"/>
              <w:jc w:val="center"/>
            </w:pPr>
            <w:r>
              <w:rPr>
                <w:rFonts w:ascii="Arial" w:hAnsi="Arial"/>
                <w:b w:val="0"/>
                <w:i w:val="0"/>
                <w:sz w:val="15"/>
              </w:rPr>
              <w:t>20.70 +/- 3.72</w:t>
            </w:r>
          </w:p>
        </w:tc>
        <w:tc>
          <w:tcPr>
            <w:tcW w:w="1700" w:type="dxa"/>
            <w:tcMar>
              <w:top w:w="80" w:type="dxa"/>
              <w:start w:w="120" w:type="dxa"/>
              <w:bottom w:w="80" w:type="dxa"/>
              <w:end w:w="120" w:type="dxa"/>
            </w:tcMar>
            <w:vAlign w:val="center"/>
          </w:tcPr>
          <w:p w14:paraId="001000B0" w14:textId="001000B1">
            <w:pPr>
              <w:spacing w:after="0"/>
              <w:jc w:val="center"/>
            </w:pPr>
            <w:r>
              <w:rPr>
                <w:rFonts w:ascii="Arial" w:hAnsi="Arial"/>
                <w:b w:val="0"/>
                <w:i w:val="0"/>
                <w:sz w:val="15"/>
              </w:rPr>
              <w:t>22.70 +/- 3.86</w:t>
            </w:r>
          </w:p>
        </w:tc>
        <w:tc>
          <w:tcPr>
            <w:tcW w:w="1710" w:type="dxa"/>
            <w:tcMar>
              <w:top w:w="80" w:type="dxa"/>
              <w:start w:w="120" w:type="dxa"/>
              <w:bottom w:w="80" w:type="dxa"/>
              <w:end w:w="120" w:type="dxa"/>
            </w:tcMar>
            <w:vAlign w:val="center"/>
          </w:tcPr>
          <w:p w14:paraId="001000B2" w14:textId="001000B3">
            <w:pPr>
              <w:spacing w:after="0"/>
              <w:jc w:val="center"/>
            </w:pPr>
            <w:r>
              <w:rPr>
                <w:rFonts w:ascii="Arial" w:hAnsi="Arial"/>
                <w:b w:val="0"/>
                <w:i w:val="0"/>
                <w:sz w:val="15"/>
              </w:rPr>
              <w:t>3.79 +/- 0.64 pp</w:t>
            </w:r>
          </w:p>
        </w:tc>
      </w:tr>
      <w:tr>
        <w:tc>
          <w:tcPr>
            <w:tcW w:w="1300" w:type="dxa"/>
            <w:tcMar>
              <w:top w:w="80" w:type="dxa"/>
              <w:start w:w="120" w:type="dxa"/>
              <w:bottom w:w="80" w:type="dxa"/>
              <w:end w:w="120" w:type="dxa"/>
            </w:tcMar>
            <w:vAlign w:val="center"/>
          </w:tcPr>
          <w:p w14:paraId="001000B4" w14:textId="001000B5">
            <w:pPr>
              <w:spacing w:after="0"/>
              <w:jc w:val="left"/>
            </w:pPr>
            <w:r>
              <w:rPr>
                <w:rFonts w:ascii="Arial" w:hAnsi="Arial"/>
                <w:b w:val="0"/>
                <w:i w:val="0"/>
                <w:sz w:val="15"/>
              </w:rPr>
              <w:t>NSL-KDD</w:t>
            </w:r>
          </w:p>
        </w:tc>
        <w:tc>
          <w:tcPr>
            <w:tcW w:w="1350" w:type="dxa"/>
            <w:tcMar>
              <w:top w:w="80" w:type="dxa"/>
              <w:start w:w="120" w:type="dxa"/>
              <w:bottom w:w="80" w:type="dxa"/>
              <w:end w:w="120" w:type="dxa"/>
            </w:tcMar>
            <w:vAlign w:val="center"/>
          </w:tcPr>
          <w:p w14:paraId="001000B6" w14:textId="001000B7">
            <w:pPr>
              <w:spacing w:after="0"/>
              <w:jc w:val="center"/>
            </w:pPr>
            <w:r>
              <w:rPr>
                <w:rFonts w:ascii="Arial" w:hAnsi="Arial"/>
                <w:b w:val="0"/>
                <w:i w:val="0"/>
                <w:sz w:val="15"/>
              </w:rPr>
              <w:t>Head-only</w:t>
            </w:r>
          </w:p>
        </w:tc>
        <w:tc>
          <w:tcPr>
            <w:tcW w:w="1650" w:type="dxa"/>
            <w:tcMar>
              <w:top w:w="80" w:type="dxa"/>
              <w:start w:w="120" w:type="dxa"/>
              <w:bottom w:w="80" w:type="dxa"/>
              <w:end w:w="120" w:type="dxa"/>
            </w:tcMar>
            <w:vAlign w:val="center"/>
          </w:tcPr>
          <w:p w14:paraId="001000B8" w14:textId="001000B9">
            <w:pPr>
              <w:spacing w:after="0"/>
              <w:jc w:val="center"/>
            </w:pPr>
            <w:r>
              <w:rPr>
                <w:rFonts w:ascii="Arial" w:hAnsi="Arial"/>
                <w:b w:val="0"/>
                <w:i w:val="0"/>
                <w:sz w:val="15"/>
              </w:rPr>
              <w:t>61.94 +/- 19.92</w:t>
            </w:r>
          </w:p>
        </w:tc>
        <w:tc>
          <w:tcPr>
            <w:tcW w:w="1650" w:type="dxa"/>
            <w:tcMar>
              <w:top w:w="80" w:type="dxa"/>
              <w:start w:w="120" w:type="dxa"/>
              <w:bottom w:w="80" w:type="dxa"/>
              <w:end w:w="120" w:type="dxa"/>
            </w:tcMar>
            <w:vAlign w:val="center"/>
          </w:tcPr>
          <w:p w14:paraId="001000BA" w14:textId="001000BB">
            <w:pPr>
              <w:spacing w:after="0"/>
              <w:jc w:val="center"/>
            </w:pPr>
            <w:r>
              <w:rPr>
                <w:rFonts w:ascii="Arial" w:hAnsi="Arial"/>
                <w:b w:val="0"/>
                <w:i w:val="0"/>
                <w:sz w:val="15"/>
              </w:rPr>
              <w:t>34.76 +/- 10.29</w:t>
            </w:r>
          </w:p>
        </w:tc>
        <w:tc>
          <w:tcPr>
            <w:tcW w:w="1700" w:type="dxa"/>
            <w:tcMar>
              <w:top w:w="80" w:type="dxa"/>
              <w:start w:w="120" w:type="dxa"/>
              <w:bottom w:w="80" w:type="dxa"/>
              <w:end w:w="120" w:type="dxa"/>
            </w:tcMar>
            <w:vAlign w:val="center"/>
          </w:tcPr>
          <w:p w14:paraId="001000BC" w14:textId="001000BD">
            <w:pPr>
              <w:spacing w:after="0"/>
              <w:jc w:val="center"/>
            </w:pPr>
            <w:r>
              <w:rPr>
                <w:rFonts w:ascii="Arial" w:hAnsi="Arial"/>
                <w:b w:val="0"/>
                <w:i w:val="0"/>
                <w:sz w:val="15"/>
              </w:rPr>
              <w:t>38.12 +/- 6.94</w:t>
            </w:r>
          </w:p>
        </w:tc>
        <w:tc>
          <w:tcPr>
            <w:tcW w:w="1710" w:type="dxa"/>
            <w:tcMar>
              <w:top w:w="80" w:type="dxa"/>
              <w:start w:w="120" w:type="dxa"/>
              <w:bottom w:w="80" w:type="dxa"/>
              <w:end w:w="120" w:type="dxa"/>
            </w:tcMar>
            <w:vAlign w:val="center"/>
          </w:tcPr>
          <w:p w14:paraId="001000BE" w14:textId="001000BF">
            <w:pPr>
              <w:spacing w:after="0"/>
              <w:jc w:val="center"/>
            </w:pPr>
            <w:r>
              <w:rPr>
                <w:rFonts w:ascii="Arial" w:hAnsi="Arial"/>
                <w:b w:val="0"/>
                <w:i w:val="0"/>
                <w:sz w:val="15"/>
              </w:rPr>
              <w:t>5.44 +/- 9.48 pp</w:t>
            </w:r>
          </w:p>
        </w:tc>
      </w:tr>
      <w:tr>
        <w:tc>
          <w:tcPr>
            <w:tcW w:w="1300" w:type="dxa"/>
            <w:tcMar>
              <w:top w:w="80" w:type="dxa"/>
              <w:start w:w="120" w:type="dxa"/>
              <w:bottom w:w="80" w:type="dxa"/>
              <w:end w:w="120" w:type="dxa"/>
            </w:tcMar>
            <w:vAlign w:val="center"/>
          </w:tcPr>
          <w:p w14:paraId="001000C0" w14:textId="001000C1">
            <w:pPr>
              <w:spacing w:after="0"/>
              <w:jc w:val="left"/>
            </w:pPr>
            <w:r>
              <w:rPr>
                <w:rFonts w:ascii="Arial" w:hAnsi="Arial"/>
                <w:b w:val="0"/>
                <w:i w:val="0"/>
                <w:sz w:val="15"/>
              </w:rPr>
              <w:t>NSL-KDD</w:t>
            </w:r>
          </w:p>
        </w:tc>
        <w:tc>
          <w:tcPr>
            <w:tcW w:w="1350" w:type="dxa"/>
            <w:tcMar>
              <w:top w:w="80" w:type="dxa"/>
              <w:start w:w="120" w:type="dxa"/>
              <w:bottom w:w="80" w:type="dxa"/>
              <w:end w:w="120" w:type="dxa"/>
            </w:tcMar>
            <w:vAlign w:val="center"/>
          </w:tcPr>
          <w:p w14:paraId="001000C2" w14:textId="001000C3">
            <w:pPr>
              <w:spacing w:after="0"/>
              <w:jc w:val="center"/>
            </w:pPr>
            <w:r>
              <w:rPr>
                <w:rFonts w:ascii="Arial" w:hAnsi="Arial"/>
                <w:b w:val="0"/>
                <w:i w:val="0"/>
                <w:sz w:val="15"/>
              </w:rPr>
              <w:t>Joint cap</w:t>
            </w:r>
          </w:p>
        </w:tc>
        <w:tc>
          <w:tcPr>
            <w:tcW w:w="1650" w:type="dxa"/>
            <w:tcMar>
              <w:top w:w="80" w:type="dxa"/>
              <w:start w:w="120" w:type="dxa"/>
              <w:bottom w:w="80" w:type="dxa"/>
              <w:end w:w="120" w:type="dxa"/>
            </w:tcMar>
            <w:vAlign w:val="center"/>
          </w:tcPr>
          <w:p w14:paraId="001000C4" w14:textId="001000C5">
            <w:pPr>
              <w:spacing w:after="0"/>
              <w:jc w:val="center"/>
            </w:pPr>
            <w:r>
              <w:rPr>
                <w:rFonts w:ascii="Arial" w:hAnsi="Arial"/>
                <w:b w:val="0"/>
                <w:i w:val="0"/>
                <w:sz w:val="15"/>
              </w:rPr>
              <w:t>69.07 +/- 3.38</w:t>
            </w:r>
          </w:p>
        </w:tc>
        <w:tc>
          <w:tcPr>
            <w:tcW w:w="1650" w:type="dxa"/>
            <w:tcMar>
              <w:top w:w="80" w:type="dxa"/>
              <w:start w:w="120" w:type="dxa"/>
              <w:bottom w:w="80" w:type="dxa"/>
              <w:end w:w="120" w:type="dxa"/>
            </w:tcMar>
            <w:vAlign w:val="center"/>
          </w:tcPr>
          <w:p w14:paraId="001000C6" w14:textId="001000C7">
            <w:pPr>
              <w:spacing w:after="0"/>
              <w:jc w:val="center"/>
            </w:pPr>
            <w:r>
              <w:rPr>
                <w:rFonts w:ascii="Arial" w:hAnsi="Arial"/>
                <w:b w:val="0"/>
                <w:i w:val="0"/>
                <w:sz w:val="15"/>
              </w:rPr>
              <w:t>38.81 +/- 3.04</w:t>
            </w:r>
          </w:p>
        </w:tc>
        <w:tc>
          <w:tcPr>
            <w:tcW w:w="1700" w:type="dxa"/>
            <w:tcMar>
              <w:top w:w="80" w:type="dxa"/>
              <w:start w:w="120" w:type="dxa"/>
              <w:bottom w:w="80" w:type="dxa"/>
              <w:end w:w="120" w:type="dxa"/>
            </w:tcMar>
            <w:vAlign w:val="center"/>
          </w:tcPr>
          <w:p w14:paraId="001000C8" w14:textId="001000C9">
            <w:pPr>
              <w:spacing w:after="0"/>
              <w:jc w:val="center"/>
            </w:pPr>
            <w:r>
              <w:rPr>
                <w:rFonts w:ascii="Arial" w:hAnsi="Arial"/>
                <w:b w:val="0"/>
                <w:i w:val="0"/>
                <w:sz w:val="15"/>
              </w:rPr>
              <w:t>40.87 +/- 2.96</w:t>
            </w:r>
          </w:p>
        </w:tc>
        <w:tc>
          <w:tcPr>
            <w:tcW w:w="1710" w:type="dxa"/>
            <w:tcMar>
              <w:top w:w="80" w:type="dxa"/>
              <w:start w:w="120" w:type="dxa"/>
              <w:bottom w:w="80" w:type="dxa"/>
              <w:end w:w="120" w:type="dxa"/>
            </w:tcMar>
            <w:vAlign w:val="center"/>
          </w:tcPr>
          <w:p w14:paraId="001000CA" w14:textId="001000CB">
            <w:pPr>
              <w:spacing w:after="0"/>
              <w:jc w:val="center"/>
            </w:pPr>
            <w:r>
              <w:rPr>
                <w:rFonts w:ascii="Arial" w:hAnsi="Arial"/>
                <w:b w:val="0"/>
                <w:i w:val="0"/>
                <w:sz w:val="15"/>
              </w:rPr>
              <w:t>2.38 +/- 1.34 pp</w:t>
            </w:r>
          </w:p>
        </w:tc>
      </w:tr>
    </w:tbl>
    <w:p w14:paraId="001000CC" w14:textId="001000CD">
      <w:pPr>
        <w:spacing w:before="0" w:after="100" w:line="259" w:lineRule="auto"/>
        <w:jc w:val="both"/>
      </w:pPr>
      <w:r>
        <w:rPr>
          <w:rFonts w:ascii="Arial" w:hAnsi="Arial"/>
          <w:b w:val="0"/>
          <w:i w:val="0"/>
          <w:sz w:val="20"/>
        </w:rPr>
        <w:t>On Malaya, joint-cap sacrifices 1.50 accuracy points relative to head-only but gains 8.89 Macro-F1 points and 7.54 balanced-accuracy points, indicating improved recognition across classes. Forgetting rises by 2.54 points, so the routed arm does not provide a retention benefit on this dataset. On NSL-KDD, joint-cap improves accuracy by 7.13 points, Macro-F1 by 4.05 points, balanced accuracy by 2.75 points, and reduces forgetting by 3.06 points. The very large head-only seed variability on NSL-KDD is itself a warning against selecting one favourable run.</w:t>
      </w:r>
    </w:p>
    <w:p w14:paraId="00100129" w14:textId="0010012A">
      <w:pPr>
        <w:pStyle w:val="Heading2"/>
      </w:pPr>
      <w:r>
        <w:rPr/>
        <w:t xml:space="preserve">4.3 RQ2: Additive classifier comparison</w:t>
      </w:r>
    </w:p>
    <w:p w14:paraId="0010012B" w14:textId="0010012C">
      <w:pPr>
        <w:pStyle w:val="Caption"/>
      </w:pPr>
      <w:r>
        <w:rPr>
          <w:i/>
          <w:sz w:val="16"/>
        </w:rPr>
        <w:t xml:space="preserve">Table 3. Malaya classifier comparisons. Values are mean +/- sample SD; protocols and seed sets are shown explicitly.</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2D" w14:textId="00100164">
            <w:pPr>
              <w:jc w:val="center"/>
            </w:pPr>
            <w:r>
              <w:rPr>
                <w:b/>
                <w:color w:val="0F2A43"/>
                <w:sz w:val="15"/>
              </w:rPr>
              <w:t xml:space="preserve">Model and protocol</w:t>
            </w:r>
          </w:p>
        </w:tc>
        <w:tc>
          <w:tcPr>
            <w:shd w:val="clear" w:fill="EAF0F5"/>
          </w:tcPr>
          <w:p w14:paraId="0010012F" w14:textId="00100166">
            <w:pPr>
              <w:jc w:val="center"/>
            </w:pPr>
            <w:r>
              <w:rPr>
                <w:b/>
                <w:color w:val="0F2A43"/>
                <w:sz w:val="15"/>
              </w:rPr>
              <w:t xml:space="preserve">Accuracy</w:t>
            </w:r>
          </w:p>
        </w:tc>
        <w:tc>
          <w:tcPr>
            <w:shd w:val="clear" w:fill="EAF0F5"/>
          </w:tcPr>
          <w:p w14:paraId="00100131" w14:textId="00100168">
            <w:pPr>
              <w:jc w:val="center"/>
            </w:pPr>
            <w:r>
              <w:rPr>
                <w:b/>
                <w:color w:val="0F2A43"/>
                <w:sz w:val="15"/>
              </w:rPr>
              <w:t xml:space="preserve">Macro-F1</w:t>
            </w:r>
          </w:p>
        </w:tc>
        <w:tc>
          <w:tcPr>
            <w:shd w:val="clear" w:fill="EAF0F5"/>
          </w:tcPr>
          <w:p w14:paraId="00100133" w14:textId="0010016A">
            <w:pPr>
              <w:jc w:val="center"/>
            </w:pPr>
            <w:r>
              <w:rPr>
                <w:b/>
                <w:color w:val="0F2A43"/>
                <w:sz w:val="15"/>
              </w:rPr>
              <w:t xml:space="preserve">Balanced acc.</w:t>
            </w:r>
          </w:p>
        </w:tc>
        <w:tc>
          <w:tcPr>
            <w:shd w:val="clear" w:fill="EAF0F5"/>
          </w:tcPr>
          <w:p w14:paraId="00100135" w14:textId="0010016C">
            <w:pPr>
              <w:jc w:val="center"/>
            </w:pPr>
            <w:r>
              <w:rPr>
                <w:b/>
                <w:color w:val="0F2A43"/>
                <w:sz w:val="15"/>
              </w:rPr>
              <w:t xml:space="preserve">Forgetting</w:t>
            </w:r>
          </w:p>
        </w:tc>
      </w:tr>
      <w:tr>
        <w:trPr/>
        <w:tc>
          <w:p w14:paraId="00100137" w14:textId="0010016D">
            <w:r>
              <w:rPr>
                <w:sz w:val="15"/>
              </w:rPr>
              <w:t xml:space="preserve">TabM-OFRA joint cap, 5 seeds</w:t>
            </w:r>
          </w:p>
        </w:tc>
        <w:tc>
          <w:p w14:paraId="00100139" w14:textId="0010016F">
            <w:pPr>
              <w:jc w:val="center"/>
            </w:pPr>
            <w:r>
              <w:rPr>
                <w:sz w:val="15"/>
              </w:rPr>
              <w:t xml:space="preserve">57.99 +/- 3.93</w:t>
            </w:r>
          </w:p>
        </w:tc>
        <w:tc>
          <w:p w14:paraId="0010013B" w14:textId="00100171">
            <w:pPr>
              <w:jc w:val="center"/>
            </w:pPr>
            <w:r>
              <w:rPr>
                <w:sz w:val="15"/>
              </w:rPr>
              <w:t xml:space="preserve">20.46 +/- 1.19</w:t>
            </w:r>
          </w:p>
        </w:tc>
        <w:tc>
          <w:p w14:paraId="0010013D" w14:textId="00100173">
            <w:pPr>
              <w:jc w:val="center"/>
            </w:pPr>
            <w:r>
              <w:rPr>
                <w:sz w:val="15"/>
              </w:rPr>
              <w:t xml:space="preserve">21.60 +/- 1.70</w:t>
            </w:r>
          </w:p>
        </w:tc>
        <w:tc>
          <w:p w14:paraId="0010013F" w14:textId="00100175">
            <w:pPr>
              <w:jc w:val="center"/>
            </w:pPr>
            <w:r>
              <w:rPr>
                <w:sz w:val="15"/>
              </w:rPr>
              <w:t xml:space="preserve">4.39 +/- 2.56 pp</w:t>
            </w:r>
          </w:p>
        </w:tc>
      </w:tr>
      <w:tr>
        <w:trPr/>
        <w:tc>
          <w:p w14:paraId="00100141" w14:textId="00100176">
            <w:r>
              <w:rPr>
                <w:sz w:val="15"/>
              </w:rPr>
              <w:t xml:space="preserve">FT512-OFRA joint cap, 4 seeds</w:t>
            </w:r>
          </w:p>
        </w:tc>
        <w:tc>
          <w:p w14:paraId="00100143" w14:textId="00100178">
            <w:pPr>
              <w:jc w:val="center"/>
            </w:pPr>
            <w:r>
              <w:rPr>
                <w:sz w:val="15"/>
              </w:rPr>
              <w:t xml:space="preserve">54.37 +/- 3.02</w:t>
            </w:r>
          </w:p>
        </w:tc>
        <w:tc>
          <w:p w14:paraId="00100145" w14:textId="0010017A">
            <w:pPr>
              <w:jc w:val="center"/>
            </w:pPr>
            <w:r>
              <w:rPr>
                <w:sz w:val="15"/>
              </w:rPr>
              <w:t xml:space="preserve">20.70 +/- 3.72</w:t>
            </w:r>
          </w:p>
        </w:tc>
        <w:tc>
          <w:p w14:paraId="00100147" w14:textId="0010017C">
            <w:pPr>
              <w:jc w:val="center"/>
            </w:pPr>
            <w:r>
              <w:rPr>
                <w:sz w:val="15"/>
              </w:rPr>
              <w:t xml:space="preserve">22.70 +/- 3.86</w:t>
            </w:r>
          </w:p>
        </w:tc>
        <w:tc>
          <w:p w14:paraId="00100149" w14:textId="0010017E">
            <w:pPr>
              <w:jc w:val="center"/>
            </w:pPr>
            <w:r>
              <w:rPr>
                <w:sz w:val="15"/>
              </w:rPr>
              <w:t xml:space="preserve">3.79 +/- 0.64 pp</w:t>
            </w:r>
          </w:p>
        </w:tc>
      </w:tr>
      <w:tr>
        <w:trPr/>
        <w:tc>
          <w:p w14:paraId="0010014B" w14:textId="0010017F">
            <w:r>
              <w:rPr>
                <w:sz w:val="15"/>
              </w:rPr>
              <w:t xml:space="preserve">CatBoost cumulative, 5 seeds</w:t>
            </w:r>
          </w:p>
        </w:tc>
        <w:tc>
          <w:p w14:paraId="0010014D" w14:textId="00100181">
            <w:pPr>
              <w:jc w:val="center"/>
            </w:pPr>
            <w:r>
              <w:rPr>
                <w:sz w:val="15"/>
              </w:rPr>
              <w:t xml:space="preserve">66.50 +/- 0.44</w:t>
            </w:r>
          </w:p>
        </w:tc>
        <w:tc>
          <w:p w14:paraId="0010014F" w14:textId="00100183">
            <w:pPr>
              <w:jc w:val="center"/>
            </w:pPr>
            <w:r>
              <w:rPr>
                <w:sz w:val="15"/>
              </w:rPr>
              <w:t xml:space="preserve">34.76 +/- 0.69</w:t>
            </w:r>
          </w:p>
        </w:tc>
        <w:tc>
          <w:p w14:paraId="00100151" w14:textId="00100185">
            <w:pPr>
              <w:jc w:val="center"/>
            </w:pPr>
            <w:r>
              <w:rPr>
                <w:sz w:val="15"/>
              </w:rPr>
              <w:t xml:space="preserve">39.10 +/- 0.73</w:t>
            </w:r>
          </w:p>
        </w:tc>
        <w:tc>
          <w:p w14:paraId="00100153" w14:textId="00100187">
            <w:pPr>
              <w:jc w:val="center"/>
            </w:pPr>
            <w:r>
              <w:rPr>
                <w:sz w:val="15"/>
              </w:rPr>
              <w:t xml:space="preserve">15.34 +/- 0.73 pp</w:t>
            </w:r>
          </w:p>
        </w:tc>
      </w:tr>
      <w:tr>
        <w:trPr/>
        <w:tc>
          <w:p w14:paraId="00100155" w14:textId="00100188">
            <w:r>
              <w:rPr>
                <w:sz w:val="15"/>
              </w:rPr>
              <w:t xml:space="preserve">TabM cumulative, 5 seeds</w:t>
            </w:r>
          </w:p>
        </w:tc>
        <w:tc>
          <w:p w14:paraId="00100157" w14:textId="0010018A">
            <w:pPr>
              <w:jc w:val="center"/>
            </w:pPr>
            <w:r>
              <w:rPr>
                <w:sz w:val="15"/>
              </w:rPr>
              <w:t xml:space="preserve">65.01 +/- 0.96</w:t>
            </w:r>
          </w:p>
        </w:tc>
        <w:tc>
          <w:p w14:paraId="00100159" w14:textId="0010018C">
            <w:pPr>
              <w:jc w:val="center"/>
            </w:pPr>
            <w:r>
              <w:rPr>
                <w:sz w:val="15"/>
              </w:rPr>
              <w:t xml:space="preserve">32.66 +/- 1.31</w:t>
            </w:r>
          </w:p>
        </w:tc>
        <w:tc>
          <w:p w14:paraId="0010015B" w14:textId="0010018E">
            <w:pPr>
              <w:jc w:val="center"/>
            </w:pPr>
            <w:r>
              <w:rPr>
                <w:sz w:val="15"/>
              </w:rPr>
              <w:t xml:space="preserve">34.41 +/- 1.51</w:t>
            </w:r>
          </w:p>
        </w:tc>
        <w:tc>
          <w:p w14:paraId="0010015D" w14:textId="00100190">
            <w:pPr>
              <w:jc w:val="center"/>
            </w:pPr>
            <w:r>
              <w:rPr>
                <w:sz w:val="15"/>
              </w:rPr>
              <w:t xml:space="preserve">9.43 +/- 1.80 pp</w:t>
            </w:r>
          </w:p>
        </w:tc>
      </w:tr>
    </w:tbl>
    <w:p w14:paraId="0010015F" w14:textId="00100160">
      <w:pPr>
        <w:pStyle w:val="Normal"/>
      </w:pPr>
      <w:r>
        <w:rPr/>
        <w:t xml:space="preserve">Over the four seeds shared with FT-Transformer 512x12, TabM-OFRA joint-cap accuracy increases from 54.37% to 59.59% (+5.23 percentage points), while Macro-F1 changes by +0.15 points, balanced accuracy by -0.64 points, and forgetting by -0.01 points. The improvement is therefore concentrated in aggregate accuracy. BitTorrent constitutes 53.39% of the test set and its mean recall rises by 10.54 points, whereas recall falls for Steam, TeamViewer, Discord, and Webex. The TabM result does not support a general claim of improved minority-class recognition.</w:t>
      </w:r>
    </w:p>
    <w:p w14:paraId="001000CE" w14:textId="00100128">
      <w:pPr>
        <w:pStyle w:val="Heading2"/>
        <w:keepNext/>
      </w:pPr>
      <w:r>
        <w:t xml:space="preserve">4.4 RQ3: ETG governance outcomes</w:t>
      </w:r>
    </w:p>
    <w:p w14:paraId="001000D0" w14:textId="001000D1">
      <w:pPr>
        <w:jc w:val="center"/>
      </w:pPr>
      <w:r>
        <w:drawing>
          <wp:inline xmlns:a="http://schemas.openxmlformats.org/drawingml/2006/main" xmlns:pic="http://schemas.openxmlformats.org/drawingml/2006/picture">
            <wp:extent cx="5669280" cy="2090547"/>
            <wp:docPr id="3" name="Picture 3"/>
            <wp:cNvGraphicFramePr>
              <a:graphicFrameLocks noChangeAspect="1"/>
            </wp:cNvGraphicFramePr>
            <a:graphic>
              <a:graphicData uri="http://schemas.openxmlformats.org/drawingml/2006/picture">
                <pic:pic>
                  <pic:nvPicPr>
                    <pic:cNvPr id="0" name="etg_summary.jpg"/>
                    <pic:cNvPicPr/>
                  </pic:nvPicPr>
                  <pic:blipFill>
                    <a:blip r:embed="rId13"/>
                    <a:stretch>
                      <a:fillRect/>
                    </a:stretch>
                  </pic:blipFill>
                  <pic:spPr>
                    <a:xfrm>
                      <a:off x="0" y="0"/>
                      <a:ext cx="5669280" cy="2090547"/>
                    </a:xfrm>
                    <a:prstGeom prst="rect"/>
                  </pic:spPr>
                </pic:pic>
              </a:graphicData>
            </a:graphic>
          </wp:inline>
        </w:drawing>
      </w:r>
    </w:p>
    <w:p w14:paraId="001000D2" w14:textId="001000D3">
      <w:pPr>
        <w:spacing w:before="80" w:after="120"/>
        <w:jc w:val="center"/>
      </w:pPr>
      <w:r>
        <w:rPr>
          <w:rFonts w:ascii="Arial" w:hAnsi="Arial"/>
          <w:b w:val="0"/>
          <w:i/>
          <w:color w:val="5A646E"/>
          <w:sz w:val="17"/>
        </w:rPr>
        <w:t>Figure 3. Malaya seed-1 ETG evidence. Counts are governance outcomes, not production incidents or completed human reviews.</w:t>
      </w:r>
    </w:p>
    <w:p w14:paraId="001000D4" w14:textId="001000D5">
      <w:pPr>
        <w:spacing w:before="0" w:after="100" w:line="259" w:lineRule="auto"/>
        <w:jc w:val="both"/>
      </w:pPr>
      <w:r>
        <w:rPr>
          <w:rFonts w:ascii="Arial" w:hAnsi="Arial"/>
          <w:b w:val="0"/>
          <w:i w:val="0"/>
          <w:sz w:val="20"/>
        </w:rPr>
        <w:t>ETG records six certified admissions and four refused admissions. Four transitions are escalated, one strict recertification succeeds, and two strict-recertification attempts fail. Final states include six UNEXPLAINABLE, three CERTIFIED_STABLE, and one DRIFTED class record. These outcomes demonstrate execution of the registered state machine on actual joint-cap explanation evidence. They do not quantify analyst benefit, false-alarm reduction, production remediation, or causal improvement of later OFRA checkpoints.</w:t>
      </w:r>
    </w:p>
    <w:p w14:paraId="001000D6" w14:textId="001000D7">
      <w:pPr>
        <w:pStyle w:val="Heading1"/>
        <w:keepNext/>
      </w:pPr>
      <w:r>
        <w:t>5. Discussion</w:t>
      </w:r>
    </w:p>
    <w:p w14:paraId="001000D8" w14:textId="001000D9">
      <w:pPr>
        <w:pStyle w:val="Heading2"/>
        <w:keepNext/>
      </w:pPr>
      <w:r>
        <w:t>5.1 When is the trade-off operationally worthwhile?</w:t>
      </w:r>
    </w:p>
    <w:p w14:paraId="001000DA" w14:textId="001000DB">
      <w:pPr>
        <w:spacing w:before="0" w:after="100" w:line="259" w:lineRule="auto"/>
        <w:jc w:val="both"/>
      </w:pPr>
      <w:r>
        <w:rPr>
          <w:rFonts w:ascii="Arial" w:hAnsi="Arial"/>
          <w:b w:val="0"/>
          <w:i w:val="0"/>
          <w:sz w:val="20"/>
        </w:rPr>
        <w:t>The value of routing depends on the threat model and dataset. On NSL-KDD, the matched result is favourable across accuracy, class-balanced metrics, and forgetting, although four seeds remain insufficient for a final superiority claim. On Malaya, routing improves minority-class coverage while worsening forgetting and slightly reducing overall accuracy. This trade may be acceptable when failure on an underrepresented class is more costly than a small aggregate accuracy reduction, such as when a security team prioritises coverage of rare but consequential attack families. It is not automatically worthwhile for application-traffic classification, and the decision should be based on per-class costs, not overall accuracy alone.</w:t>
      </w:r>
    </w:p>
    <w:p w14:paraId="00100193" w14:textId="00100194">
      <w:pPr>
        <w:pStyle w:val="Heading2"/>
      </w:pPr>
      <w:r>
        <w:rPr/>
        <w:t xml:space="preserve">5.2 Classifier capacity and class imbalance</w:t>
      </w:r>
    </w:p>
    <w:p w14:paraId="00100195" w14:textId="00100196">
      <w:pPr>
        <w:pStyle w:val="Normal"/>
      </w:pPr>
      <w:r>
        <w:rPr/>
        <w:t xml:space="preserve">The new comparisons separate two questions that were previously conflated. TabM-OFRA asks whether a different differentiable encoder can improve the existing OFRA pipeline without changing its router, heads, or memory rules. The cumulative models ask how much performance is available when all seen-class rows are retained and a fresh multiclass classifier is trained. TabM-OFRA improves aggregate accuracy but not class-balanced metrics, whereas cumulative CatBoost improves all final classification metrics while showing greater checkpoint forgetting. Together with the per-class recall audit, this indicates that model capacity alone is not the main bottleneck; class imbalance and the combination of binary heads, routing, and bounded replay remain material.</w:t>
      </w:r>
    </w:p>
    <w:p w14:paraId="001000DC" w14:textId="00100119">
      <w:pPr>
        <w:pStyle w:val="Heading2"/>
        <w:keepNext/>
      </w:pPr>
      <w:r>
        <w:t xml:space="preserve">5.3 Meaning of the integrated evidence chain</w:t>
      </w:r>
    </w:p>
    <w:p w14:paraId="001000DE" w14:textId="001000DF">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t xml:space="preserve">5.4 Attribution dependence</w:t>
      </w:r>
    </w:p>
    <w:p w14:paraId="001000E2" w14:textId="001000E3">
      <w:pPr>
        <w:spacing w:before="0" w:after="100" w:line="259" w:lineRule="auto"/>
        <w:jc w:val="both"/>
      </w:pPr>
      <w:r>
        <w:rPr>
          <w:rFonts w:ascii="Arial" w:hAnsi="Arial"/>
          <w:b w:val="0"/>
          <w:i w:val="0"/>
          <w:sz w:val="20"/>
        </w:rPr>
        <w:t>The legacy 19-of-39 admission flip demonstrates that ETG states can inherit instability from the attribution method. The correct response is not to hide that sensitivity but to quantify it and, if necessary, require method-consensus or uncertainty-aware admission. Until the registered three-method experiment is complete, Expected Gradients should be described as the current operational explainer rather than as a uniquely correct attribution method.</w:t>
      </w:r>
    </w:p>
    <w:p w14:paraId="001000E4" w14:textId="001000E5">
      <w:pPr>
        <w:pStyle w:val="Heading1"/>
        <w:keepNext/>
      </w:pPr>
      <w:r>
        <w:t>6. Limitations and Threats to Validity</w:t>
      </w:r>
    </w:p>
    <w:p w14:paraId="001000E6" w14:textId="0010011F">
      <w:pPr>
        <w:spacing w:before="0" w:after="100" w:line="259" w:lineRule="auto"/>
        <w:jc w:val="both"/>
      </w:pPr>
      <w:r>
        <w:rPr>
          <w:rFonts w:ascii="Arial" w:hAnsi="Arial"/>
          <w:b w:val="0"/>
          <w:i w:val="0"/>
          <w:sz w:val="20"/>
        </w:rPr>
        <w:t xml:space="preserve">First, the main FT-Transformer predictive aggregate contains four seeds, not the registered five, and only Malaya and NSL-KDD have completed current-model formal runs. The five-seed TabM-OFRA result is an additive encoder comparison on Malaya only; it does not replace the primary FT-Transformer evidence. Second, the SHAP and ETG evidence is Malaya seed 1 only and has not been executed for TabM. Third, attribution-method robustness is not yet bounded for the current routed-margin pipeline. Fourth, the silent-drift thresholds are study-defined operating rules and have not been externally calibrated. Fifth, ETG actions are simulated and no analyst study or deployed feedback loop has been conducted.</w:t>
      </w:r>
    </w:p>
    <w:p w14:paraId="001000E8" w14:textId="00100120">
      <w:pPr>
        <w:spacing w:before="0" w:after="100" w:line="259" w:lineRule="auto"/>
        <w:jc w:val="both"/>
      </w:pPr>
      <w:r>
        <w:rPr>
          <w:rFonts w:ascii="Arial" w:hAnsi="Arial"/>
          <w:b w:val="0"/>
          <w:i w:val="0"/>
          <w:sz w:val="20"/>
        </w:rPr>
        <w:t xml:space="preserve">Sixth, Task-0-only scaling is documented in the current formal protocol, but every internal feature statistic must still pass a code-level no-look-ahead audit before the term oracle-free is used without qualification. Seventh, Malaya is not an intrusion-detection dataset, and its application labels cannot support attack-recall or benign false-positive claims. Eighth, Malaya is strongly imbalanced: BitTorrent constitutes 53.39% of the test set, so TabM's accuracy increase is not evidence of uniform class improvement. Ninth, cumulative CatBoost and TabM retrain on all seen-class rows and are capacity diagnostics rather than matched continual-learning baselines; the CatBoost 400-tree setting is exploratory because it followed a seed-1 sensitivity check. Tenth, the results do not yet report complete runtime, explanation latency, energy, analyst burden, or protocol-matched statistical tests across the full dataset suite.</w:t>
      </w:r>
    </w:p>
    <w:p w14:paraId="001000EA" w14:textId="001000EB">
      <w:pPr>
        <w:pStyle w:val="Heading1"/>
        <w:keepNext/>
      </w:pPr>
      <w:r>
        <w:t>7. Conclusion</w:t>
      </w:r>
    </w:p>
    <w:p w14:paraId="001000EC" w14:textId="00100121">
      <w:pPr>
        <w:spacing w:before="0" w:after="100" w:line="259" w:lineRule="auto"/>
        <w:jc w:val="both"/>
      </w:pPr>
      <w:r>
        <w:rPr>
          <w:rFonts w:ascii="Arial" w:hAnsi="Arial"/>
          <w:b w:val="0"/>
          <w:i w:val="0"/>
          <w:sz w:val="20"/>
        </w:rPr>
        <w:t xml:space="preserve">This revision provides a bounded evaluation of OFRA prediction, additive classifier diagnostics, and post-hoc ETG governance. The FT-Transformer evidence shows dataset-dependent routing trade-offs. The five-seed Malaya TabM adapter improves joint-cap aggregate accuracy relative to FT-Transformer on four common seeds, but it does not materially improve Macro-F1, balanced accuracy, or forgetting; the gain is driven mainly by the majority BitTorrent class. Cumulative CatBoost and TabM results show that the fixed feature representation contains additional classification headroom, but they are not OFRA or ETG results. A source-bound Malaya seed-1 analysis finds 12 silent explanation-drift events among 17 eligible transitions and executes the ETG state machine on the same routed-score evidence. The work therefore supports an integrated offline audit pipeline, not an online adaptive loop. Submission readiness still depends on completing the missing FT seeds and datasets, current-pipeline attribution robustness, multi-seed SHAP and ETG analysis, and a full no-look-ahead audit.</w:t>
      </w:r>
    </w:p>
    <w:p w14:paraId="001000EE" w14:textId="001000EF">
      <w:pPr>
        <w:pStyle w:val="Heading1"/>
        <w:keepNext/>
      </w:pPr>
      <w:r>
        <w:t>Declarations</w:t>
      </w:r>
    </w:p>
    <w:p w14:paraId="001000F0" w14:textId="001000F1">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14:paraId="001000F2" w14:textId="001000F3">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14:paraId="001000F4" w14:textId="001000F5">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F8" w14:textId="001000F9">
      <w:pPr>
        <w:pStyle w:val="Heading1"/>
        <w:keepNext/>
      </w:pPr>
      <w:r>
        <w:t>References</w:t>
      </w:r>
    </w:p>
    <w:p w14:paraId="001000FA" w14:textId="001000FB">
      <w:pPr>
        <w:spacing w:before="0" w:after="40" w:line="259" w:lineRule="auto"/>
        <w:ind w:star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40" w:line="259" w:lineRule="auto"/>
        <w:ind w:start="288" w:hanging="288"/>
        <w:jc w:val="left"/>
      </w:pPr>
      <w:r>
        <w:rPr>
          <w:rFonts w:ascii="Arial" w:hAnsi="Arial"/>
          <w:b w:val="0"/>
          <w:i w:val="0"/>
          <w:sz w:val="16"/>
        </w:rPr>
        <w:t>French, R. M. (1999). Catastrophic forgetting in connectionist networks. Trends in Cognitive Sciences, 3(4), 128-135. https://doi.org/10.1016/S1364-6613(99)01294-2</w:t>
      </w:r>
    </w:p>
    <w:p w14:paraId="001000FE" w14:textId="001000FF">
      <w:pPr>
        <w:spacing w:before="0" w:after="40" w:line="259" w:lineRule="auto"/>
        <w:ind w:star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40" w:line="259" w:lineRule="auto"/>
        <w:ind w:start="288" w:hanging="288"/>
      </w:pPr>
      <w:r>
        <w:rPr>
          <w:sz w:val="16"/>
        </w:rPr>
        <w:t xml:space="preserve">Gorishniy, Y., Kotelnikov, A., and Babenko, A. (2025). TabM: Advancing tabular deep learning with parameter-efficient ensembling. International Conference on Learning Representations. https://arxiv.org/abs/2410.24210</w:t>
      </w:r>
    </w:p>
    <w:p w14:paraId="00100100" w14:textId="00100101">
      <w:pPr>
        <w:spacing w:before="0" w:after="40" w:line="259" w:lineRule="auto"/>
        <w:ind w:star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40" w:line="259" w:lineRule="auto"/>
        <w:ind w:star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14:paraId="00100104" w14:textId="00100105">
      <w:pPr>
        <w:spacing w:before="0" w:after="40" w:line="259" w:lineRule="auto"/>
        <w:ind w:start="288" w:hanging="288"/>
        <w:jc w:val="left"/>
      </w:pPr>
      <w:r>
        <w:rPr>
          <w:rFonts w:ascii="Arial" w:hAnsi="Arial"/>
          <w:b w:val="0"/>
          <w:i w:val="0"/>
          <w:sz w:val="16"/>
        </w:rPr>
        <w:t>Lundberg, S. M., and Lee, S.-I. (2017). A unified approach to interpreting model predictions. Advances in Neural Information Processing Systems, 30.</w:t>
      </w:r>
    </w:p>
    <w:p w14:paraId="00100106" w14:textId="00100107">
      <w:pPr>
        <w:spacing w:before="0" w:after="40" w:line="259" w:lineRule="auto"/>
        <w:ind w:star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40" w:line="259" w:lineRule="auto"/>
        <w:ind w:star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40" w:line="259" w:lineRule="auto"/>
        <w:ind w:start="288" w:hanging="288"/>
      </w:pPr>
      <w:r>
        <w:rPr>
          <w:sz w:val="16"/>
        </w:rPr>
        <w:t xml:space="preserve">Prokhorenkova, L., Gusev, G., Vorobev, A., Dorogush, A. V., and Gulin, A. (2018). CatBoost: Unbiased boosting with categorical features. Advances in Neural Information Processing Systems, 31.</w:t>
      </w:r>
    </w:p>
    <w:p w14:paraId="0010010A" w14:textId="0010010B">
      <w:pPr>
        <w:spacing w:before="0" w:after="40" w:line="259" w:lineRule="auto"/>
        <w:ind w:star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14:paraId="0010010C" w14:textId="0010010D">
      <w:pPr>
        <w:spacing w:before="0" w:after="40" w:line="259" w:lineRule="auto"/>
        <w:ind w:star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rsidRPr="0006063C" w:rsidR="00FC693F"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9C">
    <w:pPr>
      <w:pStyle w:val="Footer"/>
      <w:jc w:val="center"/>
    </w:pPr>
    <w:r>
      <w:rPr>
        <w:rFonts w:ascii="Arial" w:hAnsi="Arial"/>
        <w:b w:val="0"/>
        <w:i w:val="0"/>
        <w:color w:val="5A646E"/>
        <w:sz w:val="16"/>
      </w:rPr>
      <w:t xml:space="preserve">WU LIQIANG | Research manuscript v2.1 | Page </w:t>
    </w:r>
    <w:r>
      <w:fldChar w:fldCharType="begin"/>
    </w:r>
    <w:r>
      <w:instrText xml:space="preserve"> PAGE </w:instrText>
    </w:r>
    <w:r>
      <w:fldChar w:fldCharType="separate"/>
    </w:r>
    <w:r>
      <w:t xml:space="preserve">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12">
    <w:pPr>
      <w:pStyle w:val="Header"/>
      <w:jc w:val="right"/>
    </w:pPr>
    <w:r>
      <w:rPr>
        <w:rFonts w:ascii="Arial" w:hAnsi="Arial"/>
        <w:b w:val="0"/>
        <w:i w:val="0"/>
        <w:color w:val="5A646E"/>
        <w:sz w:val="16"/>
      </w:rPr>
      <w:t xml:space="preserve">OFRA + ETG | Supervisor revision | 17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and ETG research manuscript</dc:subject>
  <dc:creator>WU LIQIANG</dc:creator>
  <cp:keywords>continual learning; network intrusion detection; explanation stability; SHAP; OFRA; ETG</cp:keywords>
  <dc:description>generated by python-docx</dc:description>
  <cp:lastModifiedBy>WU LIQIANG</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1.0.139</vt:lpwstr>
  </op:property>
  <op:property fmtid="{D5CDD505-2E9C-101B-9397-08002B2CF9AE}" pid="3" name="OfficeCLI.LastModified">
    <vt:lpwstr xmlns:vt="http://schemas.openxmlformats.org/officeDocument/2006/docPropsVTypes">2026-08-17T10:39:11Z</vt:lpwstr>
  </op:property>
</op:Properties>
</file>