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00000"/>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000000"/>
          <w:sz w:val="23"/>
        </w:rPr>
        <w:t>OFRA prediction with an offline ETG evidence ledger</w:t>
      </w:r>
    </w:p>
    <w:p w14:paraId="00100004" w14:textId="00100005">
      <w:pPr>
        <w:spacing w:after="320"/>
        <w:jc w:val="center"/>
      </w:pPr>
      <w:r>
        <w:rPr>
          <w:rFonts w:ascii="Arial" w:hAnsi="Arial"/>
          <w:b/>
          <w:i w:val="0"/>
          <w:color w:val="000000"/>
          <w:sz w:val="21"/>
        </w:rPr>
        <w:t>WU LIQIANG</w:t>
      </w:r>
    </w:p>
    <w:p w14:paraId="00100006" w14:textId="00100007">
      <w:pPr>
        <w:pStyle w:val="Heading1"/>
        <w:keepNext/>
      </w:pPr>
      <w:r>
        <w:rPr>
          <w:color w:val="000000"/>
        </w:rPr>
        <w:t>Abstract</w:t>
      </w:r>
    </w:p>
    <w:p w14:paraId="00100008" w14:textId="001001A1">
      <w:pPr>
        <w:spacing w:before="0" w:after="100" w:line="259" w:lineRule="auto"/>
        <w:jc w:val="both"/>
      </w:pPr>
      <w:r>
        <w:rPr>
          <w:rFonts w:ascii="Arial" w:hAnsi="Arial"/>
          <w:color w:val="000000"/>
          <w:sz w:val="18"/>
        </w:rPr>
        <w:t>Class-incremental network-traffic classification must learn newly introduced classes without an oracle task identifier while retaining earlier knowledge. We evaluate prediction, explanation stability, and post-hoc governance as linked but separately bounded layers. OFRA combines a shared tabular encoder, family-specific low-rank binary heads, bounded replay, and centroid-based routing. Five-seed prediction results across five independently processed datasets show dataset-dependent trade-offs. A same-data Balanced Replay50 comparison finds Malaya accuracy of 54.68% versus 40.14% and signed forgetting of 3.55 versus 43.80 percentage points. On ReplayIDS D2, primary OFRA improves accuracy and Macro-F1 but lowers attack recall from 99.78% to 85.73%; the comparison does not isolate architecture from loss, sampling, or memory differences. A separate five-seed Malaya analysis compares Expected Gradients, Feature Ablation, and Gradient x Input on a registered routed class margin. Their mean silent-drift rates are 73.98%, 3.60%, and 14.34%, with all-method agreement of 50.0% for admission, 54.0% for ETG state, and 35.0% for drift. ETG is consequently a method-conditioned offline ledger, not an independent safety certificate. Task-0-only normalisation and vocabulary fitting are distinguished from offline dataset construction. Cross-environment ReplayIDS score reconstruction fails a fixed numerical-fidelity gate, limiting portability claims. The evidence establishes measurable retention, detection, and explanation trade-offs rather than universal superiority, autonomous unknown discovery, or an online feedback loop.</w:t>
      </w:r>
    </w:p>
    <w:p w14:paraId="0010000A" w14:textId="0010000B">
      <w:pPr>
        <w:spacing w:before="0" w:after="100" w:line="259" w:lineRule="auto"/>
        <w:jc w:val="left"/>
      </w:pPr>
      <w:r>
        <w:rPr>
          <w:rFonts w:ascii="Arial" w:hAnsi="Arial"/>
          <w:b w:val="0"/>
          <w:i/>
          <w:color w:val="000000"/>
          <w:sz w:val="20"/>
        </w:rPr>
        <w:t>Keywords: class-incremental learning; network traffic classification; explainable AI; explanation drift; SHAP; trust governance; intrusion detection.</w:t>
      </w:r>
    </w:p>
    <w:p w14:paraId="0010000C" w14:textId="0010000D">
      <w:pPr>
        <w:pStyle w:val="Heading1"/>
        <w:keepNext/>
      </w:pPr>
      <w:r>
        <w:rPr>
          <w:color w:val="000000"/>
        </w:rPr>
        <w:t>1. Introduction</w:t>
      </w:r>
    </w:p>
    <w:p w14:paraId="0010000E" w14:textId="0010000F">
      <w:pPr>
        <w:pStyle w:val="Heading2"/>
        <w:keepNext/>
      </w:pPr>
      <w:r>
        <w:rPr>
          <w:color w:val="000000"/>
        </w:rPr>
        <w:t>1.1 Background and motivation</w:t>
      </w:r>
    </w:p>
    <w:p w14:paraId="00100010" w14:textId="00100011">
      <w:pPr>
        <w:spacing w:before="0" w:after="100" w:line="259" w:lineRule="auto"/>
        <w:jc w:val="both"/>
      </w:pPr>
      <w:r>
        <w:rPr>
          <w:rFonts w:ascii="Arial" w:hAnsi="Arial"/>
          <w:b w:val="0"/>
          <w:i w:val="0"/>
          <w:color w:val="00000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color w:val="000000"/>
          <w:sz w:val="20"/>
        </w:rPr>
        <w:t>This study distinguishes prediction, explanation, and governance. OFRA produces the class decision. SHAP explains a registered class margin at stored checkpoints; the primary Malaya analysis uses fixed true-class probes. ETG consumes performance and explanation evidence after inference and writes a governance ledger. An explanation-quality failure does not cancel the underlying classification alert. ETG has not been evaluated as a controller of the learner.</w:t>
      </w:r>
    </w:p>
    <w:p w14:paraId="00100014" w14:textId="00100015">
      <w:pPr>
        <w:pStyle w:val="Heading2"/>
        <w:keepNext/>
      </w:pPr>
      <w:r>
        <w:rPr>
          <w:color w:val="000000"/>
        </w:rPr>
        <w:t>1.2 Problem statement</w:t>
      </w:r>
    </w:p>
    <w:p w14:paraId="00100016" w14:textId="00100017">
      <w:pPr>
        <w:spacing w:before="0" w:after="100" w:line="259" w:lineRule="auto"/>
        <w:jc w:val="both"/>
      </w:pPr>
      <w:r>
        <w:rPr>
          <w:rFonts w:ascii="Arial" w:hAnsi="Arial"/>
          <w:b w:val="0"/>
          <w:i w:val="0"/>
          <w:color w:val="00000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rPr>
          <w:color w:val="000000"/>
        </w:rPr>
        <w:t>1.3 Research questions and objectives</w:t>
      </w:r>
    </w:p>
    <w:p w14:paraId="0010001A" w14:textId="0010001B">
      <w:pPr>
        <w:spacing w:before="0" w:after="100" w:line="259" w:lineRule="auto"/>
        <w:jc w:val="both"/>
      </w:pPr>
      <w:r>
        <w:rPr>
          <w:color w:val="000000"/>
        </w:rP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rPr>
          <w:color w:val="000000"/>
        </w:rP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rPr>
          <w:color w:val="000000"/>
        </w:rP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rPr>
          <w:color w:val="000000"/>
        </w:rP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0E" w14:textId="0010000F">
      <w:pPr>
        <w:pStyle w:val="Heading2"/>
        <w:keepNext/>
        <w:pageBreakBefore w:val="0"/>
      </w:pPr>
      <w:r>
        <w:rPr>
          <w:rFonts w:ascii="Arial" w:hAnsi="Arial"/>
          <w:b/>
          <w:color w:val="000000"/>
          <w:sz w:val="24"/>
        </w:rPr>
        <w:t>1.4 Contributions and attribution of methods</w:t>
      </w:r>
    </w:p>
    <w:p w14:paraId="00100010" w14:textId="00100011">
      <w:pPr>
        <w:keepNext w:val="0"/>
        <w:pageBreakBefore w:val="0"/>
        <w:spacing w:before="0" w:after="100" w:line="259" w:lineRule="auto"/>
        <w:jc w:val="both"/>
      </w:pPr>
      <w:r>
        <w:rPr>
          <w:rFonts w:ascii="Arial" w:hAnsi="Arial"/>
          <w:b w:val="0"/>
          <w:color w:val="000000"/>
          <w:sz w:val="18"/>
        </w:rPr>
        <w:t>The study-specific contribution is the design and evaluation of a class-incremental predictor together with an audit of its routed class margins and an explanation-governance ledger that leaves prediction active. The experiments separate retention, minority-class coverage, attribution stability, and governance state, rather than treating a single accuracy or explanation score as sufficient evidence. The five-seed sensitivity measurements and negative results define where this design is useful and where it remains inadequate.</w:t>
      </w:r>
    </w:p>
    <w:p w14:paraId="00100010" w14:textId="00100011">
      <w:pPr>
        <w:keepNext w:val="0"/>
        <w:pageBreakBefore w:val="0"/>
        <w:spacing w:before="0" w:after="100" w:line="259" w:lineRule="auto"/>
        <w:jc w:val="both"/>
      </w:pPr>
      <w:r>
        <w:rPr>
          <w:rFonts w:ascii="Arial" w:hAnsi="Arial"/>
          <w:b w:val="0"/>
          <w:color w:val="000000"/>
          <w:sz w:val="18"/>
        </w:rPr>
        <w:t>The constituent learning and explanation methods are not new algorithms introduced here. Low-rank adaptation, FT-Transformer, TabM, DP-Means, SHAP, Feature Ablation, and Gradient x Input are existing methods. Family-head integration, the registered score combination, fixed-probe audit protocol, and ledger rules are study-specific design choices. A combination of established components does not by itself demonstrate algorithmic novelty or a causal architectural advantage. Those stronger claims require controlled component comparisons and operational validation.</w:t>
      </w:r>
      <w:r>
        <w:t xml:space="preserve"> FT-Transformer follows Gorishniy et al. (2021); DP-Means originates from Kulis and Jordan (2012).</w:t>
      </w:r>
    </w:p>
    <w:p w14:paraId="00100022" w14:textId="00100023">
      <w:pPr>
        <w:pStyle w:val="Heading1"/>
        <w:keepNext/>
      </w:pPr>
      <w:r>
        <w:rPr>
          <w:color w:val="000000"/>
        </w:rPr>
        <w:t>2. Related Work</w:t>
      </w:r>
    </w:p>
    <w:p w14:paraId="00100024" w14:textId="00100025">
      <w:pPr>
        <w:pStyle w:val="Heading2"/>
        <w:keepNext/>
      </w:pPr>
      <w:r>
        <w:rPr>
          <w:color w:val="000000"/>
        </w:rPr>
        <w:t>2.1 Continual learning and parameter-efficient adaptation</w:t>
      </w:r>
    </w:p>
    <w:p w14:paraId="00100026" w14:textId="0010011C">
      <w:pPr>
        <w:spacing w:before="0" w:after="100" w:line="259" w:lineRule="auto"/>
        <w:jc w:val="both"/>
      </w:pPr>
      <w:r>
        <w:rPr>
          <w:rFonts w:ascii="Arial" w:hAnsi="Arial"/>
          <w:b w:val="0"/>
          <w:i w:val="0"/>
          <w:color w:val="000000"/>
          <w:sz w:val="20"/>
        </w:rPr>
        <w:t>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rPr>
          <w:color w:val="000000"/>
        </w:rPr>
        <w:t>2.2 Explanation drift and IDS governance</w:t>
      </w:r>
    </w:p>
    <w:p w14:paraId="0010002A" w14:textId="0010002B">
      <w:pPr>
        <w:spacing w:before="0" w:after="100" w:line="259" w:lineRule="auto"/>
        <w:jc w:val="both"/>
      </w:pPr>
      <w:r>
        <w:rPr>
          <w:rFonts w:ascii="Arial" w:hAnsi="Arial"/>
          <w:b w:val="0"/>
          <w:i w:val="0"/>
          <w:color w:val="00000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keepNext/>
        <w:pageBreakBefore w:val="0"/>
        <w:spacing w:before="80" w:after="120"/>
        <w:jc w:val="center"/>
      </w:pPr>
      <w:r>
        <w:rPr>
          <w:rFonts w:ascii="Arial" w:hAnsi="Arial"/>
          <w:color w:val="000000"/>
          <w:sz w:val="16"/>
        </w:rPr>
        <w:t xml:space="preserve">Table </w:t>
      </w:r>
      <w:fldSimple w:instr=" SEQ Table ">
        <w:r>
          <w:t>1</w:t>
        </w:r>
      </w:fldSimple>
      <w:r>
        <w:rPr>
          <w:rFonts w:ascii="Arial" w:hAnsi="Arial"/>
          <w:color w:val="000000"/>
          <w:sz w:val="16"/>
        </w:rPr>
        <w:t>.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rPr>
          <w:tblHeader/>
          <w:cantSplit/>
        </w:trPr>
        <w:tc>
          <w:tcPr>
            <w:tcW w:w="1550" w:type="dxa"/>
            <w:shd w:val="clear" w:fill="EAEAEA"/>
            <w:tcMar>
              <w:top w:w="25" w:type="dxa"/>
              <w:start w:w="70" w:type="dxa"/>
              <w:bottom w:w="25" w:type="dxa"/>
              <w:end w:w="70" w:type="dxa"/>
            </w:tcMar>
            <w:vAlign w:val="center"/>
          </w:tcPr>
          <w:p w14:paraId="0010002E" w14:textId="0010002F">
            <w:pPr>
              <w:keepNext/>
              <w:spacing w:after="0" w:before="0" w:line="216" w:lineRule="auto"/>
              <w:jc w:val="center"/>
            </w:pPr>
            <w:r>
              <w:rPr>
                <w:rFonts w:ascii="Arial" w:hAnsi="Arial"/>
                <w:b/>
                <w:i w:val="0"/>
                <w:color w:val="000000"/>
                <w:sz w:val="14"/>
              </w:rPr>
              <w:t>Study</w:t>
            </w:r>
          </w:p>
        </w:tc>
        <w:tc>
          <w:tcPr>
            <w:tcW w:w="2250" w:type="dxa"/>
            <w:shd w:val="clear" w:fill="EAEAEA"/>
            <w:tcMar>
              <w:top w:w="25" w:type="dxa"/>
              <w:start w:w="70" w:type="dxa"/>
              <w:bottom w:w="25" w:type="dxa"/>
              <w:end w:w="70" w:type="dxa"/>
            </w:tcMar>
            <w:vAlign w:val="center"/>
          </w:tcPr>
          <w:p w14:paraId="00100030" w14:textId="00100031">
            <w:pPr>
              <w:keepNext/>
              <w:spacing w:after="0" w:before="0" w:line="216" w:lineRule="auto"/>
              <w:jc w:val="center"/>
            </w:pPr>
            <w:r>
              <w:rPr>
                <w:rFonts w:ascii="Arial" w:hAnsi="Arial"/>
                <w:b/>
                <w:i w:val="0"/>
                <w:color w:val="000000"/>
                <w:sz w:val="14"/>
              </w:rPr>
              <w:t>Drift or trust trigger</w:t>
            </w:r>
          </w:p>
        </w:tc>
        <w:tc>
          <w:tcPr>
            <w:tcW w:w="1800" w:type="dxa"/>
            <w:shd w:val="clear" w:fill="EAEAEA"/>
            <w:tcMar>
              <w:top w:w="25" w:type="dxa"/>
              <w:start w:w="70" w:type="dxa"/>
              <w:bottom w:w="25" w:type="dxa"/>
              <w:end w:w="70" w:type="dxa"/>
            </w:tcMar>
            <w:vAlign w:val="center"/>
          </w:tcPr>
          <w:p w14:paraId="00100032" w14:textId="00100033">
            <w:pPr>
              <w:keepNext/>
              <w:spacing w:after="0" w:before="0" w:line="216" w:lineRule="auto"/>
              <w:jc w:val="center"/>
            </w:pPr>
            <w:r>
              <w:rPr>
                <w:rFonts w:ascii="Arial" w:hAnsi="Arial"/>
                <w:b/>
                <w:i w:val="0"/>
                <w:color w:val="000000"/>
                <w:sz w:val="14"/>
              </w:rPr>
              <w:t>IDS setting</w:t>
            </w:r>
          </w:p>
        </w:tc>
        <w:tc>
          <w:tcPr>
            <w:tcW w:w="3760" w:type="dxa"/>
            <w:shd w:val="clear" w:fill="EAEAEA"/>
            <w:tcMar>
              <w:top w:w="25" w:type="dxa"/>
              <w:start w:w="70" w:type="dxa"/>
              <w:bottom w:w="25" w:type="dxa"/>
              <w:end w:w="70" w:type="dxa"/>
            </w:tcMar>
            <w:vAlign w:val="center"/>
          </w:tcPr>
          <w:p w14:paraId="00100034" w14:textId="00100035">
            <w:pPr>
              <w:keepNext/>
              <w:spacing w:after="0" w:before="0" w:line="216" w:lineRule="auto"/>
              <w:jc w:val="center"/>
            </w:pPr>
            <w:r>
              <w:rPr>
                <w:rFonts w:ascii="Arial" w:hAnsi="Arial"/>
                <w:b/>
                <w:i w:val="0"/>
                <w:color w:val="000000"/>
                <w:sz w:val="14"/>
              </w:rPr>
              <w:t>Gap relative to this work</w:t>
            </w:r>
          </w:p>
        </w:tc>
      </w:tr>
      <w:tr>
        <w:trPr>
          <w:cantSplit/>
        </w:trPr>
        <w:tc>
          <w:tcPr>
            <w:tcW w:w="1550" w:type="dxa"/>
            <w:tcMar>
              <w:top w:w="25" w:type="dxa"/>
              <w:start w:w="70" w:type="dxa"/>
              <w:bottom w:w="25" w:type="dxa"/>
              <w:end w:w="70" w:type="dxa"/>
            </w:tcMar>
            <w:vAlign w:val="center"/>
          </w:tcPr>
          <w:p w14:paraId="00100036" w14:textId="00100037">
            <w:pPr>
              <w:keepNext/>
              <w:spacing w:after="0" w:before="0" w:line="216" w:lineRule="auto"/>
              <w:jc w:val="left"/>
            </w:pPr>
            <w:r>
              <w:rPr>
                <w:rFonts w:ascii="Arial" w:hAnsi="Arial"/>
                <w:b w:val="0"/>
                <w:i w:val="0"/>
                <w:color w:val="000000"/>
                <w:sz w:val="14"/>
              </w:rPr>
              <w:t>E2D2 (2026)</w:t>
            </w:r>
          </w:p>
        </w:tc>
        <w:tc>
          <w:tcPr>
            <w:tcW w:w="2250" w:type="dxa"/>
            <w:tcMar>
              <w:top w:w="25" w:type="dxa"/>
              <w:start w:w="70" w:type="dxa"/>
              <w:bottom w:w="25" w:type="dxa"/>
              <w:end w:w="70" w:type="dxa"/>
            </w:tcMar>
            <w:vAlign w:val="center"/>
          </w:tcPr>
          <w:p w14:paraId="00100038" w14:textId="00100039">
            <w:pPr>
              <w:keepNext/>
              <w:spacing w:after="0" w:before="0" w:line="216" w:lineRule="auto"/>
              <w:jc w:val="center"/>
            </w:pPr>
            <w:r>
              <w:rPr>
                <w:rFonts w:ascii="Arial" w:hAnsi="Arial"/>
                <w:b w:val="0"/>
                <w:i w:val="0"/>
                <w:color w:val="000000"/>
                <w:sz w:val="14"/>
              </w:rPr>
              <w:t>Unsupervised explanation-based drift</w:t>
            </w:r>
          </w:p>
        </w:tc>
        <w:tc>
          <w:tcPr>
            <w:tcW w:w="1800" w:type="dxa"/>
            <w:tcMar>
              <w:top w:w="25" w:type="dxa"/>
              <w:start w:w="70" w:type="dxa"/>
              <w:bottom w:w="25" w:type="dxa"/>
              <w:end w:w="70" w:type="dxa"/>
            </w:tcMar>
            <w:vAlign w:val="center"/>
          </w:tcPr>
          <w:p w14:paraId="0010003A" w14:textId="0010003B">
            <w:pPr>
              <w:keepNext/>
              <w:spacing w:after="0" w:before="0" w:line="216" w:lineRule="auto"/>
              <w:jc w:val="center"/>
            </w:pPr>
            <w:r>
              <w:rPr>
                <w:rFonts w:ascii="Arial" w:hAnsi="Arial"/>
                <w:b w:val="0"/>
                <w:i w:val="0"/>
                <w:color w:val="000000"/>
                <w:sz w:val="14"/>
              </w:rPr>
              <w:t>Unsupervised NIDS</w:t>
            </w:r>
          </w:p>
        </w:tc>
        <w:tc>
          <w:tcPr>
            <w:tcW w:w="3760" w:type="dxa"/>
            <w:tcMar>
              <w:top w:w="25" w:type="dxa"/>
              <w:start w:w="70" w:type="dxa"/>
              <w:bottom w:w="25" w:type="dxa"/>
              <w:end w:w="70" w:type="dxa"/>
            </w:tcMar>
            <w:vAlign w:val="center"/>
          </w:tcPr>
          <w:p w14:paraId="0010003C" w14:textId="0010003D">
            <w:pPr>
              <w:keepNext/>
              <w:spacing w:after="0" w:before="0" w:line="216" w:lineRule="auto"/>
              <w:jc w:val="center"/>
            </w:pPr>
            <w:r>
              <w:rPr>
                <w:rFonts w:ascii="Arial" w:hAnsi="Arial"/>
                <w:b w:val="0"/>
                <w:i w:val="0"/>
                <w:color w:val="000000"/>
                <w:sz w:val="14"/>
              </w:rPr>
              <w:t>Not legitimate class-incremental model updates; no ETG action ledger</w:t>
            </w:r>
          </w:p>
        </w:tc>
      </w:tr>
      <w:tr>
        <w:trPr>
          <w:cantSplit/>
        </w:trPr>
        <w:tc>
          <w:tcPr>
            <w:tcW w:w="1550" w:type="dxa"/>
            <w:tcMar>
              <w:top w:w="25" w:type="dxa"/>
              <w:start w:w="70" w:type="dxa"/>
              <w:bottom w:w="25" w:type="dxa"/>
              <w:end w:w="70" w:type="dxa"/>
            </w:tcMar>
            <w:vAlign w:val="center"/>
          </w:tcPr>
          <w:p w14:paraId="0010003E" w14:textId="0010003F">
            <w:pPr>
              <w:keepNext/>
              <w:spacing w:after="0" w:before="0" w:line="216" w:lineRule="auto"/>
              <w:jc w:val="left"/>
            </w:pPr>
            <w:r>
              <w:rPr>
                <w:rFonts w:ascii="Arial" w:hAnsi="Arial"/>
                <w:b w:val="0"/>
                <w:i w:val="0"/>
                <w:color w:val="000000"/>
                <w:sz w:val="14"/>
              </w:rPr>
              <w:t>Maseno et al. (2026)</w:t>
            </w:r>
          </w:p>
        </w:tc>
        <w:tc>
          <w:tcPr>
            <w:tcW w:w="2250" w:type="dxa"/>
            <w:tcMar>
              <w:top w:w="25" w:type="dxa"/>
              <w:start w:w="70" w:type="dxa"/>
              <w:bottom w:w="25" w:type="dxa"/>
              <w:end w:w="70" w:type="dxa"/>
            </w:tcMar>
            <w:vAlign w:val="center"/>
          </w:tcPr>
          <w:p w14:paraId="00100040" w14:textId="00100041">
            <w:pPr>
              <w:keepNext/>
              <w:spacing w:after="0" w:before="0" w:line="216" w:lineRule="auto"/>
              <w:jc w:val="center"/>
            </w:pPr>
            <w:r>
              <w:rPr>
                <w:rFonts w:ascii="Arial" w:hAnsi="Arial"/>
                <w:b w:val="0"/>
                <w:i w:val="0"/>
                <w:color w:val="000000"/>
                <w:sz w:val="14"/>
              </w:rPr>
              <w:t>Adversarial SHAP instability</w:t>
            </w:r>
          </w:p>
        </w:tc>
        <w:tc>
          <w:tcPr>
            <w:tcW w:w="1800" w:type="dxa"/>
            <w:tcMar>
              <w:top w:w="25" w:type="dxa"/>
              <w:start w:w="70" w:type="dxa"/>
              <w:bottom w:w="25" w:type="dxa"/>
              <w:end w:w="70" w:type="dxa"/>
            </w:tcMar>
            <w:vAlign w:val="center"/>
          </w:tcPr>
          <w:p w14:paraId="00100042" w14:textId="00100043">
            <w:pPr>
              <w:keepNext/>
              <w:spacing w:after="0" w:before="0" w:line="216" w:lineRule="auto"/>
              <w:jc w:val="center"/>
            </w:pPr>
            <w:r>
              <w:rPr>
                <w:rFonts w:ascii="Arial" w:hAnsi="Arial"/>
                <w:b w:val="0"/>
                <w:i w:val="0"/>
                <w:color w:val="000000"/>
                <w:sz w:val="14"/>
              </w:rPr>
              <w:t>Recurrent multiclass IDS</w:t>
            </w:r>
          </w:p>
        </w:tc>
        <w:tc>
          <w:tcPr>
            <w:tcW w:w="3760" w:type="dxa"/>
            <w:tcMar>
              <w:top w:w="25" w:type="dxa"/>
              <w:start w:w="70" w:type="dxa"/>
              <w:bottom w:w="25" w:type="dxa"/>
              <w:end w:w="70" w:type="dxa"/>
            </w:tcMar>
            <w:vAlign w:val="center"/>
          </w:tcPr>
          <w:p w14:paraId="00100044" w14:textId="00100045">
            <w:pPr>
              <w:keepNext/>
              <w:spacing w:after="0" w:before="0" w:line="216" w:lineRule="auto"/>
              <w:jc w:val="center"/>
            </w:pPr>
            <w:r>
              <w:rPr>
                <w:rFonts w:ascii="Arial" w:hAnsi="Arial"/>
                <w:b w:val="0"/>
                <w:i w:val="0"/>
                <w:color w:val="000000"/>
                <w:sz w:val="14"/>
              </w:rPr>
              <w:t>Adversarial trigger, not benign learning increments; no non-suppressing governance</w:t>
            </w:r>
          </w:p>
        </w:tc>
      </w:tr>
      <w:tr>
        <w:trPr>
          <w:cantSplit/>
        </w:trPr>
        <w:tc>
          <w:tcPr>
            <w:tcW w:w="1550" w:type="dxa"/>
            <w:tcMar>
              <w:top w:w="25" w:type="dxa"/>
              <w:start w:w="70" w:type="dxa"/>
              <w:bottom w:w="25" w:type="dxa"/>
              <w:end w:w="70" w:type="dxa"/>
            </w:tcMar>
            <w:vAlign w:val="center"/>
          </w:tcPr>
          <w:p w14:paraId="00100046" w14:textId="00100047">
            <w:pPr>
              <w:keepNext/>
              <w:spacing w:after="0" w:before="0" w:line="216" w:lineRule="auto"/>
              <w:jc w:val="left"/>
            </w:pPr>
            <w:r>
              <w:rPr>
                <w:rFonts w:ascii="Arial" w:hAnsi="Arial"/>
                <w:b w:val="0"/>
                <w:i w:val="0"/>
                <w:color w:val="000000"/>
                <w:sz w:val="14"/>
              </w:rPr>
              <w:t>Goncalves and Alomari (2026)</w:t>
            </w:r>
          </w:p>
        </w:tc>
        <w:tc>
          <w:tcPr>
            <w:tcW w:w="2250" w:type="dxa"/>
            <w:tcMar>
              <w:top w:w="25" w:type="dxa"/>
              <w:start w:w="70" w:type="dxa"/>
              <w:bottom w:w="25" w:type="dxa"/>
              <w:end w:w="70" w:type="dxa"/>
            </w:tcMar>
            <w:vAlign w:val="center"/>
          </w:tcPr>
          <w:p w14:paraId="00100048" w14:textId="00100049">
            <w:pPr>
              <w:keepNext/>
              <w:spacing w:after="0" w:before="0" w:line="216" w:lineRule="auto"/>
              <w:jc w:val="center"/>
            </w:pPr>
            <w:r>
              <w:rPr>
                <w:rFonts w:ascii="Arial" w:hAnsi="Arial"/>
                <w:b w:val="0"/>
                <w:i w:val="0"/>
                <w:color w:val="000000"/>
                <w:sz w:val="14"/>
              </w:rPr>
              <w:t>Human interpretation of SHAP/LIME</w:t>
            </w:r>
          </w:p>
        </w:tc>
        <w:tc>
          <w:tcPr>
            <w:tcW w:w="1800" w:type="dxa"/>
            <w:tcMar>
              <w:top w:w="25" w:type="dxa"/>
              <w:start w:w="70" w:type="dxa"/>
              <w:bottom w:w="25" w:type="dxa"/>
              <w:end w:w="70" w:type="dxa"/>
            </w:tcMar>
            <w:vAlign w:val="center"/>
          </w:tcPr>
          <w:p w14:paraId="0010004A" w14:textId="0010004B">
            <w:pPr>
              <w:keepNext/>
              <w:spacing w:after="0" w:before="0" w:line="216" w:lineRule="auto"/>
              <w:jc w:val="center"/>
            </w:pPr>
            <w:r>
              <w:rPr>
                <w:rFonts w:ascii="Arial" w:hAnsi="Arial"/>
                <w:b w:val="0"/>
                <w:i w:val="0"/>
                <w:color w:val="000000"/>
                <w:sz w:val="14"/>
              </w:rPr>
              <w:t>AWS GuardDuty</w:t>
            </w:r>
          </w:p>
        </w:tc>
        <w:tc>
          <w:tcPr>
            <w:tcW w:w="3760" w:type="dxa"/>
            <w:tcMar>
              <w:top w:w="25" w:type="dxa"/>
              <w:start w:w="70" w:type="dxa"/>
              <w:bottom w:w="25" w:type="dxa"/>
              <w:end w:w="70" w:type="dxa"/>
            </w:tcMar>
            <w:vAlign w:val="center"/>
          </w:tcPr>
          <w:p w14:paraId="0010004C" w14:textId="0010004D">
            <w:pPr>
              <w:keepNext/>
              <w:spacing w:after="0" w:before="0" w:line="216" w:lineRule="auto"/>
              <w:jc w:val="center"/>
            </w:pPr>
            <w:r>
              <w:rPr>
                <w:rFonts w:ascii="Arial" w:hAnsi="Arial"/>
                <w:b w:val="0"/>
                <w:i w:val="0"/>
                <w:color w:val="000000"/>
                <w:sz w:val="14"/>
              </w:rPr>
              <w:t>User study rather than longitudinal routed-score stability</w:t>
            </w:r>
          </w:p>
        </w:tc>
      </w:tr>
      <w:tr>
        <w:trPr>
          <w:cantSplit/>
        </w:trPr>
        <w:tc>
          <w:tcPr>
            <w:tcW w:w="1550" w:type="dxa"/>
            <w:tcMar>
              <w:top w:w="25" w:type="dxa"/>
              <w:start w:w="70" w:type="dxa"/>
              <w:bottom w:w="25" w:type="dxa"/>
              <w:end w:w="70" w:type="dxa"/>
            </w:tcMar>
            <w:vAlign w:val="center"/>
          </w:tcPr>
          <w:p w14:paraId="0010004E" w14:textId="0010004F">
            <w:pPr>
              <w:keepNext w:val="0"/>
              <w:spacing w:after="0" w:before="0" w:line="216" w:lineRule="auto"/>
              <w:jc w:val="left"/>
            </w:pPr>
            <w:r>
              <w:rPr>
                <w:rFonts w:ascii="Arial" w:hAnsi="Arial"/>
                <w:b w:val="0"/>
                <w:i w:val="0"/>
                <w:color w:val="000000"/>
                <w:sz w:val="14"/>
              </w:rPr>
              <w:t>Adabara et al. (2025)</w:t>
            </w:r>
          </w:p>
        </w:tc>
        <w:tc>
          <w:tcPr>
            <w:tcW w:w="2250" w:type="dxa"/>
            <w:tcMar>
              <w:top w:w="25" w:type="dxa"/>
              <w:start w:w="70" w:type="dxa"/>
              <w:bottom w:w="25" w:type="dxa"/>
              <w:end w:w="70" w:type="dxa"/>
            </w:tcMar>
            <w:vAlign w:val="center"/>
          </w:tcPr>
          <w:p w14:paraId="00100050" w14:textId="00100051">
            <w:pPr>
              <w:keepNext w:val="0"/>
              <w:spacing w:after="0" w:before="0" w:line="216" w:lineRule="auto"/>
              <w:jc w:val="center"/>
            </w:pPr>
            <w:r>
              <w:rPr>
                <w:rFonts w:ascii="Arial" w:hAnsi="Arial"/>
                <w:b w:val="0"/>
                <w:i w:val="0"/>
                <w:color w:val="000000"/>
                <w:sz w:val="14"/>
              </w:rPr>
              <w:t>Calibration, uncertainty, and SHAP</w:t>
            </w:r>
          </w:p>
        </w:tc>
        <w:tc>
          <w:tcPr>
            <w:tcW w:w="1800" w:type="dxa"/>
            <w:tcMar>
              <w:top w:w="25" w:type="dxa"/>
              <w:start w:w="70" w:type="dxa"/>
              <w:bottom w:w="25" w:type="dxa"/>
              <w:end w:w="70" w:type="dxa"/>
            </w:tcMar>
            <w:vAlign w:val="center"/>
          </w:tcPr>
          <w:p w14:paraId="00100052" w14:textId="00100053">
            <w:pPr>
              <w:keepNext w:val="0"/>
              <w:spacing w:after="0" w:before="0" w:line="216" w:lineRule="auto"/>
              <w:jc w:val="center"/>
            </w:pPr>
            <w:r>
              <w:rPr>
                <w:rFonts w:ascii="Arial" w:hAnsi="Arial"/>
                <w:b w:val="0"/>
                <w:i w:val="0"/>
                <w:color w:val="000000"/>
                <w:sz w:val="14"/>
              </w:rPr>
              <w:t>CICIDS2017</w:t>
            </w:r>
          </w:p>
        </w:tc>
        <w:tc>
          <w:tcPr>
            <w:tcW w:w="3760" w:type="dxa"/>
            <w:tcMar>
              <w:top w:w="25" w:type="dxa"/>
              <w:start w:w="70" w:type="dxa"/>
              <w:bottom w:w="25" w:type="dxa"/>
              <w:end w:w="70" w:type="dxa"/>
            </w:tcMar>
            <w:vAlign w:val="center"/>
          </w:tcPr>
          <w:p w14:paraId="00100054" w14:textId="00100055">
            <w:pPr>
              <w:keepNext w:val="0"/>
              <w:spacing w:after="0" w:before="0" w:line="216" w:lineRule="auto"/>
              <w:jc w:val="center"/>
            </w:pPr>
            <w:r>
              <w:rPr>
                <w:rFonts w:ascii="Arial" w:hAnsi="Arial"/>
                <w:b w:val="0"/>
                <w:i w:val="0"/>
                <w:color w:val="000000"/>
                <w:sz w:val="14"/>
              </w:rPr>
              <w:t>No class-incremental sequence or explanation-state transition ledger</w:t>
            </w:r>
          </w:p>
        </w:tc>
      </w:tr>
    </w:tbl>
    <w:p w14:paraId="00100056" w14:textId="00100057">
      <w:pPr>
        <w:pStyle w:val="Heading2"/>
        <w:keepNext/>
      </w:pPr>
      <w:r>
        <w:rPr>
          <w:color w:val="000000"/>
        </w:rPr>
        <w:t>2.3 Research gap</w:t>
      </w:r>
    </w:p>
    <w:p w14:paraId="00100058" w14:textId="00100059">
      <w:pPr>
        <w:spacing w:before="0" w:after="100" w:line="259" w:lineRule="auto"/>
        <w:jc w:val="both"/>
      </w:pPr>
      <w:r>
        <w:rPr>
          <w:rFonts w:ascii="Arial" w:hAnsi="Arial"/>
          <w:b w:val="0"/>
          <w:i w:val="0"/>
          <w:color w:val="000000"/>
          <w:sz w:val="20"/>
        </w:rPr>
        <w:t>The research target is a source-bound protocol that explains the registered routed score, measures stability under legitimate class-incremental updates, and records non-suppressing governance states. The cited studies motivate this specific combination but do not establish its uniqueness across all literature. We evaluate the combination and its limitations without claiming that explanation stability proves prediction correctness or security effectiveness.</w:t>
      </w:r>
    </w:p>
    <w:p w14:paraId="0010005A" w14:textId="0010005B">
      <w:pPr>
        <w:pStyle w:val="Heading1"/>
        <w:keepNext/>
      </w:pPr>
      <w:r>
        <w:rPr>
          <w:color w:val="000000"/>
        </w:rPr>
        <w:t>3. Methodology</w:t>
      </w:r>
    </w:p>
    <w:p w14:paraId="0010005C" w14:textId="0010005D">
      <w:pPr>
        <w:pStyle w:val="Heading2"/>
        <w:keepNext/>
      </w:pPr>
      <w:r>
        <w:rPr>
          <w:color w:val="000000"/>
        </w:rPr>
        <w:t>3.1 Scope and dataset separation</w:t>
      </w:r>
    </w:p>
    <w:p w14:paraId="0010005E" w14:textId="001001A2">
      <w:pPr>
        <w:spacing w:before="0" w:after="100" w:line="259" w:lineRule="auto"/>
        <w:jc w:val="both"/>
      </w:pPr>
      <w:r>
        <w:rPr>
          <w:color w:val="000000"/>
        </w:rP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color w:val="00000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color w:val="000000"/>
          <w:sz w:val="20"/>
        </w:rPr>
        <w:t>The current formal prediction protocols use Task-0-only numerical statistics and categorical vocabularies. Numerical standardisation reads only Task-0 training shards, freezes before pretraining, and rejects later updates. NSL-KDD and UNSW-NB15 vocabularies likewise use Task-0 rows only; later unseen values map to all-zero categorical blocks. The strict widths are 116 and 186 features, and the affected five-seed experiments were rerun. Earlier 122/194-feature builders exposed six and eight future-only one-hot columns, affecting about 0.9% of later-task rows. That schema exposure is historical rather than a property of the current prediction table. CIC-IDS-2017, CSE-CIC-IDS2018, and Malaya have no learned categorical vocabulary. This fitting contract does not imply that every separate dataset-construction policy is prospective; the ReplayIDS D2 exception is specified below.</w:t>
      </w:r>
    </w:p>
    <w:p w14:paraId="00100064" w14:textId="00100065">
      <w:pPr>
        <w:pStyle w:val="Heading2"/>
        <w:keepNext/>
      </w:pPr>
      <w:r>
        <w:rPr>
          <w:color w:val="000000"/>
        </w:rPr>
        <w:t>3.2 OFRA architecture and registered decision arms</w:t>
      </w:r>
    </w:p>
    <w:p w14:paraId="0010006A" w14:textId="0010006B">
      <w:pPr>
        <w:spacing w:before="0" w:after="100" w:line="259" w:lineRule="auto"/>
        <w:jc w:val="both"/>
      </w:pPr>
      <w:r>
        <w:rPr>
          <w:rFonts w:ascii="Arial" w:hAnsi="Arial"/>
          <w:b w:val="0"/>
          <w:i w:val="0"/>
          <w:color w:val="000000"/>
          <w:sz w:val="20"/>
        </w:rPr>
        <w:t>For Malaya, the shared FT-Transformer maps each numerical row to a 512-dimensional representation using 12 layers, 16 attention heads, head dimension 32, and dropout 0.1. The other formal datasets use the separately registered FT256x4 configuration. After Task-0 training the shared encoder is frozen. Task 0 uses eight epochs and later tasks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color w:val="00000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spacing w:after="100"/>
      </w:pPr>
      <w:r>
        <w:rPr>
          <w:color w:val="000000"/>
        </w:rPr>
        <w:t>3.3 Training, metrics, and statistical boundary</w:t>
      </w:r>
      <w:r>
        <w:rPr>
          <w:color w:val="000000"/>
        </w:rPr>
        <w:br/>
      </w:r>
    </w:p>
    <w:p w14:paraId="00100070" w14:textId="0010011E">
      <w:pPr>
        <w:spacing w:before="0" w:after="100" w:line="259" w:lineRule="auto"/>
        <w:jc w:val="both"/>
      </w:pPr>
      <w:r>
        <w:rPr>
          <w:color w:val="000000"/>
        </w:rP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color w:val="000000"/>
        </w:rPr>
        <w:t>3.4 Additive classifier-comparison protocol</w:t>
      </w:r>
    </w:p>
    <w:p w14:paraId="00100124" w14:textId="00100125">
      <w:pPr>
        <w:pStyle w:val="Normal"/>
      </w:pPr>
      <w:r>
        <w:rPr>
          <w:color w:val="000000"/>
        </w:rPr>
        <w:t>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color w:val="000000"/>
        </w:rPr>
        <w:t>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rPr>
          <w:color w:val="000000"/>
        </w:rPr>
        <w:t>3.5 SHAP explanation protocol</w:t>
      </w:r>
    </w:p>
    <w:p w14:paraId="00100074" w14:textId="00100075">
      <w:pPr>
        <w:spacing w:before="0" w:after="100" w:line="259" w:lineRule="auto"/>
        <w:jc w:val="both"/>
      </w:pPr>
      <w:r>
        <w:rPr>
          <w:rFonts w:ascii="Arial" w:hAnsi="Arial"/>
          <w:sz w:val="18"/>
        </w:rPr>
        <w:t>The analyzer uses shap.GradientExplainer, an expected-gradients approximation within the SHAP framework (Lundberg and Lee, 2017). It reconstructs the registered joint-cap class margin (the explained class's joint score minus the largest competing seen-class joint score) and attributes that margin to input features. Positive attributions support the explained margin and negative attributions oppose it. Top-15 features are ranked by absolute attribution magnitude. Fixed probes and backgrounds are source-bound and reused across adjacent checkpoints. Source alignment is distinct from numerical equivalence in a new runtime; the separate ReplayIDS portability check is reported in Section 4.10.</w:t>
      </w:r>
    </w:p>
    <w:p w14:paraId="00100076" w14:textId="00100077">
      <w:pPr>
        <w:spacing w:before="0" w:after="100" w:line="259" w:lineRule="auto"/>
        <w:jc w:val="both"/>
      </w:pPr>
      <w:r>
        <w:rPr>
          <w:rFonts w:ascii="Arial" w:hAnsi="Arial"/>
          <w:sz w:val="18"/>
        </w:rPr>
        <w:t>For adjacent checkpoints, top-feature overlap is the size of the intersection divided by the size of the union of the two feature sets.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rPr>
          <w:color w:val="000000"/>
        </w:rPr>
        <w:t>3.6 ETG governance scope</w:t>
      </w:r>
    </w:p>
    <w:p w14:paraId="0010007A" w14:textId="0010007B">
      <w:pPr>
        <w:spacing w:before="0" w:after="100" w:line="259" w:lineRule="auto"/>
        <w:jc w:val="both"/>
      </w:pPr>
      <w:r>
        <w:rPr>
          <w:rFonts w:ascii="Arial" w:hAnsi="Arial"/>
          <w:color w:val="000000"/>
          <w:sz w:val="18"/>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five-seed analysis consumes stored Malaya OFRA checkpoint evidence for seeds 1, 2, 3, 4, and 42. ETG has therefore been connected to the actual routed-score evidence path, but it has not been evaluated as a closed loop that changes future routing, training, or replay.</w:t>
      </w:r>
    </w:p>
    <w:p w14:paraId="0010007C" w14:textId="00100118">
      <w:pPr>
        <w:pStyle w:val="Heading2"/>
        <w:keepNext/>
      </w:pPr>
      <w:r>
        <w:rPr>
          <w:color w:val="000000"/>
        </w:rPr>
        <w:t>3.7 Attribution-method robustness protocol</w:t>
      </w:r>
    </w:p>
    <w:p w14:paraId="0010007E" w14:textId="001001A5">
      <w:pPr>
        <w:spacing w:before="0" w:after="100" w:line="259" w:lineRule="auto"/>
        <w:jc w:val="both"/>
      </w:pPr>
      <w:r>
        <w:rPr>
          <w:rFonts w:ascii="Arial" w:hAnsi="Arial"/>
          <w:color w:val="000000"/>
          <w:sz w:val="18"/>
        </w:rPr>
        <w:t>The source-bound robustness campaign uses Malaya checkpoints for seeds 1, 2, 3, 4, and 42, fixed true-class probes, the joint-cap-3,000 class margin, the top-15 rule, the registered random-control admission threshold, and the same ETG state machine. Its three primary rankings are Expected Gradients, single-feature ablation to the frozen checkpoint mean, and Gradient x Input. Pairwise top-15 Jaccard, admission agreement, ETG-state agreement, and transition-level silent-drift agreement are reported per seed and summarized with descriptive Student-t intervals. Integrated Gradients remain a failed single-seed numerical diagnostic and are excluded from the primary five-seed comparison. This design measures method dependence rather than assuming that any explainer is uniquely correct.</w:t>
      </w:r>
    </w:p>
    <w:p w14:paraId="001001A6" w14:textId="001001A7">
      <w:pPr>
        <w:pStyle w:val="Heading2"/>
      </w:pPr>
      <w:r>
        <w:rPr>
          <w:color w:val="000000"/>
        </w:rPr>
        <w:t>3.8 No-look-ahead audit protocol</w:t>
      </w:r>
    </w:p>
    <w:p w14:paraId="001001A8" w14:textId="001001A9">
      <w:pPr>
        <w:spacing w:after="100"/>
        <w:jc w:val="both"/>
      </w:pPr>
      <w:r>
        <w:rPr>
          <w:color w:val="000000"/>
        </w:rPr>
        <w:t>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pPr>
        <w:pStyle w:val="Heading2"/>
      </w:pPr>
      <w:r>
        <w:rPr>
          <w:color w:val="000000"/>
        </w:rPr>
        <w:t>3.9 Paired checkpoint-selection protocol</w:t>
      </w:r>
    </w:p>
    <w:p>
      <w:r>
        <w:rPr>
          <w:rFonts w:ascii="Arial" w:hAnsi="Arial"/>
          <w:color w:val="000000"/>
          <w:sz w:val="18"/>
        </w:rPr>
        <w:t>A ReplayIDS-aligned CIC-IDS-2017 D2 experiment compares last-epoch selection with two training-only checkpoint rules under the same fixed split, seeds {1, 2, 3, 4, 42}, FT256x4 encoder, replay-50 budget, training trajectories, and official joint-cap-3,000 inference. The unconstrained candidate selects the earliest maximum binary Macro-F1 on the training-only calibration holdout. The guarded candidate uses the same candidate checkpoints but admits a non-final checkpoint only when calibration Macro-F1 improves by at least 0.01, attack-recall loss is at most 0.01, and benign-FPR increase is at most 0.01; these are project-defined operating guards, not published universal thresholds. Heartbleed has one calibration row and therefore uses the registered last-epoch fallback. The five seeds are paired repetitions on one data split, not five independent datasets.</w:t>
      </w:r>
    </w:p>
    <w:p w14:paraId="0010000E" w14:textId="0010000F">
      <w:pPr>
        <w:pStyle w:val="Heading2"/>
        <w:keepNext/>
        <w:pageBreakBefore w:val="0"/>
      </w:pPr>
      <w:r>
        <w:rPr>
          <w:rFonts w:ascii="Arial" w:hAnsi="Arial"/>
          <w:b/>
          <w:color w:val="000000"/>
          <w:sz w:val="24"/>
        </w:rPr>
        <w:t>3.10 Same-data replay comparison and offline construction</w:t>
      </w:r>
    </w:p>
    <w:p w14:paraId="00100010" w14:textId="00100011">
      <w:pPr>
        <w:keepNext w:val="0"/>
        <w:pageBreakBefore w:val="0"/>
        <w:spacing w:before="0" w:after="100" w:line="259" w:lineRule="auto"/>
        <w:jc w:val="both"/>
      </w:pPr>
      <w:r>
        <w:rPr>
          <w:rFonts w:ascii="Arial" w:hAnsi="Arial"/>
          <w:b w:val="0"/>
          <w:color w:val="000000"/>
          <w:sz w:val="18"/>
        </w:rPr>
        <w:t>Balanced Replay50 updates a shared FT-Transformer and multiclass head, pairing each later-task new row with one draw from old-class memory and retaining 50 herded examples per observed class. It is compared with same-seed OFRA joint-cap-3,000 results on Malaya and a separate ReplayIDS-aligned CIC-IDS-2017 D2 derivative. Splits, class supports, Task-0-only normalisation, and task order match within each dataset. Equal exemplar counts and epochs do not match total memory or compute: OFRA also stores centroids, replay changes row exposure, and the shared multiclass comparator differs from OFRA's binary focal loss and negative sampling. This is a system-level comparison, not an architecture-only ablation.</w:t>
      </w:r>
    </w:p>
    <w:p w14:paraId="00100010" w14:textId="00100011">
      <w:pPr>
        <w:keepNext w:val="0"/>
        <w:pageBreakBefore w:val="0"/>
        <w:spacing w:before="0" w:after="100" w:line="259" w:lineRule="auto"/>
        <w:jc w:val="both"/>
      </w:pPr>
      <w:r>
        <w:rPr>
          <w:rFonts w:ascii="Arial" w:hAnsi="Arial"/>
          <w:b w:val="0"/>
          <w:color w:val="000000"/>
          <w:sz w:val="18"/>
        </w:rPr>
        <w:t>D2 caps normal-class training rows at the largest attack-class fitting count, 124,780. It contains 268,697 fitting rows, 68,313 training-only calibration rows, and 227,723 fixed test rows with 78 features. The cap uses counts from all fitting attack classes, including later increments. Thus D2 is an offline benchmark-construction policy, not a fully prospective no-look-ahead sampling policy. Official-test labels do not fit the cap, normaliser, or checkpoint selector. D2 results must not replace the distinct CIC-IDS-2017 results in Table 3.</w:t>
      </w:r>
    </w:p>
    <w:p w14:paraId="00100010" w14:textId="00100011">
      <w:pPr>
        <w:keepNext w:val="0"/>
        <w:pageBreakBefore w:val="0"/>
        <w:spacing w:before="0" w:after="100" w:line="259" w:lineRule="auto"/>
        <w:jc w:val="both"/>
      </w:pPr>
      <w:r>
        <w:rPr>
          <w:rFonts w:ascii="Arial" w:hAnsi="Arial"/>
          <w:b w:val="0"/>
          <w:color w:val="000000"/>
          <w:sz w:val="18"/>
        </w:rPr>
        <w:t>Seeds 1, 2, 3, 4, and 42 vary training randomness on a fixed split and class order. Seed 42 was used to select the replay comparator in an earlier screen, so the all-five summary is descriptive and seeds 1-4 are also reported separately. ReplayIDS uses last-epoch OFRA checkpoints as the primary comparator; guarded checkpoint selection remains secondary. Exact two-sided paired tests with five nonzero pairs cannot attain p &lt; 0.05 (minimum 0.0625). Neither seed replication nor retrospective re-analysis constitutes five independent datasets.</w:t>
      </w:r>
    </w:p>
    <w:p w14:paraId="00100080" w14:textId="00100081">
      <w:pPr>
        <w:pStyle w:val="Heading1"/>
        <w:keepNext/>
      </w:pPr>
      <w:r>
        <w:rPr>
          <w:color w:val="000000"/>
        </w:rPr>
        <w:t>4. Results</w:t>
      </w:r>
    </w:p>
    <w:p w14:paraId="00100082" w14:textId="00100083">
      <w:pPr>
        <w:pStyle w:val="Heading2"/>
        <w:keepNext/>
      </w:pPr>
      <w:r>
        <w:rPr>
          <w:color w:val="000000"/>
        </w:rPr>
        <w:t>4.1 RQ2: Explanation stability</w:t>
      </w:r>
    </w:p>
    <w:p w14:paraId="00100084" w14:textId="00100085">
      <w:pPr>
        <w:spacing w:before="0" w:after="100" w:line="259" w:lineRule="auto"/>
        <w:jc w:val="both"/>
      </w:pPr>
      <w:r>
        <w:rPr>
          <w:rFonts w:ascii="Arial" w:hAnsi="Arial"/>
          <w:color w:val="000000"/>
          <w:sz w:val="18"/>
        </w:rPr>
        <w:t>Across five seeds, Expected Gradients reports 61 silent-drift events among 82 eligible class-by-adjacent-checkpoint transitions. The mean seed-level rate is 73.98% with a descriptive 95% Student-t interval of 58.38% to 89.57%. The earlier seed-1 value of 12/17 (70.59%) is retained only as a historical component of this aggregate. The evidence unit is a registered class transition, not a packet, flow, sample, or real-world incident.</w:t>
      </w:r>
    </w:p>
    <w:p w14:paraId="00100086" w14:textId="00100087">
      <w:pPr>
        <w:spacing w:before="0" w:after="100" w:line="259" w:lineRule="auto"/>
        <w:jc w:val="both"/>
      </w:pPr>
      <w:r>
        <w:rPr>
          <w:rFonts w:ascii="Arial" w:hAnsi="Arial"/>
          <w:color w:val="000000"/>
          <w:sz w:val="18"/>
        </w:rPr>
        <w:t>Under the registered Expected-Gradients rule, stable class recall does not guarantee stable top-feature membership. However, the five-seed comparison also shows that this conclusion is not invariant to the attribution method. Feature Ablation reports 3/82 events and Gradient x Input reports 12/82. The result does not establish that the model became unsafe, that one explainer is wrong, or that any percentage of network flows drifted. The class-recall and Jaccard thresholds remain study-defined operating settings rather than universal standards.</w:t>
      </w:r>
    </w:p>
    <w:p w14:paraId="001001AA" w14:textId="001001AB">
      <w:pPr>
        <w:pStyle w:val="Heading2"/>
      </w:pPr>
      <w:r>
        <w:rPr>
          <w:color w:val="000000"/>
        </w:rPr>
        <w:t>4.2 RQ2: Attribution-method robustness</w:t>
      </w:r>
    </w:p>
    <w:p w14:paraId="001001AC" w14:textId="001001B7">
      <w:pPr>
        <w:spacing w:after="100"/>
        <w:jc w:val="both"/>
      </w:pPr>
      <w:r>
        <w:rPr>
          <w:rFonts w:ascii="Arial" w:hAnsi="Arial"/>
          <w:color w:val="000000"/>
          <w:sz w:val="18"/>
        </w:rPr>
        <w:t>Across the five stochastic seeds, the three primary methods agree on admission for 50.0% of checkpoint-class rows on average, on ETG state for 54.0%, and on the silent-drift conclusion for 35.0% of adjacent transitions. Expected Gradients, Feature Ablation, and Gradient x Input have mean seed-level silent-drift rates of 73.98%, 3.60%, and 14.34%, respectively. Mean pairwise top-15 Jaccard is 0.516, 0.357, and 0.381 for the three method pairs. The result confirms material attribution dependence: ETG outcomes are method-conditioned, and the registered Expected-Gradients result is not treated as uniquely correct.</w:t>
      </w:r>
    </w:p>
    <w:p w14:paraId="001001EA" w14:textId="001001EB">
      <w:pPr>
        <w:pStyle w:val="Caption"/>
        <w:keepNext/>
      </w:pPr>
      <w:r>
        <w:rPr>
          <w:rFonts w:ascii="Arial" w:hAnsi="Arial"/>
          <w:color w:val="000000"/>
          <w:sz w:val="16"/>
        </w:rPr>
        <w:t xml:space="preserve">Table </w:t>
      </w:r>
      <w:fldSimple w:instr=" SEQ Table ">
        <w:r>
          <w:t>2</w:t>
        </w:r>
      </w:fldSimple>
      <w:r>
        <w:rPr>
          <w:rFonts w:ascii="Arial" w:hAnsi="Arial"/>
          <w:color w:val="000000"/>
          <w:sz w:val="16"/>
        </w:rPr>
        <w:t>. Five-seed attribution-method agreement on the source-bound Malaya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cantSplit/>
        </w:trPr>
        <w:tc>
          <w:tcPr>
            <w:shd w:val="clear" w:fill="EAEAEA"/>
          </w:tcPr>
          <w:p>
            <w:pPr>
              <w:keepNext/>
            </w:pPr>
            <w:r>
              <w:rPr>
                <w:rFonts w:ascii="Arial" w:hAnsi="Arial"/>
                <w:b/>
                <w:color w:val="000000"/>
                <w:sz w:val="14"/>
              </w:rPr>
              <w:t>Method pair</w:t>
            </w:r>
          </w:p>
        </w:tc>
        <w:tc>
          <w:tcPr>
            <w:shd w:val="clear" w:fill="EAEAEA"/>
          </w:tcPr>
          <w:p>
            <w:pPr>
              <w:keepNext/>
            </w:pPr>
            <w:r>
              <w:rPr>
                <w:rFonts w:ascii="Arial" w:hAnsi="Arial"/>
                <w:b/>
                <w:color w:val="000000"/>
                <w:sz w:val="14"/>
              </w:rPr>
              <w:t>Top-15 Jaccard</w:t>
            </w:r>
          </w:p>
        </w:tc>
        <w:tc>
          <w:tcPr>
            <w:shd w:val="clear" w:fill="EAEAEA"/>
          </w:tcPr>
          <w:p>
            <w:pPr>
              <w:keepNext/>
            </w:pPr>
            <w:r>
              <w:rPr>
                <w:rFonts w:ascii="Arial" w:hAnsi="Arial"/>
                <w:b/>
                <w:color w:val="000000"/>
                <w:sz w:val="14"/>
              </w:rPr>
              <w:t>Admission agreement</w:t>
            </w:r>
          </w:p>
        </w:tc>
        <w:tc>
          <w:tcPr>
            <w:shd w:val="clear" w:fill="EAEAEA"/>
          </w:tcPr>
          <w:p>
            <w:pPr>
              <w:keepNext/>
            </w:pPr>
            <w:r>
              <w:rPr>
                <w:rFonts w:ascii="Arial" w:hAnsi="Arial"/>
                <w:b/>
                <w:color w:val="000000"/>
                <w:sz w:val="14"/>
              </w:rPr>
              <w:t>ETG-state agreement</w:t>
            </w:r>
          </w:p>
        </w:tc>
        <w:tc>
          <w:tcPr>
            <w:shd w:val="clear" w:fill="EAEAEA"/>
          </w:tcPr>
          <w:p>
            <w:pPr>
              <w:keepNext/>
            </w:pPr>
            <w:r>
              <w:rPr>
                <w:rFonts w:ascii="Arial" w:hAnsi="Arial"/>
                <w:b/>
                <w:color w:val="000000"/>
                <w:sz w:val="14"/>
              </w:rPr>
              <w:t>Drift agreement</w:t>
            </w:r>
          </w:p>
        </w:tc>
      </w:tr>
      <w:tr>
        <w:trPr>
          <w:cantSplit/>
        </w:trPr>
        <w:tc>
          <w:p>
            <w:pPr>
              <w:keepNext/>
            </w:pPr>
            <w:r>
              <w:rPr>
                <w:rFonts w:ascii="Arial" w:hAnsi="Arial"/>
                <w:color w:val="000000"/>
                <w:sz w:val="14"/>
              </w:rPr>
              <w:t>Expected vs ablation</w:t>
            </w:r>
          </w:p>
        </w:tc>
        <w:tc>
          <w:p>
            <w:pPr>
              <w:keepNext/>
            </w:pPr>
            <w:r>
              <w:rPr>
                <w:rFonts w:ascii="Arial" w:hAnsi="Arial"/>
                <w:color w:val="000000"/>
                <w:sz w:val="14"/>
              </w:rPr>
              <w:t>0.516</w:t>
            </w:r>
          </w:p>
        </w:tc>
        <w:tc>
          <w:p>
            <w:pPr>
              <w:keepNext/>
            </w:pPr>
            <w:r>
              <w:rPr>
                <w:rFonts w:ascii="Arial" w:hAnsi="Arial"/>
                <w:color w:val="000000"/>
                <w:sz w:val="14"/>
              </w:rPr>
              <w:t>68.7%</w:t>
            </w:r>
          </w:p>
        </w:tc>
        <w:tc>
          <w:p>
            <w:pPr>
              <w:keepNext/>
            </w:pPr>
            <w:r>
              <w:rPr>
                <w:rFonts w:ascii="Arial" w:hAnsi="Arial"/>
                <w:color w:val="000000"/>
                <w:sz w:val="14"/>
              </w:rPr>
              <w:t>69.3%</w:t>
            </w:r>
          </w:p>
        </w:tc>
        <w:tc>
          <w:p>
            <w:pPr>
              <w:keepNext/>
            </w:pPr>
            <w:r>
              <w:rPr>
                <w:rFonts w:ascii="Arial" w:hAnsi="Arial"/>
                <w:color w:val="000000"/>
                <w:sz w:val="14"/>
              </w:rPr>
              <w:t>40.0%</w:t>
            </w:r>
          </w:p>
        </w:tc>
      </w:tr>
      <w:tr>
        <w:trPr>
          <w:cantSplit/>
        </w:trPr>
        <w:tc>
          <w:p>
            <w:pPr>
              <w:keepNext/>
            </w:pPr>
            <w:r>
              <w:rPr>
                <w:rFonts w:ascii="Arial" w:hAnsi="Arial"/>
                <w:color w:val="000000"/>
                <w:sz w:val="14"/>
              </w:rPr>
              <w:t>Expected vs Grad x Input</w:t>
            </w:r>
          </w:p>
        </w:tc>
        <w:tc>
          <w:p>
            <w:pPr>
              <w:keepNext/>
            </w:pPr>
            <w:r>
              <w:rPr>
                <w:rFonts w:ascii="Arial" w:hAnsi="Arial"/>
                <w:color w:val="000000"/>
                <w:sz w:val="14"/>
              </w:rPr>
              <w:t>0.357</w:t>
            </w:r>
          </w:p>
        </w:tc>
        <w:tc>
          <w:p>
            <w:pPr>
              <w:keepNext/>
            </w:pPr>
            <w:r>
              <w:rPr>
                <w:rFonts w:ascii="Arial" w:hAnsi="Arial"/>
                <w:color w:val="000000"/>
                <w:sz w:val="14"/>
              </w:rPr>
              <w:t>64.0%</w:t>
            </w:r>
          </w:p>
        </w:tc>
        <w:tc>
          <w:p>
            <w:pPr>
              <w:keepNext/>
            </w:pPr>
            <w:r>
              <w:rPr>
                <w:rFonts w:ascii="Arial" w:hAnsi="Arial"/>
                <w:color w:val="000000"/>
                <w:sz w:val="14"/>
              </w:rPr>
              <w:t>69.3%</w:t>
            </w:r>
          </w:p>
        </w:tc>
        <w:tc>
          <w:p>
            <w:pPr>
              <w:keepNext/>
            </w:pPr>
            <w:r>
              <w:rPr>
                <w:rFonts w:ascii="Arial" w:hAnsi="Arial"/>
                <w:color w:val="000000"/>
                <w:sz w:val="14"/>
              </w:rPr>
              <w:t>43.0%</w:t>
            </w:r>
          </w:p>
        </w:tc>
      </w:tr>
      <w:tr>
        <w:trPr>
          <w:cantSplit/>
        </w:trPr>
        <w:tc>
          <w:p>
            <w:pPr>
              <w:keepNext w:val="0"/>
            </w:pPr>
            <w:r>
              <w:rPr>
                <w:rFonts w:ascii="Arial" w:hAnsi="Arial"/>
                <w:color w:val="000000"/>
                <w:sz w:val="14"/>
              </w:rPr>
              <w:t>Ablation vs Grad x Input</w:t>
            </w:r>
          </w:p>
        </w:tc>
        <w:tc>
          <w:p>
            <w:pPr>
              <w:keepNext w:val="0"/>
            </w:pPr>
            <w:r>
              <w:rPr>
                <w:rFonts w:ascii="Arial" w:hAnsi="Arial"/>
                <w:color w:val="000000"/>
                <w:sz w:val="14"/>
              </w:rPr>
              <w:t>0.381</w:t>
            </w:r>
          </w:p>
        </w:tc>
        <w:tc>
          <w:p>
            <w:pPr>
              <w:keepNext w:val="0"/>
            </w:pPr>
            <w:r>
              <w:rPr>
                <w:rFonts w:ascii="Arial" w:hAnsi="Arial"/>
                <w:color w:val="000000"/>
                <w:sz w:val="14"/>
              </w:rPr>
              <w:t>67.3%</w:t>
            </w:r>
          </w:p>
        </w:tc>
        <w:tc>
          <w:p>
            <w:pPr>
              <w:keepNext w:val="0"/>
            </w:pPr>
            <w:r>
              <w:rPr>
                <w:rFonts w:ascii="Arial" w:hAnsi="Arial"/>
                <w:color w:val="000000"/>
                <w:sz w:val="14"/>
              </w:rPr>
              <w:t>63.3%</w:t>
            </w:r>
          </w:p>
        </w:tc>
        <w:tc>
          <w:p>
            <w:pPr>
              <w:keepNext w:val="0"/>
            </w:pPr>
            <w:r>
              <w:rPr>
                <w:rFonts w:ascii="Arial" w:hAnsi="Arial"/>
                <w:color w:val="000000"/>
                <w:sz w:val="14"/>
              </w:rPr>
              <w:t>87.0%</w:t>
            </w:r>
          </w:p>
        </w:tc>
      </w:tr>
    </w:tbl>
    <w:p w14:paraId="001001EC" w14:textId="001001ED">
      <w:pPr>
        <w:spacing w:after="100"/>
        <w:jc w:val="both"/>
      </w:pPr>
      <w:r>
        <w:rPr>
          <w:color w:val="000000"/>
        </w:rPr>
        <w:t>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rPr>
          <w:color w:val="000000"/>
        </w:rPr>
        <w:t>4.3 RQ1: Predictive performance and retention</w:t>
      </w:r>
    </w:p>
    <w:p w14:paraId="0010008E" w14:textId="001001EE">
      <w:pPr>
        <w:keepNext/>
        <w:spacing w:before="80" w:after="120"/>
        <w:jc w:val="center"/>
      </w:pPr>
      <w:r>
        <w:rPr>
          <w:rFonts w:ascii="Arial" w:hAnsi="Arial"/>
          <w:color w:val="000000"/>
          <w:sz w:val="16"/>
        </w:rPr>
        <w:t xml:space="preserve">Table </w:t>
      </w:r>
      <w:fldSimple w:instr=" SEQ Table ">
        <w:r>
          <w:t>3</w:t>
        </w:r>
      </w:fldSimple>
      <w:r>
        <w:rPr>
          <w:rFonts w:ascii="Arial" w:hAnsi="Arial"/>
          <w:color w:val="000000"/>
          <w:sz w:val="16"/>
        </w:rPr>
        <w:t>.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rPr>
          <w:tblHeader/>
          <w:cantSplit/>
        </w:trPr>
        <w:tc>
          <w:tcPr>
            <w:tcW w:w="1300" w:type="dxa"/>
            <w:shd w:val="clear" w:fill="EAEAEA"/>
            <w:tcMar>
              <w:top w:w="20" w:type="dxa"/>
              <w:start w:w="55" w:type="dxa"/>
              <w:bottom w:w="20" w:type="dxa"/>
              <w:end w:w="55" w:type="dxa"/>
            </w:tcMar>
            <w:vAlign w:val="center"/>
          </w:tcPr>
          <w:p>
            <w:pPr>
              <w:keepNext/>
              <w:spacing w:after="0" w:before="0" w:line="216" w:lineRule="auto"/>
            </w:pPr>
            <w:r>
              <w:rPr>
                <w:b/>
                <w:color w:val="000000"/>
                <w:sz w:val="14"/>
              </w:rPr>
              <w:t>Dataset / model</w:t>
            </w:r>
          </w:p>
        </w:tc>
        <w:tc>
          <w:tcPr>
            <w:tcW w:w="1350" w:type="dxa"/>
            <w:shd w:val="clear" w:fill="EAEAEA"/>
            <w:tcMar>
              <w:top w:w="20" w:type="dxa"/>
              <w:start w:w="55" w:type="dxa"/>
              <w:bottom w:w="20" w:type="dxa"/>
              <w:end w:w="55" w:type="dxa"/>
            </w:tcMar>
            <w:vAlign w:val="center"/>
          </w:tcPr>
          <w:p>
            <w:pPr>
              <w:keepNext/>
              <w:spacing w:after="0" w:before="0" w:line="216" w:lineRule="auto"/>
            </w:pPr>
            <w:r>
              <w:rPr>
                <w:b/>
                <w:color w:val="000000"/>
                <w:sz w:val="14"/>
              </w:rPr>
              <w:t>Arm</w:t>
            </w:r>
          </w:p>
        </w:tc>
        <w:tc>
          <w:tcPr>
            <w:tcW w:w="1650" w:type="dxa"/>
            <w:shd w:val="clear" w:fill="EAEAEA"/>
            <w:tcMar>
              <w:top w:w="20" w:type="dxa"/>
              <w:start w:w="55" w:type="dxa"/>
              <w:bottom w:w="20" w:type="dxa"/>
              <w:end w:w="55" w:type="dxa"/>
            </w:tcMar>
            <w:vAlign w:val="center"/>
          </w:tcPr>
          <w:p>
            <w:pPr>
              <w:keepNext/>
              <w:spacing w:after="0" w:before="0" w:line="216" w:lineRule="auto"/>
            </w:pPr>
            <w:r>
              <w:rPr>
                <w:b/>
                <w:color w:val="000000"/>
                <w:sz w:val="14"/>
              </w:rPr>
              <w:t>Accuracy</w:t>
            </w:r>
          </w:p>
        </w:tc>
        <w:tc>
          <w:tcPr>
            <w:tcW w:w="1650" w:type="dxa"/>
            <w:shd w:val="clear" w:fill="EAEAEA"/>
            <w:tcMar>
              <w:top w:w="20" w:type="dxa"/>
              <w:start w:w="55" w:type="dxa"/>
              <w:bottom w:w="20" w:type="dxa"/>
              <w:end w:w="55" w:type="dxa"/>
            </w:tcMar>
            <w:vAlign w:val="center"/>
          </w:tcPr>
          <w:p>
            <w:pPr>
              <w:keepNext/>
              <w:spacing w:after="0" w:before="0" w:line="216" w:lineRule="auto"/>
            </w:pPr>
            <w:r>
              <w:rPr>
                <w:b/>
                <w:color w:val="000000"/>
                <w:sz w:val="14"/>
              </w:rPr>
              <w:t>Macro-F1</w:t>
            </w:r>
          </w:p>
        </w:tc>
        <w:tc>
          <w:tcPr>
            <w:tcW w:w="1700" w:type="dxa"/>
            <w:shd w:val="clear" w:fill="EAEAEA"/>
            <w:tcMar>
              <w:top w:w="20" w:type="dxa"/>
              <w:start w:w="55" w:type="dxa"/>
              <w:bottom w:w="20" w:type="dxa"/>
              <w:end w:w="55" w:type="dxa"/>
            </w:tcMar>
            <w:vAlign w:val="center"/>
          </w:tcPr>
          <w:p>
            <w:pPr>
              <w:keepNext/>
              <w:spacing w:after="0" w:before="0" w:line="216" w:lineRule="auto"/>
            </w:pPr>
            <w:r>
              <w:rPr>
                <w:b/>
                <w:color w:val="000000"/>
                <w:sz w:val="14"/>
              </w:rPr>
              <w:t>Balanced acc.</w:t>
            </w:r>
          </w:p>
        </w:tc>
        <w:tc>
          <w:tcPr>
            <w:tcW w:w="1710" w:type="dxa"/>
            <w:shd w:val="clear" w:fill="EAEAEA"/>
            <w:tcMar>
              <w:top w:w="20" w:type="dxa"/>
              <w:start w:w="55" w:type="dxa"/>
              <w:bottom w:w="20" w:type="dxa"/>
              <w:end w:w="55" w:type="dxa"/>
            </w:tcMar>
            <w:vAlign w:val="center"/>
          </w:tcPr>
          <w:p>
            <w:pPr>
              <w:keepNext/>
              <w:spacing w:after="0" w:before="0" w:line="216" w:lineRule="auto"/>
            </w:pPr>
            <w:r>
              <w:rPr>
                <w:b/>
                <w:color w:val="000000"/>
                <w:sz w:val="14"/>
              </w:rPr>
              <w:t>Forgetting</w:t>
            </w:r>
          </w:p>
        </w:tc>
      </w:tr>
      <w:tr>
        <w:trPr>
          <w:cantSplit/>
        </w:trPr>
        <w:tc>
          <w:tcPr>
            <w:tcW w:w="1300" w:type="dxa"/>
            <w:tcMar>
              <w:top w:w="20" w:type="dxa"/>
              <w:start w:w="55" w:type="dxa"/>
              <w:bottom w:w="20" w:type="dxa"/>
              <w:end w:w="55" w:type="dxa"/>
            </w:tcMar>
            <w:vAlign w:val="center"/>
          </w:tcPr>
          <w:p>
            <w:pPr>
              <w:keepNext/>
              <w:spacing w:after="0" w:before="0" w:line="216" w:lineRule="auto"/>
            </w:pPr>
            <w:r>
              <w:rPr>
                <w:color w:val="000000"/>
                <w:sz w:val="14"/>
              </w:rPr>
              <w:t>NSL-KDD</w:t>
              <w:br/>
              <w:t>FT256x4</w:t>
            </w:r>
          </w:p>
        </w:tc>
        <w:tc>
          <w:tcPr>
            <w:tcW w:w="1350" w:type="dxa"/>
            <w:tcMar>
              <w:top w:w="20" w:type="dxa"/>
              <w:start w:w="55" w:type="dxa"/>
              <w:bottom w:w="20" w:type="dxa"/>
              <w:end w:w="55" w:type="dxa"/>
            </w:tcMar>
            <w:vAlign w:val="center"/>
          </w:tcPr>
          <w:p>
            <w:pPr>
              <w:keepNext/>
              <w:spacing w:after="0" w:before="0" w:line="216" w:lineRule="auto"/>
            </w:pPr>
            <w:r>
              <w:rPr>
                <w:color w:val="000000"/>
                <w:sz w:val="14"/>
              </w:rPr>
              <w:t>Head only</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56.29</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31.08</w:t>
            </w:r>
          </w:p>
        </w:tc>
        <w:tc>
          <w:tcPr>
            <w:tcW w:w="1700" w:type="dxa"/>
            <w:tcMar>
              <w:top w:w="20" w:type="dxa"/>
              <w:start w:w="55" w:type="dxa"/>
              <w:bottom w:w="20" w:type="dxa"/>
              <w:end w:w="55" w:type="dxa"/>
            </w:tcMar>
            <w:vAlign w:val="center"/>
          </w:tcPr>
          <w:p>
            <w:pPr>
              <w:keepNext/>
              <w:spacing w:after="0" w:before="0" w:line="216" w:lineRule="auto"/>
            </w:pPr>
            <w:r>
              <w:rPr>
                <w:color w:val="000000"/>
                <w:sz w:val="14"/>
              </w:rPr>
              <w:t>36.48</w:t>
            </w:r>
          </w:p>
        </w:tc>
        <w:tc>
          <w:tcPr>
            <w:tcW w:w="1710" w:type="dxa"/>
            <w:tcMar>
              <w:top w:w="20" w:type="dxa"/>
              <w:start w:w="55" w:type="dxa"/>
              <w:bottom w:w="20" w:type="dxa"/>
              <w:end w:w="55" w:type="dxa"/>
            </w:tcMar>
            <w:vAlign w:val="center"/>
          </w:tcPr>
          <w:p>
            <w:pPr>
              <w:keepNext/>
              <w:spacing w:after="0" w:before="0" w:line="216" w:lineRule="auto"/>
            </w:pPr>
            <w:r>
              <w:rPr>
                <w:color w:val="000000"/>
                <w:sz w:val="14"/>
              </w:rPr>
              <w:t>8.14 pp</w:t>
            </w:r>
          </w:p>
        </w:tc>
      </w:tr>
      <w:tr>
        <w:trPr>
          <w:cantSplit/>
        </w:trPr>
        <w:tc>
          <w:tcPr>
            <w:tcW w:w="1300" w:type="dxa"/>
            <w:tcMar>
              <w:top w:w="20" w:type="dxa"/>
              <w:start w:w="55" w:type="dxa"/>
              <w:bottom w:w="20" w:type="dxa"/>
              <w:end w:w="55" w:type="dxa"/>
            </w:tcMar>
            <w:vAlign w:val="center"/>
          </w:tcPr>
          <w:p>
            <w:pPr>
              <w:keepNext/>
              <w:spacing w:after="0" w:before="0" w:line="216" w:lineRule="auto"/>
            </w:pPr>
            <w:r>
              <w:rPr>
                <w:color w:val="000000"/>
                <w:sz w:val="14"/>
              </w:rPr>
              <w:t>NSL-KDD</w:t>
              <w:br/>
              <w:t>FT256x4</w:t>
            </w:r>
          </w:p>
        </w:tc>
        <w:tc>
          <w:tcPr>
            <w:tcW w:w="1350" w:type="dxa"/>
            <w:tcMar>
              <w:top w:w="20" w:type="dxa"/>
              <w:start w:w="55" w:type="dxa"/>
              <w:bottom w:w="20" w:type="dxa"/>
              <w:end w:w="55" w:type="dxa"/>
            </w:tcMar>
            <w:vAlign w:val="center"/>
          </w:tcPr>
          <w:p>
            <w:pPr>
              <w:keepNext/>
              <w:spacing w:after="0" w:before="0" w:line="216" w:lineRule="auto"/>
            </w:pPr>
            <w:r>
              <w:rPr>
                <w:color w:val="000000"/>
                <w:sz w:val="14"/>
              </w:rPr>
              <w:t>Joint cap</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71.56</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41.46</w:t>
            </w:r>
          </w:p>
        </w:tc>
        <w:tc>
          <w:tcPr>
            <w:tcW w:w="1700" w:type="dxa"/>
            <w:tcMar>
              <w:top w:w="20" w:type="dxa"/>
              <w:start w:w="55" w:type="dxa"/>
              <w:bottom w:w="20" w:type="dxa"/>
              <w:end w:w="55" w:type="dxa"/>
            </w:tcMar>
            <w:vAlign w:val="center"/>
          </w:tcPr>
          <w:p>
            <w:pPr>
              <w:keepNext/>
              <w:spacing w:after="0" w:before="0" w:line="216" w:lineRule="auto"/>
            </w:pPr>
            <w:r>
              <w:rPr>
                <w:color w:val="000000"/>
                <w:sz w:val="14"/>
              </w:rPr>
              <w:t>42.25</w:t>
            </w:r>
          </w:p>
        </w:tc>
        <w:tc>
          <w:tcPr>
            <w:tcW w:w="1710" w:type="dxa"/>
            <w:tcMar>
              <w:top w:w="20" w:type="dxa"/>
              <w:start w:w="55" w:type="dxa"/>
              <w:bottom w:w="20" w:type="dxa"/>
              <w:end w:w="55" w:type="dxa"/>
            </w:tcMar>
            <w:vAlign w:val="center"/>
          </w:tcPr>
          <w:p>
            <w:pPr>
              <w:keepNext/>
              <w:spacing w:after="0" w:before="0" w:line="216" w:lineRule="auto"/>
            </w:pPr>
            <w:r>
              <w:rPr>
                <w:color w:val="000000"/>
                <w:sz w:val="14"/>
              </w:rPr>
              <w:t>1.60 pp</w:t>
            </w:r>
          </w:p>
        </w:tc>
      </w:tr>
      <w:tr>
        <w:trPr>
          <w:cantSplit/>
        </w:trPr>
        <w:tc>
          <w:tcPr>
            <w:tcW w:w="1300" w:type="dxa"/>
            <w:tcMar>
              <w:top w:w="20" w:type="dxa"/>
              <w:start w:w="55" w:type="dxa"/>
              <w:bottom w:w="20" w:type="dxa"/>
              <w:end w:w="55" w:type="dxa"/>
            </w:tcMar>
            <w:vAlign w:val="center"/>
          </w:tcPr>
          <w:p>
            <w:pPr>
              <w:keepNext/>
              <w:spacing w:after="0" w:before="0" w:line="216" w:lineRule="auto"/>
            </w:pPr>
            <w:r>
              <w:rPr>
                <w:color w:val="000000"/>
                <w:sz w:val="14"/>
              </w:rPr>
              <w:t>UNSW-NB15</w:t>
              <w:br/>
              <w:t>FT256x4</w:t>
            </w:r>
          </w:p>
        </w:tc>
        <w:tc>
          <w:tcPr>
            <w:tcW w:w="1350" w:type="dxa"/>
            <w:tcMar>
              <w:top w:w="20" w:type="dxa"/>
              <w:start w:w="55" w:type="dxa"/>
              <w:bottom w:w="20" w:type="dxa"/>
              <w:end w:w="55" w:type="dxa"/>
            </w:tcMar>
            <w:vAlign w:val="center"/>
          </w:tcPr>
          <w:p>
            <w:pPr>
              <w:keepNext/>
              <w:spacing w:after="0" w:before="0" w:line="216" w:lineRule="auto"/>
            </w:pPr>
            <w:r>
              <w:rPr>
                <w:color w:val="000000"/>
                <w:sz w:val="14"/>
              </w:rPr>
              <w:t>Head only</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68.78</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21.16</w:t>
            </w:r>
          </w:p>
        </w:tc>
        <w:tc>
          <w:tcPr>
            <w:tcW w:w="1700" w:type="dxa"/>
            <w:tcMar>
              <w:top w:w="20" w:type="dxa"/>
              <w:start w:w="55" w:type="dxa"/>
              <w:bottom w:w="20" w:type="dxa"/>
              <w:end w:w="55" w:type="dxa"/>
            </w:tcMar>
            <w:vAlign w:val="center"/>
          </w:tcPr>
          <w:p>
            <w:pPr>
              <w:keepNext/>
              <w:spacing w:after="0" w:before="0" w:line="216" w:lineRule="auto"/>
            </w:pPr>
            <w:r>
              <w:rPr>
                <w:color w:val="000000"/>
                <w:sz w:val="14"/>
              </w:rPr>
              <w:t>23.52</w:t>
            </w:r>
          </w:p>
        </w:tc>
        <w:tc>
          <w:tcPr>
            <w:tcW w:w="1710" w:type="dxa"/>
            <w:tcMar>
              <w:top w:w="20" w:type="dxa"/>
              <w:start w:w="55" w:type="dxa"/>
              <w:bottom w:w="20" w:type="dxa"/>
              <w:end w:w="55" w:type="dxa"/>
            </w:tcMar>
            <w:vAlign w:val="center"/>
          </w:tcPr>
          <w:p>
            <w:pPr>
              <w:keepNext/>
              <w:spacing w:after="0" w:before="0" w:line="216" w:lineRule="auto"/>
            </w:pPr>
            <w:r>
              <w:rPr>
                <w:color w:val="000000"/>
                <w:sz w:val="14"/>
              </w:rPr>
              <w:t>2.68 pp</w:t>
            </w:r>
          </w:p>
        </w:tc>
      </w:tr>
      <w:tr>
        <w:trPr>
          <w:cantSplit/>
        </w:trPr>
        <w:tc>
          <w:tcPr>
            <w:tcW w:w="1300" w:type="dxa"/>
            <w:tcMar>
              <w:top w:w="20" w:type="dxa"/>
              <w:start w:w="55" w:type="dxa"/>
              <w:bottom w:w="20" w:type="dxa"/>
              <w:end w:w="55" w:type="dxa"/>
            </w:tcMar>
            <w:vAlign w:val="center"/>
          </w:tcPr>
          <w:p>
            <w:pPr>
              <w:keepNext/>
              <w:spacing w:after="0" w:before="0" w:line="216" w:lineRule="auto"/>
            </w:pPr>
            <w:r>
              <w:rPr>
                <w:color w:val="000000"/>
                <w:sz w:val="14"/>
              </w:rPr>
              <w:t>UNSW-NB15</w:t>
              <w:br/>
              <w:t>FT256x4</w:t>
            </w:r>
          </w:p>
        </w:tc>
        <w:tc>
          <w:tcPr>
            <w:tcW w:w="1350" w:type="dxa"/>
            <w:tcMar>
              <w:top w:w="20" w:type="dxa"/>
              <w:start w:w="55" w:type="dxa"/>
              <w:bottom w:w="20" w:type="dxa"/>
              <w:end w:w="55" w:type="dxa"/>
            </w:tcMar>
            <w:vAlign w:val="center"/>
          </w:tcPr>
          <w:p>
            <w:pPr>
              <w:keepNext/>
              <w:spacing w:after="0" w:before="0" w:line="216" w:lineRule="auto"/>
            </w:pPr>
            <w:r>
              <w:rPr>
                <w:color w:val="000000"/>
                <w:sz w:val="14"/>
              </w:rPr>
              <w:t>Joint cap</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61.95</w:t>
            </w:r>
          </w:p>
        </w:tc>
        <w:tc>
          <w:tcPr>
            <w:tcW w:w="1650" w:type="dxa"/>
            <w:tcMar>
              <w:top w:w="20" w:type="dxa"/>
              <w:start w:w="55" w:type="dxa"/>
              <w:bottom w:w="20" w:type="dxa"/>
              <w:end w:w="55" w:type="dxa"/>
            </w:tcMar>
            <w:vAlign w:val="center"/>
          </w:tcPr>
          <w:p>
            <w:pPr>
              <w:keepNext/>
              <w:spacing w:after="0" w:before="0" w:line="216" w:lineRule="auto"/>
            </w:pPr>
            <w:r>
              <w:rPr>
                <w:color w:val="000000"/>
                <w:sz w:val="14"/>
              </w:rPr>
              <w:t>23.50</w:t>
            </w:r>
          </w:p>
        </w:tc>
        <w:tc>
          <w:tcPr>
            <w:tcW w:w="1700" w:type="dxa"/>
            <w:tcMar>
              <w:top w:w="20" w:type="dxa"/>
              <w:start w:w="55" w:type="dxa"/>
              <w:bottom w:w="20" w:type="dxa"/>
              <w:end w:w="55" w:type="dxa"/>
            </w:tcMar>
            <w:vAlign w:val="center"/>
          </w:tcPr>
          <w:p>
            <w:pPr>
              <w:keepNext/>
              <w:spacing w:after="0" w:before="0" w:line="216" w:lineRule="auto"/>
            </w:pPr>
            <w:r>
              <w:rPr>
                <w:color w:val="000000"/>
                <w:sz w:val="14"/>
              </w:rPr>
              <w:t>28.45</w:t>
            </w:r>
          </w:p>
        </w:tc>
        <w:tc>
          <w:tcPr>
            <w:tcW w:w="1710" w:type="dxa"/>
            <w:tcMar>
              <w:top w:w="20" w:type="dxa"/>
              <w:start w:w="55" w:type="dxa"/>
              <w:bottom w:w="20" w:type="dxa"/>
              <w:end w:w="55" w:type="dxa"/>
            </w:tcMar>
            <w:vAlign w:val="center"/>
          </w:tcPr>
          <w:p>
            <w:pPr>
              <w:keepNext/>
              <w:spacing w:after="0" w:before="0" w:line="216" w:lineRule="auto"/>
            </w:pPr>
            <w:r>
              <w:rPr>
                <w:color w:val="000000"/>
                <w:sz w:val="14"/>
              </w:rPr>
              <w:t>8.97 pp</w:t>
            </w:r>
          </w:p>
        </w:tc>
      </w:tr>
      <w:tr>
        <w:trPr>
          <w:cantSplit/>
        </w:trPr>
        <w:tc>
          <w:tcPr>
            <w:tcW w:type="dxa" w:w="1300"/>
            <w:tcMar>
              <w:top w:w="20" w:type="dxa"/>
              <w:start w:w="55" w:type="dxa"/>
              <w:bottom w:w="20" w:type="dxa"/>
              <w:end w:w="55" w:type="dxa"/>
            </w:tcMar>
            <w:vAlign w:val="center"/>
          </w:tcPr>
          <w:p>
            <w:pPr>
              <w:keepNext/>
              <w:spacing w:after="0" w:before="0" w:line="216" w:lineRule="auto"/>
            </w:pPr>
            <w:r>
              <w:rPr>
                <w:color w:val="000000"/>
                <w:sz w:val="14"/>
              </w:rPr>
              <w:t>CIC-IDS-2017</w:t>
              <w:br/>
              <w:t>FT256x4</w:t>
            </w:r>
          </w:p>
        </w:tc>
        <w:tc>
          <w:tcPr>
            <w:tcW w:type="dxa" w:w="1350"/>
            <w:tcMar>
              <w:top w:w="20" w:type="dxa"/>
              <w:start w:w="55" w:type="dxa"/>
              <w:bottom w:w="20" w:type="dxa"/>
              <w:end w:w="55" w:type="dxa"/>
            </w:tcMar>
            <w:vAlign w:val="center"/>
          </w:tcPr>
          <w:p>
            <w:pPr>
              <w:keepNext/>
              <w:spacing w:after="0" w:before="0" w:line="216" w:lineRule="auto"/>
            </w:pPr>
            <w:r>
              <w:rPr>
                <w:color w:val="000000"/>
                <w:sz w:val="14"/>
              </w:rPr>
              <w:t>Head only</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64.59</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21.25</w:t>
            </w:r>
          </w:p>
        </w:tc>
        <w:tc>
          <w:tcPr>
            <w:tcW w:type="dxa" w:w="1700"/>
            <w:tcMar>
              <w:top w:w="20" w:type="dxa"/>
              <w:start w:w="55" w:type="dxa"/>
              <w:bottom w:w="20" w:type="dxa"/>
              <w:end w:w="55" w:type="dxa"/>
            </w:tcMar>
            <w:vAlign w:val="center"/>
          </w:tcPr>
          <w:p>
            <w:pPr>
              <w:keepNext/>
              <w:spacing w:after="0" w:before="0" w:line="216" w:lineRule="auto"/>
            </w:pPr>
            <w:r>
              <w:rPr>
                <w:color w:val="000000"/>
                <w:sz w:val="14"/>
              </w:rPr>
              <w:t>25.91</w:t>
            </w:r>
          </w:p>
        </w:tc>
        <w:tc>
          <w:tcPr>
            <w:tcW w:type="dxa" w:w="1710"/>
            <w:tcMar>
              <w:top w:w="20" w:type="dxa"/>
              <w:start w:w="55" w:type="dxa"/>
              <w:bottom w:w="20" w:type="dxa"/>
              <w:end w:w="55" w:type="dxa"/>
            </w:tcMar>
            <w:vAlign w:val="center"/>
          </w:tcPr>
          <w:p>
            <w:pPr>
              <w:keepNext/>
              <w:spacing w:after="0" w:before="0" w:line="216" w:lineRule="auto"/>
            </w:pPr>
            <w:r>
              <w:rPr>
                <w:color w:val="000000"/>
                <w:sz w:val="14"/>
              </w:rPr>
              <w:t>9.04 pp</w:t>
            </w:r>
          </w:p>
        </w:tc>
      </w:tr>
      <w:tr>
        <w:trPr>
          <w:cantSplit/>
        </w:trPr>
        <w:tc>
          <w:tcPr>
            <w:tcW w:type="dxa" w:w="1300"/>
            <w:tcMar>
              <w:top w:w="20" w:type="dxa"/>
              <w:start w:w="55" w:type="dxa"/>
              <w:bottom w:w="20" w:type="dxa"/>
              <w:end w:w="55" w:type="dxa"/>
            </w:tcMar>
            <w:vAlign w:val="center"/>
          </w:tcPr>
          <w:p>
            <w:pPr>
              <w:keepNext/>
              <w:spacing w:after="0" w:before="0" w:line="216" w:lineRule="auto"/>
            </w:pPr>
            <w:r>
              <w:rPr>
                <w:color w:val="000000"/>
                <w:sz w:val="14"/>
              </w:rPr>
              <w:t>CIC-IDS-2017</w:t>
              <w:br/>
              <w:t>FT256x4</w:t>
            </w:r>
          </w:p>
        </w:tc>
        <w:tc>
          <w:tcPr>
            <w:tcW w:type="dxa" w:w="1350"/>
            <w:tcMar>
              <w:top w:w="20" w:type="dxa"/>
              <w:start w:w="55" w:type="dxa"/>
              <w:bottom w:w="20" w:type="dxa"/>
              <w:end w:w="55" w:type="dxa"/>
            </w:tcMar>
            <w:vAlign w:val="center"/>
          </w:tcPr>
          <w:p>
            <w:pPr>
              <w:keepNext/>
              <w:spacing w:after="0" w:before="0" w:line="216" w:lineRule="auto"/>
            </w:pPr>
            <w:r>
              <w:rPr>
                <w:color w:val="000000"/>
                <w:sz w:val="14"/>
              </w:rPr>
              <w:t>Joint cap</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72.57</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36.95</w:t>
            </w:r>
          </w:p>
        </w:tc>
        <w:tc>
          <w:tcPr>
            <w:tcW w:type="dxa" w:w="1700"/>
            <w:tcMar>
              <w:top w:w="20" w:type="dxa"/>
              <w:start w:w="55" w:type="dxa"/>
              <w:bottom w:w="20" w:type="dxa"/>
              <w:end w:w="55" w:type="dxa"/>
            </w:tcMar>
            <w:vAlign w:val="center"/>
          </w:tcPr>
          <w:p>
            <w:pPr>
              <w:keepNext/>
              <w:spacing w:after="0" w:before="0" w:line="216" w:lineRule="auto"/>
            </w:pPr>
            <w:r>
              <w:rPr>
                <w:color w:val="000000"/>
                <w:sz w:val="14"/>
              </w:rPr>
              <w:t>63.13</w:t>
            </w:r>
          </w:p>
        </w:tc>
        <w:tc>
          <w:tcPr>
            <w:tcW w:type="dxa" w:w="1710"/>
            <w:tcMar>
              <w:top w:w="20" w:type="dxa"/>
              <w:start w:w="55" w:type="dxa"/>
              <w:bottom w:w="20" w:type="dxa"/>
              <w:end w:w="55" w:type="dxa"/>
            </w:tcMar>
            <w:vAlign w:val="center"/>
          </w:tcPr>
          <w:p>
            <w:pPr>
              <w:keepNext/>
              <w:spacing w:after="0" w:before="0" w:line="216" w:lineRule="auto"/>
            </w:pPr>
            <w:r>
              <w:rPr>
                <w:color w:val="000000"/>
                <w:sz w:val="14"/>
              </w:rPr>
              <w:t>9.63 pp</w:t>
            </w:r>
          </w:p>
        </w:tc>
      </w:tr>
      <w:tr>
        <w:trPr>
          <w:cantSplit/>
        </w:trPr>
        <w:tc>
          <w:tcPr>
            <w:tcW w:type="dxa" w:w="1300"/>
            <w:tcMar>
              <w:top w:w="20" w:type="dxa"/>
              <w:start w:w="55" w:type="dxa"/>
              <w:bottom w:w="20" w:type="dxa"/>
              <w:end w:w="55" w:type="dxa"/>
            </w:tcMar>
            <w:vAlign w:val="center"/>
          </w:tcPr>
          <w:p>
            <w:pPr>
              <w:keepNext/>
              <w:spacing w:after="0" w:before="0" w:line="216" w:lineRule="auto"/>
            </w:pPr>
            <w:r>
              <w:rPr>
                <w:color w:val="000000"/>
                <w:sz w:val="14"/>
              </w:rPr>
              <w:t>Malaya</w:t>
              <w:br/>
              <w:t>FT512x12</w:t>
            </w:r>
          </w:p>
        </w:tc>
        <w:tc>
          <w:tcPr>
            <w:tcW w:type="dxa" w:w="1350"/>
            <w:tcMar>
              <w:top w:w="20" w:type="dxa"/>
              <w:start w:w="55" w:type="dxa"/>
              <w:bottom w:w="20" w:type="dxa"/>
              <w:end w:w="55" w:type="dxa"/>
            </w:tcMar>
            <w:vAlign w:val="center"/>
          </w:tcPr>
          <w:p>
            <w:pPr>
              <w:keepNext/>
              <w:spacing w:after="0" w:before="0" w:line="216" w:lineRule="auto"/>
            </w:pPr>
            <w:r>
              <w:rPr>
                <w:color w:val="000000"/>
                <w:sz w:val="14"/>
              </w:rPr>
              <w:t>Head only</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56.03</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11.77</w:t>
            </w:r>
          </w:p>
        </w:tc>
        <w:tc>
          <w:tcPr>
            <w:tcW w:type="dxa" w:w="1700"/>
            <w:tcMar>
              <w:top w:w="20" w:type="dxa"/>
              <w:start w:w="55" w:type="dxa"/>
              <w:bottom w:w="20" w:type="dxa"/>
              <w:end w:w="55" w:type="dxa"/>
            </w:tcMar>
            <w:vAlign w:val="center"/>
          </w:tcPr>
          <w:p>
            <w:pPr>
              <w:keepNext/>
              <w:spacing w:after="0" w:before="0" w:line="216" w:lineRule="auto"/>
            </w:pPr>
            <w:r>
              <w:rPr>
                <w:color w:val="000000"/>
                <w:sz w:val="14"/>
              </w:rPr>
              <w:t>15.05</w:t>
            </w:r>
          </w:p>
        </w:tc>
        <w:tc>
          <w:tcPr>
            <w:tcW w:type="dxa" w:w="1710"/>
            <w:tcMar>
              <w:top w:w="20" w:type="dxa"/>
              <w:start w:w="55" w:type="dxa"/>
              <w:bottom w:w="20" w:type="dxa"/>
              <w:end w:w="55" w:type="dxa"/>
            </w:tcMar>
            <w:vAlign w:val="center"/>
          </w:tcPr>
          <w:p>
            <w:pPr>
              <w:keepNext/>
              <w:spacing w:after="0" w:before="0" w:line="216" w:lineRule="auto"/>
            </w:pPr>
            <w:r>
              <w:rPr>
                <w:color w:val="000000"/>
                <w:sz w:val="14"/>
              </w:rPr>
              <w:t>3.16 pp</w:t>
            </w:r>
          </w:p>
        </w:tc>
      </w:tr>
      <w:tr>
        <w:trPr>
          <w:cantSplit/>
        </w:trPr>
        <w:tc>
          <w:tcPr>
            <w:tcW w:type="dxa" w:w="1300"/>
            <w:tcMar>
              <w:top w:w="20" w:type="dxa"/>
              <w:start w:w="55" w:type="dxa"/>
              <w:bottom w:w="20" w:type="dxa"/>
              <w:end w:w="55" w:type="dxa"/>
            </w:tcMar>
            <w:vAlign w:val="center"/>
          </w:tcPr>
          <w:p>
            <w:pPr>
              <w:keepNext/>
              <w:spacing w:after="0" w:before="0" w:line="216" w:lineRule="auto"/>
            </w:pPr>
            <w:r>
              <w:rPr>
                <w:color w:val="000000"/>
                <w:sz w:val="14"/>
              </w:rPr>
              <w:t>Malaya</w:t>
              <w:br/>
              <w:t>FT512x12</w:t>
            </w:r>
          </w:p>
        </w:tc>
        <w:tc>
          <w:tcPr>
            <w:tcW w:type="dxa" w:w="1350"/>
            <w:tcMar>
              <w:top w:w="20" w:type="dxa"/>
              <w:start w:w="55" w:type="dxa"/>
              <w:bottom w:w="20" w:type="dxa"/>
              <w:end w:w="55" w:type="dxa"/>
            </w:tcMar>
            <w:vAlign w:val="center"/>
          </w:tcPr>
          <w:p>
            <w:pPr>
              <w:keepNext/>
              <w:spacing w:after="0" w:before="0" w:line="216" w:lineRule="auto"/>
            </w:pPr>
            <w:r>
              <w:rPr>
                <w:color w:val="000000"/>
                <w:sz w:val="14"/>
              </w:rPr>
              <w:t>Joint cap</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54.68</w:t>
            </w:r>
          </w:p>
        </w:tc>
        <w:tc>
          <w:tcPr>
            <w:tcW w:type="dxa" w:w="1650"/>
            <w:tcMar>
              <w:top w:w="20" w:type="dxa"/>
              <w:start w:w="55" w:type="dxa"/>
              <w:bottom w:w="20" w:type="dxa"/>
              <w:end w:w="55" w:type="dxa"/>
            </w:tcMar>
            <w:vAlign w:val="center"/>
          </w:tcPr>
          <w:p>
            <w:pPr>
              <w:keepNext/>
              <w:spacing w:after="0" w:before="0" w:line="216" w:lineRule="auto"/>
            </w:pPr>
            <w:r>
              <w:rPr>
                <w:color w:val="000000"/>
                <w:sz w:val="14"/>
              </w:rPr>
              <w:t>21.15</w:t>
            </w:r>
          </w:p>
        </w:tc>
        <w:tc>
          <w:tcPr>
            <w:tcW w:type="dxa" w:w="1700"/>
            <w:tcMar>
              <w:top w:w="20" w:type="dxa"/>
              <w:start w:w="55" w:type="dxa"/>
              <w:bottom w:w="20" w:type="dxa"/>
              <w:end w:w="55" w:type="dxa"/>
            </w:tcMar>
            <w:vAlign w:val="center"/>
          </w:tcPr>
          <w:p>
            <w:pPr>
              <w:keepNext/>
              <w:spacing w:after="0" w:before="0" w:line="216" w:lineRule="auto"/>
            </w:pPr>
            <w:r>
              <w:rPr>
                <w:color w:val="000000"/>
                <w:sz w:val="14"/>
              </w:rPr>
              <w:t>23.03</w:t>
            </w:r>
          </w:p>
        </w:tc>
        <w:tc>
          <w:tcPr>
            <w:tcW w:type="dxa" w:w="1710"/>
            <w:tcMar>
              <w:top w:w="20" w:type="dxa"/>
              <w:start w:w="55" w:type="dxa"/>
              <w:bottom w:w="20" w:type="dxa"/>
              <w:end w:w="55" w:type="dxa"/>
            </w:tcMar>
            <w:vAlign w:val="center"/>
          </w:tcPr>
          <w:p>
            <w:pPr>
              <w:keepNext/>
              <w:spacing w:after="0" w:before="0" w:line="216" w:lineRule="auto"/>
            </w:pPr>
            <w:r>
              <w:rPr>
                <w:color w:val="000000"/>
                <w:sz w:val="14"/>
              </w:rPr>
              <w:t>3.55 pp</w:t>
            </w:r>
          </w:p>
        </w:tc>
      </w:tr>
      <w:tr>
        <w:trPr>
          <w:cantSplit/>
        </w:trPr>
        <w:tc>
          <w:tcPr>
            <w:tcW w:type="dxa" w:w="1300"/>
            <w:tcMar>
              <w:top w:w="20" w:type="dxa"/>
              <w:start w:w="55" w:type="dxa"/>
              <w:bottom w:w="20" w:type="dxa"/>
              <w:end w:w="55" w:type="dxa"/>
            </w:tcMar>
            <w:vAlign w:val="center"/>
          </w:tcPr>
          <w:p>
            <w:pPr>
              <w:keepNext/>
              <w:spacing w:before="0" w:after="0" w:line="216" w:lineRule="auto"/>
            </w:pPr>
            <w:r>
              <w:rPr>
                <w:color w:val="000000"/>
                <w:sz w:val="14"/>
              </w:rPr>
              <w:t>CSE-CIC-IDS2018</w:t>
              <w:br/>
              <w:t>FT256x4</w:t>
            </w:r>
          </w:p>
        </w:tc>
        <w:tc>
          <w:tcPr>
            <w:tcW w:type="dxa" w:w="1350"/>
            <w:tcMar>
              <w:top w:w="20" w:type="dxa"/>
              <w:start w:w="55" w:type="dxa"/>
              <w:bottom w:w="20" w:type="dxa"/>
              <w:end w:w="55" w:type="dxa"/>
            </w:tcMar>
            <w:vAlign w:val="center"/>
          </w:tcPr>
          <w:p>
            <w:pPr>
              <w:keepNext/>
              <w:spacing w:before="0" w:after="0" w:line="216" w:lineRule="auto"/>
            </w:pPr>
            <w:r>
              <w:rPr>
                <w:color w:val="000000"/>
                <w:sz w:val="14"/>
              </w:rPr>
              <w:t>Head only</w:t>
            </w:r>
          </w:p>
        </w:tc>
        <w:tc>
          <w:tcPr>
            <w:tcW w:type="dxa" w:w="1650"/>
            <w:tcMar>
              <w:top w:w="20" w:type="dxa"/>
              <w:start w:w="55" w:type="dxa"/>
              <w:bottom w:w="20" w:type="dxa"/>
              <w:end w:w="55" w:type="dxa"/>
            </w:tcMar>
            <w:vAlign w:val="center"/>
          </w:tcPr>
          <w:p>
            <w:pPr>
              <w:keepNext/>
              <w:spacing w:before="0" w:after="0" w:line="216" w:lineRule="auto"/>
            </w:pPr>
            <w:r>
              <w:rPr>
                <w:color w:val="000000"/>
                <w:sz w:val="14"/>
              </w:rPr>
              <w:t>79.21</w:t>
            </w:r>
          </w:p>
        </w:tc>
        <w:tc>
          <w:tcPr>
            <w:tcW w:type="dxa" w:w="1650"/>
            <w:tcMar>
              <w:top w:w="20" w:type="dxa"/>
              <w:start w:w="55" w:type="dxa"/>
              <w:bottom w:w="20" w:type="dxa"/>
              <w:end w:w="55" w:type="dxa"/>
            </w:tcMar>
            <w:vAlign w:val="center"/>
          </w:tcPr>
          <w:p>
            <w:pPr>
              <w:keepNext/>
              <w:spacing w:before="0" w:after="0" w:line="216" w:lineRule="auto"/>
            </w:pPr>
            <w:r>
              <w:rPr>
                <w:color w:val="000000"/>
                <w:sz w:val="14"/>
              </w:rPr>
              <w:t>19.06</w:t>
            </w:r>
          </w:p>
        </w:tc>
        <w:tc>
          <w:tcPr>
            <w:tcW w:type="dxa" w:w="1700"/>
            <w:tcMar>
              <w:top w:w="20" w:type="dxa"/>
              <w:start w:w="55" w:type="dxa"/>
              <w:bottom w:w="20" w:type="dxa"/>
              <w:end w:w="55" w:type="dxa"/>
            </w:tcMar>
            <w:vAlign w:val="center"/>
          </w:tcPr>
          <w:p>
            <w:pPr>
              <w:keepNext/>
              <w:spacing w:before="0" w:after="0" w:line="216" w:lineRule="auto"/>
            </w:pPr>
            <w:r>
              <w:rPr>
                <w:color w:val="000000"/>
                <w:sz w:val="14"/>
              </w:rPr>
              <w:t>21.15</w:t>
            </w:r>
          </w:p>
        </w:tc>
        <w:tc>
          <w:tcPr>
            <w:tcW w:type="dxa" w:w="1710"/>
            <w:tcMar>
              <w:top w:w="20" w:type="dxa"/>
              <w:start w:w="55" w:type="dxa"/>
              <w:bottom w:w="20" w:type="dxa"/>
              <w:end w:w="55" w:type="dxa"/>
            </w:tcMar>
            <w:vAlign w:val="center"/>
          </w:tcPr>
          <w:p>
            <w:pPr>
              <w:keepNext/>
              <w:spacing w:before="0" w:after="0" w:line="216" w:lineRule="auto"/>
            </w:pPr>
            <w:r>
              <w:rPr>
                <w:color w:val="000000"/>
                <w:sz w:val="14"/>
              </w:rPr>
              <w:t>2.00 pp</w:t>
            </w:r>
          </w:p>
        </w:tc>
      </w:tr>
      <w:tr>
        <w:trPr>
          <w:cantSplit/>
        </w:trPr>
        <w:tc>
          <w:tcPr>
            <w:tcW w:type="dxa" w:w="1300"/>
            <w:tcMar>
              <w:top w:w="20" w:type="dxa"/>
              <w:start w:w="55" w:type="dxa"/>
              <w:bottom w:w="20" w:type="dxa"/>
              <w:end w:w="55" w:type="dxa"/>
            </w:tcMar>
            <w:vAlign w:val="center"/>
          </w:tcPr>
          <w:p>
            <w:pPr>
              <w:keepNext w:val="0"/>
              <w:spacing w:before="0" w:after="0" w:line="216" w:lineRule="auto"/>
            </w:pPr>
            <w:r>
              <w:rPr>
                <w:color w:val="000000"/>
                <w:sz w:val="14"/>
              </w:rPr>
              <w:t>CSE-CIC-IDS2018</w:t>
              <w:br/>
              <w:t>FT256x4</w:t>
            </w:r>
          </w:p>
        </w:tc>
        <w:tc>
          <w:tcPr>
            <w:tcW w:type="dxa" w:w="1350"/>
            <w:tcMar>
              <w:top w:w="20" w:type="dxa"/>
              <w:start w:w="55" w:type="dxa"/>
              <w:bottom w:w="20" w:type="dxa"/>
              <w:end w:w="55" w:type="dxa"/>
            </w:tcMar>
            <w:vAlign w:val="center"/>
          </w:tcPr>
          <w:p>
            <w:pPr>
              <w:keepNext w:val="0"/>
              <w:spacing w:before="0" w:after="0" w:line="216" w:lineRule="auto"/>
            </w:pPr>
            <w:r>
              <w:rPr>
                <w:color w:val="000000"/>
                <w:sz w:val="14"/>
              </w:rPr>
              <w:t>Joint cap</w:t>
            </w:r>
          </w:p>
        </w:tc>
        <w:tc>
          <w:tcPr>
            <w:tcW w:type="dxa" w:w="1650"/>
            <w:tcMar>
              <w:top w:w="20" w:type="dxa"/>
              <w:start w:w="55" w:type="dxa"/>
              <w:bottom w:w="20" w:type="dxa"/>
              <w:end w:w="55" w:type="dxa"/>
            </w:tcMar>
            <w:vAlign w:val="center"/>
          </w:tcPr>
          <w:p>
            <w:pPr>
              <w:keepNext w:val="0"/>
              <w:spacing w:before="0" w:after="0" w:line="216" w:lineRule="auto"/>
            </w:pPr>
            <w:r>
              <w:rPr>
                <w:color w:val="000000"/>
                <w:sz w:val="14"/>
              </w:rPr>
              <w:t>50.16</w:t>
            </w:r>
          </w:p>
        </w:tc>
        <w:tc>
          <w:tcPr>
            <w:tcW w:type="dxa" w:w="1650"/>
            <w:tcMar>
              <w:top w:w="20" w:type="dxa"/>
              <w:start w:w="55" w:type="dxa"/>
              <w:bottom w:w="20" w:type="dxa"/>
              <w:end w:w="55" w:type="dxa"/>
            </w:tcMar>
            <w:vAlign w:val="center"/>
          </w:tcPr>
          <w:p>
            <w:pPr>
              <w:keepNext w:val="0"/>
              <w:spacing w:before="0" w:after="0" w:line="216" w:lineRule="auto"/>
            </w:pPr>
            <w:r>
              <w:rPr>
                <w:color w:val="000000"/>
                <w:sz w:val="14"/>
              </w:rPr>
              <w:t>33.55</w:t>
            </w:r>
          </w:p>
        </w:tc>
        <w:tc>
          <w:tcPr>
            <w:tcW w:type="dxa" w:w="1700"/>
            <w:tcMar>
              <w:top w:w="20" w:type="dxa"/>
              <w:start w:w="55" w:type="dxa"/>
              <w:bottom w:w="20" w:type="dxa"/>
              <w:end w:w="55" w:type="dxa"/>
            </w:tcMar>
            <w:vAlign w:val="center"/>
          </w:tcPr>
          <w:p>
            <w:pPr>
              <w:keepNext w:val="0"/>
              <w:spacing w:before="0" w:after="0" w:line="216" w:lineRule="auto"/>
            </w:pPr>
            <w:r>
              <w:rPr>
                <w:color w:val="000000"/>
                <w:sz w:val="14"/>
              </w:rPr>
              <w:t>52.15</w:t>
            </w:r>
          </w:p>
        </w:tc>
        <w:tc>
          <w:tcPr>
            <w:tcW w:type="dxa" w:w="1710"/>
            <w:tcMar>
              <w:top w:w="20" w:type="dxa"/>
              <w:start w:w="55" w:type="dxa"/>
              <w:bottom w:w="20" w:type="dxa"/>
              <w:end w:w="55" w:type="dxa"/>
            </w:tcMar>
            <w:vAlign w:val="center"/>
          </w:tcPr>
          <w:p>
            <w:pPr>
              <w:keepNext w:val="0"/>
              <w:spacing w:before="0" w:after="0" w:line="216" w:lineRule="auto"/>
            </w:pPr>
            <w:r>
              <w:rPr>
                <w:color w:val="000000"/>
                <w:sz w:val="14"/>
              </w:rPr>
              <w:t>19.07 pp</w:t>
            </w:r>
          </w:p>
        </w:tc>
      </w:tr>
    </w:tbl>
    <w:p w14:paraId="001000CC" w14:textId="001000CD">
      <w:pPr>
        <w:spacing w:before="0" w:after="100" w:line="259" w:lineRule="auto"/>
        <w:jc w:val="both"/>
      </w:pPr>
      <w:r>
        <w:rPr>
          <w:color w:val="000000"/>
        </w:rP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rPr>
          <w:color w:val="000000"/>
        </w:rP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keepNext/>
      </w:pPr>
      <w:r>
        <w:rPr>
          <w:color w:val="000000"/>
        </w:rPr>
        <w:t>4.4 RQ1: Additive classifier comparison</w:t>
      </w:r>
    </w:p>
    <w:p w14:paraId="0010012B" w14:textId="001001EF">
      <w:pPr>
        <w:pStyle w:val="Caption"/>
        <w:keepNext/>
        <w:pageBreakBefore w:val="0"/>
      </w:pPr>
      <w:r>
        <w:rPr>
          <w:rFonts w:ascii="Arial" w:hAnsi="Arial"/>
          <w:color w:val="000000"/>
          <w:sz w:val="16"/>
        </w:rPr>
        <w:t xml:space="preserve">Table </w:t>
      </w:r>
      <w:fldSimple w:instr=" SEQ Table ">
        <w:r>
          <w:t>4</w:t>
        </w:r>
      </w:fldSimple>
      <w:r>
        <w:rPr>
          <w:rFonts w:ascii="Arial" w:hAnsi="Arial"/>
          <w:color w:val="000000"/>
          <w:sz w:val="16"/>
        </w:rPr>
        <w:t>.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cantSplit/>
        </w:trPr>
        <w:tc>
          <w:tcPr>
            <w:shd w:val="clear" w:fill="EAEAEA"/>
          </w:tcPr>
          <w:p w14:paraId="0010012D" w14:textId="00100164">
            <w:pPr>
              <w:keepNext/>
              <w:jc w:val="center"/>
            </w:pPr>
            <w:r>
              <w:rPr>
                <w:b/>
                <w:color w:val="000000"/>
                <w:sz w:val="15"/>
              </w:rPr>
              <w:t xml:space="preserve">Model and protocol</w:t>
            </w:r>
          </w:p>
        </w:tc>
        <w:tc>
          <w:tcPr>
            <w:shd w:val="clear" w:fill="EAEAEA"/>
          </w:tcPr>
          <w:p w14:paraId="0010012F" w14:textId="00100166">
            <w:pPr>
              <w:keepNext/>
              <w:jc w:val="center"/>
            </w:pPr>
            <w:r>
              <w:rPr>
                <w:b/>
                <w:color w:val="000000"/>
                <w:sz w:val="15"/>
              </w:rPr>
              <w:t xml:space="preserve">Accuracy</w:t>
            </w:r>
          </w:p>
        </w:tc>
        <w:tc>
          <w:tcPr>
            <w:shd w:val="clear" w:fill="EAEAEA"/>
          </w:tcPr>
          <w:p w14:paraId="00100131" w14:textId="00100168">
            <w:pPr>
              <w:keepNext/>
              <w:jc w:val="center"/>
            </w:pPr>
            <w:r>
              <w:rPr>
                <w:b/>
                <w:color w:val="000000"/>
                <w:sz w:val="15"/>
              </w:rPr>
              <w:t xml:space="preserve">Macro-F1</w:t>
            </w:r>
          </w:p>
        </w:tc>
        <w:tc>
          <w:tcPr>
            <w:shd w:val="clear" w:fill="EAEAEA"/>
          </w:tcPr>
          <w:p w14:paraId="00100133" w14:textId="0010016A">
            <w:pPr>
              <w:keepNext/>
              <w:jc w:val="center"/>
            </w:pPr>
            <w:r>
              <w:rPr>
                <w:b/>
                <w:color w:val="000000"/>
                <w:sz w:val="15"/>
              </w:rPr>
              <w:t xml:space="preserve">Balanced acc.</w:t>
            </w:r>
          </w:p>
        </w:tc>
        <w:tc>
          <w:tcPr>
            <w:shd w:val="clear" w:fill="EAEAEA"/>
          </w:tcPr>
          <w:p w14:paraId="00100135" w14:textId="0010016C">
            <w:pPr>
              <w:keepNext/>
              <w:jc w:val="center"/>
            </w:pPr>
            <w:r>
              <w:rPr>
                <w:b/>
                <w:color w:val="000000"/>
                <w:sz w:val="15"/>
              </w:rPr>
              <w:t xml:space="preserve">Forgetting</w:t>
            </w:r>
          </w:p>
        </w:tc>
      </w:tr>
      <w:tr>
        <w:trPr>
          <w:cantSplit/>
        </w:trPr>
        <w:tc>
          <w:tcPr>
            <w:vAlign w:val="center"/>
          </w:tcPr>
          <w:p>
            <w:pPr>
              <w:keepNext/>
              <w:spacing w:after="0"/>
            </w:pPr>
            <w:r>
              <w:rPr>
                <w:color w:val="000000"/>
                <w:sz w:val="16"/>
              </w:rPr>
              <w:t>TabM-OFRA joint cap, 5 seeds</w:t>
            </w:r>
          </w:p>
        </w:tc>
        <w:tc>
          <w:tcPr>
            <w:vAlign w:val="center"/>
          </w:tcPr>
          <w:p>
            <w:pPr>
              <w:keepNext/>
              <w:spacing w:after="0"/>
            </w:pPr>
            <w:r>
              <w:rPr>
                <w:color w:val="000000"/>
                <w:sz w:val="16"/>
              </w:rPr>
              <w:t>57.99 +/- 3.93</w:t>
            </w:r>
          </w:p>
        </w:tc>
        <w:tc>
          <w:tcPr>
            <w:vAlign w:val="center"/>
          </w:tcPr>
          <w:p>
            <w:pPr>
              <w:keepNext/>
              <w:spacing w:after="0"/>
            </w:pPr>
            <w:r>
              <w:rPr>
                <w:color w:val="000000"/>
                <w:sz w:val="16"/>
              </w:rPr>
              <w:t>20.46 +/- 1.19</w:t>
            </w:r>
          </w:p>
        </w:tc>
        <w:tc>
          <w:tcPr>
            <w:vAlign w:val="center"/>
          </w:tcPr>
          <w:p>
            <w:pPr>
              <w:keepNext/>
              <w:spacing w:after="0"/>
            </w:pPr>
            <w:r>
              <w:rPr>
                <w:color w:val="000000"/>
                <w:sz w:val="16"/>
              </w:rPr>
              <w:t>21.60 +/- 1.70</w:t>
            </w:r>
          </w:p>
        </w:tc>
        <w:tc>
          <w:tcPr>
            <w:vAlign w:val="center"/>
          </w:tcPr>
          <w:p>
            <w:pPr>
              <w:keepNext/>
              <w:spacing w:after="0"/>
            </w:pPr>
            <w:r>
              <w:rPr>
                <w:color w:val="000000"/>
                <w:sz w:val="16"/>
              </w:rPr>
              <w:t>4.39 +/- 2.56 pp</w:t>
            </w:r>
          </w:p>
        </w:tc>
      </w:tr>
      <w:tr>
        <w:trPr>
          <w:cantSplit/>
        </w:trPr>
        <w:tc>
          <w:tcPr>
            <w:vAlign w:val="center"/>
          </w:tcPr>
          <w:p>
            <w:pPr>
              <w:keepNext/>
              <w:spacing w:after="0"/>
            </w:pPr>
            <w:r>
              <w:rPr>
                <w:color w:val="000000"/>
                <w:sz w:val="16"/>
              </w:rPr>
              <w:t>FT512-OFRA joint cap, 5 seeds</w:t>
            </w:r>
          </w:p>
        </w:tc>
        <w:tc>
          <w:tcPr>
            <w:vAlign w:val="center"/>
          </w:tcPr>
          <w:p>
            <w:pPr>
              <w:keepNext/>
              <w:spacing w:after="0"/>
            </w:pPr>
            <w:r>
              <w:rPr>
                <w:color w:val="000000"/>
                <w:sz w:val="16"/>
              </w:rPr>
              <w:t>54.68 +/- 2.71</w:t>
            </w:r>
          </w:p>
        </w:tc>
        <w:tc>
          <w:tcPr>
            <w:vAlign w:val="center"/>
          </w:tcPr>
          <w:p>
            <w:pPr>
              <w:keepNext/>
              <w:spacing w:after="0"/>
            </w:pPr>
            <w:r>
              <w:rPr>
                <w:color w:val="000000"/>
                <w:sz w:val="16"/>
              </w:rPr>
              <w:t>21.15 +/- 3.37</w:t>
            </w:r>
          </w:p>
        </w:tc>
        <w:tc>
          <w:tcPr>
            <w:vAlign w:val="center"/>
          </w:tcPr>
          <w:p>
            <w:pPr>
              <w:keepNext/>
              <w:spacing w:after="0"/>
            </w:pPr>
            <w:r>
              <w:rPr>
                <w:color w:val="000000"/>
                <w:sz w:val="16"/>
              </w:rPr>
              <w:t>23.03 +/- 3.42</w:t>
            </w:r>
          </w:p>
        </w:tc>
        <w:tc>
          <w:tcPr>
            <w:vAlign w:val="center"/>
          </w:tcPr>
          <w:p>
            <w:pPr>
              <w:keepNext/>
              <w:spacing w:after="0"/>
            </w:pPr>
            <w:r>
              <w:rPr>
                <w:color w:val="000000"/>
                <w:sz w:val="16"/>
              </w:rPr>
              <w:t>3.55 +/- 0.77 pp</w:t>
            </w:r>
          </w:p>
        </w:tc>
      </w:tr>
      <w:tr>
        <w:trPr>
          <w:cantSplit/>
        </w:trPr>
        <w:tc>
          <w:tcPr>
            <w:vAlign w:val="center"/>
          </w:tcPr>
          <w:p>
            <w:pPr>
              <w:keepNext/>
              <w:spacing w:after="0"/>
            </w:pPr>
            <w:r>
              <w:rPr>
                <w:color w:val="000000"/>
                <w:sz w:val="16"/>
              </w:rPr>
              <w:t>CatBoost cumulative, 5 seeds</w:t>
            </w:r>
          </w:p>
        </w:tc>
        <w:tc>
          <w:tcPr>
            <w:vAlign w:val="center"/>
          </w:tcPr>
          <w:p>
            <w:pPr>
              <w:keepNext/>
              <w:spacing w:after="0"/>
            </w:pPr>
            <w:r>
              <w:rPr>
                <w:color w:val="000000"/>
                <w:sz w:val="16"/>
              </w:rPr>
              <w:t>66.50 +/- 0.44</w:t>
            </w:r>
          </w:p>
        </w:tc>
        <w:tc>
          <w:tcPr>
            <w:vAlign w:val="center"/>
          </w:tcPr>
          <w:p>
            <w:pPr>
              <w:keepNext/>
              <w:spacing w:after="0"/>
            </w:pPr>
            <w:r>
              <w:rPr>
                <w:color w:val="000000"/>
                <w:sz w:val="16"/>
              </w:rPr>
              <w:t>34.76 +/- 0.69</w:t>
            </w:r>
          </w:p>
        </w:tc>
        <w:tc>
          <w:tcPr>
            <w:vAlign w:val="center"/>
          </w:tcPr>
          <w:p>
            <w:pPr>
              <w:keepNext/>
              <w:spacing w:after="0"/>
            </w:pPr>
            <w:r>
              <w:rPr>
                <w:color w:val="000000"/>
                <w:sz w:val="16"/>
              </w:rPr>
              <w:t>39.10 +/- 0.73</w:t>
            </w:r>
          </w:p>
        </w:tc>
        <w:tc>
          <w:tcPr>
            <w:vAlign w:val="center"/>
          </w:tcPr>
          <w:p>
            <w:pPr>
              <w:keepNext/>
              <w:spacing w:after="0"/>
            </w:pPr>
            <w:r>
              <w:rPr>
                <w:color w:val="000000"/>
                <w:sz w:val="16"/>
              </w:rPr>
              <w:t>15.34 +/- 0.73 pp</w:t>
            </w:r>
          </w:p>
        </w:tc>
      </w:tr>
      <w:tr>
        <w:trPr>
          <w:cantSplit/>
        </w:trPr>
        <w:tc>
          <w:tcPr>
            <w:vAlign w:val="center"/>
          </w:tcPr>
          <w:p>
            <w:pPr>
              <w:keepNext w:val="0"/>
              <w:spacing w:after="0"/>
            </w:pPr>
            <w:r>
              <w:rPr>
                <w:color w:val="000000"/>
                <w:sz w:val="16"/>
              </w:rPr>
              <w:t>TabM cumulative, 5 seeds</w:t>
            </w:r>
          </w:p>
        </w:tc>
        <w:tc>
          <w:tcPr>
            <w:vAlign w:val="center"/>
          </w:tcPr>
          <w:p>
            <w:pPr>
              <w:keepNext w:val="0"/>
              <w:spacing w:after="0"/>
            </w:pPr>
            <w:r>
              <w:rPr>
                <w:color w:val="000000"/>
                <w:sz w:val="16"/>
              </w:rPr>
              <w:t>65.01 +/- 0.96</w:t>
            </w:r>
          </w:p>
        </w:tc>
        <w:tc>
          <w:tcPr>
            <w:vAlign w:val="center"/>
          </w:tcPr>
          <w:p>
            <w:pPr>
              <w:keepNext w:val="0"/>
              <w:spacing w:after="0"/>
            </w:pPr>
            <w:r>
              <w:rPr>
                <w:color w:val="000000"/>
                <w:sz w:val="16"/>
              </w:rPr>
              <w:t>32.66 +/- 1.31</w:t>
            </w:r>
          </w:p>
        </w:tc>
        <w:tc>
          <w:tcPr>
            <w:vAlign w:val="center"/>
          </w:tcPr>
          <w:p>
            <w:pPr>
              <w:keepNext w:val="0"/>
              <w:spacing w:after="0"/>
            </w:pPr>
            <w:r>
              <w:rPr>
                <w:color w:val="000000"/>
                <w:sz w:val="16"/>
              </w:rPr>
              <w:t>34.41 +/- 1.51</w:t>
            </w:r>
          </w:p>
        </w:tc>
        <w:tc>
          <w:tcPr>
            <w:vAlign w:val="center"/>
          </w:tcPr>
          <w:p>
            <w:pPr>
              <w:keepNext w:val="0"/>
              <w:spacing w:after="0"/>
            </w:pPr>
            <w:r>
              <w:rPr>
                <w:color w:val="000000"/>
                <w:sz w:val="16"/>
              </w:rPr>
              <w:t>9.43 +/- 1.80 pp</w:t>
            </w:r>
          </w:p>
        </w:tc>
      </w:tr>
    </w:tbl>
    <w:p w14:paraId="0010015F" w14:textId="00100160">
      <w:pPr/>
      <w:r>
        <w:rPr>
          <w:color w:val="000000"/>
        </w:rP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rPr>
          <w:color w:val="000000"/>
        </w:rPr>
        <w:t>4.5 RQ3: ETG governance outcomes</w:t>
      </w:r>
    </w:p>
    <w:p w14:paraId="001000D0" w14:textId="001000D1">
      <w:pPr>
        <w:jc w:val="center"/>
      </w:pPr>
      <w:r>
        <w:rPr>
          <w:color w:val="000000"/>
        </w:rPr>
        <w:drawing>
          <wp:inline>
            <wp:extent cx="5806440" cy="2284942"/>
            <wp:docPr id="1" name="Picture 1" descr="Five-seed silent-drift rates for three attribution methods and their all-method agreement." title="Attribution robustness figure"/>
            <wp:cNvGraphicFramePr>
              <a:graphicFrameLocks noChangeAspect="1"/>
            </wp:cNvGraphicFramePr>
            <a:graphic>
              <a:graphicData uri="http://schemas.openxmlformats.org/drawingml/2006/picture">
                <pic:pic>
                  <pic:nvPicPr>
                    <pic:cNvPr id="0" name="attribution_method_robustness_five_seed.png"/>
                    <pic:cNvPicPr/>
                  </pic:nvPicPr>
                  <pic:blipFill>
                    <a:blip r:embed="rId17"/>
                    <a:stretch>
                      <a:fillRect/>
                    </a:stretch>
                  </pic:blipFill>
                  <pic:spPr>
                    <a:xfrm>
                      <a:off x="0" y="0"/>
                      <a:ext cx="5806440" cy="2284942"/>
                    </a:xfrm>
                    <a:prstGeom prst="rect"/>
                  </pic:spPr>
                </pic:pic>
              </a:graphicData>
            </a:graphic>
          </wp:inline>
        </w:drawing>
      </w:r>
    </w:p>
    <w:p w14:paraId="001000D2" w14:textId="001000D3">
      <w:pPr>
        <w:keepNext w:val="0"/>
        <w:spacing w:before="80" w:after="120"/>
        <w:jc w:val="center"/>
      </w:pPr>
      <w:r>
        <w:rPr>
          <w:rFonts w:ascii="Arial" w:hAnsi="Arial"/>
          <w:color w:val="000000"/>
          <w:sz w:val="16"/>
        </w:rPr>
        <w:t xml:space="preserve">Figure </w:t>
      </w:r>
      <w:fldSimple w:instr=" SEQ Figure ">
        <w:r>
          <w:t>1</w:t>
        </w:r>
      </w:fldSimple>
      <w:r>
        <w:rPr>
          <w:rFonts w:ascii="Arial" w:hAnsi="Arial"/>
          <w:color w:val="000000"/>
          <w:sz w:val="16"/>
        </w:rPr>
        <w:t>. Five-seed attribution sensitivity and all-method agreement. Rates are method-conditioned governance evidence, not production incidents.</w:t>
      </w:r>
    </w:p>
    <w:p w14:paraId="001000D4" w14:textId="001000D5">
      <w:pPr>
        <w:spacing w:before="0" w:after="100" w:line="259" w:lineRule="auto"/>
        <w:jc w:val="both"/>
      </w:pPr>
      <w:r>
        <w:rPr>
          <w:rFonts w:ascii="Arial" w:hAnsi="Arial"/>
          <w:color w:val="000000"/>
          <w:sz w:val="18"/>
        </w:rPr>
        <w:t>For Expected Gradients, the pooled five-seed ledger records 15 certified admissions, 35 refused admissions, 13 escalations, two strict recertifications, and six strict-recertification failures. Feature Ablation records 17 certifications and 33 refusals with no escalations, while Gradient x Input records six certifications, 44 refusals, one escalation, and one strict recertification. These differing state counts demonstrate execution of the same ledger under different explanations, but they also show that the governance outcome inherits the attribution choice. They do not quantify analyst benefit, false-alarm reduction, production remediation, or causal improvement of later OFRA checkpoints.</w:t>
      </w:r>
    </w:p>
    <w:p>
      <w:pPr>
        <w:pStyle w:val="Heading2"/>
      </w:pPr>
      <w:r>
        <w:rPr>
          <w:color w:val="000000"/>
        </w:rPr>
        <w:t>4.6 Exploratory open-set and labelled-head pilot</w:t>
      </w:r>
    </w:p>
    <w:p>
      <w:r>
        <w:rPr>
          <w:color w:val="000000"/>
        </w:rP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r>
        <w:rPr>
          <w:color w:val="000000"/>
        </w:rP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pPr>
        <w:pStyle w:val="Caption"/>
        <w:keepNext/>
        <w:pageBreakBefore/>
        <w:ind w:left="144" w:firstLine="0"/>
      </w:pPr>
      <w:r>
        <w:rPr>
          <w:rFonts w:ascii="Arial" w:hAnsi="Arial"/>
          <w:color w:val="000000"/>
          <w:sz w:val="16"/>
        </w:rPr>
        <w:t xml:space="preserve">Table </w:t>
      </w:r>
      <w:fldSimple w:instr=" SEQ Table ">
        <w:r>
          <w:t>5</w:t>
        </w:r>
      </w:fldSimple>
      <w:r>
        <w:rPr>
          <w:rFonts w:ascii="Arial" w:hAnsi="Arial"/>
          <w:color w:val="000000"/>
          <w:sz w:val="16"/>
        </w:rPr>
        <w:t>. Seed-42 O1 open-set and post-label adaptation diagnostic.</w:t>
      </w:r>
    </w:p>
    <w:tbl>
      <w:tblPr>
        <w:tblStyle w:val="TableGrid"/>
        <w:tblW w:type="auto" w:w="0"/>
        <w:tblLayout w:type="autofit"/>
        <w:tblLook w:firstColumn="1" w:firstRow="1" w:lastColumn="0" w:lastRow="0" w:noHBand="0" w:noVBand="1" w:val="04A0"/>
      </w:tblPr>
      <w:tblGrid>
        <w:gridCol w:w="4968"/>
        <w:gridCol w:w="4968"/>
      </w:tblGrid>
      <w:tr>
        <w:trPr>
          <w:tblHeader/>
          <w:cantSplit/>
        </w:trPr>
        <w:tc>
          <w:tcPr>
            <w:tcW w:type="dxa" w:w="4968"/>
            <w:shd w:fill="EAEAEA" w:val="clear"/>
            <w:vAlign w:val="center"/>
          </w:tcPr>
          <w:p>
            <w:pPr>
              <w:keepNext/>
              <w:spacing w:after="0"/>
              <w:jc w:val="left"/>
            </w:pPr>
            <w:r>
              <w:rPr>
                <w:b/>
                <w:color w:val="000000"/>
                <w:sz w:val="16"/>
              </w:rPr>
              <w:t>Stage or metric</w:t>
            </w:r>
          </w:p>
        </w:tc>
        <w:tc>
          <w:tcPr>
            <w:tcW w:type="dxa" w:w="4968"/>
            <w:shd w:fill="EAEAEA" w:val="clear"/>
            <w:vAlign w:val="center"/>
          </w:tcPr>
          <w:p>
            <w:pPr>
              <w:keepNext/>
              <w:spacing w:after="0"/>
              <w:jc w:val="center"/>
            </w:pPr>
            <w:r>
              <w:rPr>
                <w:b/>
                <w:color w:val="000000"/>
                <w:sz w:val="16"/>
              </w:rPr>
              <w:t>Result</w:t>
            </w:r>
          </w:p>
        </w:tc>
      </w:tr>
      <w:tr>
        <w:trPr>
          <w:cantSplit/>
        </w:trPr>
        <w:tc>
          <w:tcPr>
            <w:tcW w:type="dxa" w:w="4968"/>
            <w:vAlign w:val="center"/>
          </w:tcPr>
          <w:p>
            <w:pPr>
              <w:keepNext/>
              <w:spacing w:after="0"/>
              <w:jc w:val="left"/>
            </w:pPr>
            <w:r>
              <w:rPr>
                <w:b w:val="0"/>
                <w:color w:val="000000"/>
                <w:sz w:val="16"/>
              </w:rPr>
              <w:t>Held-out class / test rows</w:t>
            </w:r>
          </w:p>
        </w:tc>
        <w:tc>
          <w:tcPr>
            <w:tcW w:type="dxa" w:w="4968"/>
            <w:vAlign w:val="center"/>
          </w:tcPr>
          <w:p>
            <w:pPr>
              <w:keepNext/>
              <w:spacing w:after="0"/>
              <w:jc w:val="center"/>
            </w:pPr>
            <w:r>
              <w:rPr>
                <w:b w:val="0"/>
                <w:color w:val="000000"/>
                <w:sz w:val="16"/>
              </w:rPr>
              <w:t>FTP-Patator / 1,588</w:t>
            </w:r>
          </w:p>
        </w:tc>
      </w:tr>
      <w:tr>
        <w:trPr>
          <w:cantSplit/>
        </w:trPr>
        <w:tc>
          <w:tcPr>
            <w:tcW w:type="dxa" w:w="4968"/>
            <w:vAlign w:val="center"/>
          </w:tcPr>
          <w:p>
            <w:pPr>
              <w:keepNext/>
              <w:spacing w:after="0"/>
              <w:jc w:val="left"/>
            </w:pPr>
            <w:r>
              <w:rPr>
                <w:b w:val="0"/>
                <w:color w:val="000000"/>
                <w:sz w:val="16"/>
              </w:rPr>
              <w:t>Pre-update known accuracy</w:t>
            </w:r>
          </w:p>
        </w:tc>
        <w:tc>
          <w:tcPr>
            <w:tcW w:type="dxa" w:w="4968"/>
            <w:vAlign w:val="center"/>
          </w:tcPr>
          <w:p>
            <w:pPr>
              <w:keepNext/>
              <w:spacing w:after="0"/>
              <w:jc w:val="center"/>
            </w:pPr>
            <w:r>
              <w:rPr>
                <w:b w:val="0"/>
                <w:color w:val="000000"/>
                <w:sz w:val="16"/>
              </w:rPr>
              <w:t>87.28% (226,135 rows)</w:t>
            </w:r>
          </w:p>
        </w:tc>
      </w:tr>
      <w:tr>
        <w:trPr>
          <w:cantSplit/>
        </w:trPr>
        <w:tc>
          <w:tcPr>
            <w:tcW w:type="dxa" w:w="4968"/>
            <w:vAlign w:val="center"/>
          </w:tcPr>
          <w:p>
            <w:pPr>
              <w:keepNext/>
              <w:spacing w:after="0"/>
              <w:jc w:val="left"/>
            </w:pPr>
            <w:r>
              <w:rPr>
                <w:b w:val="0"/>
                <w:color w:val="000000"/>
                <w:sz w:val="16"/>
              </w:rPr>
              <w:t>Unknown recall, all four gates</w:t>
            </w:r>
          </w:p>
        </w:tc>
        <w:tc>
          <w:tcPr>
            <w:tcW w:type="dxa" w:w="4968"/>
            <w:vAlign w:val="center"/>
          </w:tcPr>
          <w:p>
            <w:pPr>
              <w:keepNext/>
              <w:spacing w:after="0"/>
              <w:jc w:val="center"/>
            </w:pPr>
            <w:r>
              <w:rPr>
                <w:b w:val="0"/>
                <w:color w:val="000000"/>
                <w:sz w:val="16"/>
              </w:rPr>
              <w:t>0.00%</w:t>
            </w:r>
          </w:p>
        </w:tc>
      </w:tr>
      <w:tr>
        <w:trPr>
          <w:cantSplit/>
        </w:trPr>
        <w:tc>
          <w:tcPr>
            <w:tcW w:type="dxa" w:w="4968"/>
            <w:vAlign w:val="center"/>
          </w:tcPr>
          <w:p>
            <w:pPr>
              <w:keepNext/>
              <w:spacing w:after="0"/>
              <w:jc w:val="left"/>
            </w:pPr>
            <w:r>
              <w:rPr>
                <w:b w:val="0"/>
                <w:color w:val="000000"/>
                <w:sz w:val="16"/>
              </w:rPr>
              <w:t>Best AUROC / OSCR-style AUC</w:t>
            </w:r>
          </w:p>
        </w:tc>
        <w:tc>
          <w:tcPr>
            <w:tcW w:type="dxa" w:w="4968"/>
            <w:vAlign w:val="center"/>
          </w:tcPr>
          <w:p>
            <w:pPr>
              <w:keepNext/>
              <w:spacing w:after="0"/>
              <w:jc w:val="center"/>
            </w:pPr>
            <w:r>
              <w:rPr>
                <w:b w:val="0"/>
                <w:color w:val="000000"/>
                <w:sz w:val="16"/>
              </w:rPr>
              <w:t>0.5303 / 0.4699</w:t>
            </w:r>
          </w:p>
        </w:tc>
      </w:tr>
      <w:tr>
        <w:trPr>
          <w:cantSplit/>
        </w:trPr>
        <w:tc>
          <w:tcPr>
            <w:tcW w:type="dxa" w:w="4968"/>
            <w:vAlign w:val="center"/>
          </w:tcPr>
          <w:p>
            <w:pPr>
              <w:keepNext/>
              <w:spacing w:after="0"/>
              <w:jc w:val="left"/>
            </w:pPr>
            <w:r>
              <w:rPr>
                <w:b w:val="0"/>
                <w:color w:val="000000"/>
                <w:sz w:val="16"/>
              </w:rPr>
              <w:t>Post-label new-class recall</w:t>
            </w:r>
          </w:p>
        </w:tc>
        <w:tc>
          <w:tcPr>
            <w:tcW w:type="dxa" w:w="4968"/>
            <w:vAlign w:val="center"/>
          </w:tcPr>
          <w:p>
            <w:pPr>
              <w:keepNext/>
              <w:spacing w:after="0"/>
              <w:jc w:val="center"/>
            </w:pPr>
            <w:r>
              <w:rPr>
                <w:b w:val="0"/>
                <w:color w:val="000000"/>
                <w:sz w:val="16"/>
              </w:rPr>
              <w:t>82.30%</w:t>
            </w:r>
          </w:p>
        </w:tc>
      </w:tr>
      <w:tr>
        <w:trPr>
          <w:cantSplit/>
        </w:trPr>
        <w:tc>
          <w:tcPr>
            <w:tcW w:type="dxa" w:w="4968"/>
            <w:vAlign w:val="center"/>
          </w:tcPr>
          <w:p>
            <w:pPr>
              <w:keepNext w:val="0"/>
              <w:spacing w:after="0"/>
              <w:jc w:val="left"/>
            </w:pPr>
            <w:r>
              <w:rPr>
                <w:b w:val="0"/>
                <w:color w:val="000000"/>
                <w:sz w:val="16"/>
              </w:rPr>
              <w:t>Old-class accuracy change</w:t>
            </w:r>
          </w:p>
        </w:tc>
        <w:tc>
          <w:tcPr>
            <w:tcW w:type="dxa" w:w="4968"/>
            <w:vAlign w:val="center"/>
          </w:tcPr>
          <w:p>
            <w:pPr>
              <w:keepNext w:val="0"/>
              <w:spacing w:after="0"/>
              <w:jc w:val="center"/>
            </w:pPr>
            <w:r>
              <w:rPr>
                <w:b w:val="0"/>
                <w:color w:val="000000"/>
                <w:sz w:val="16"/>
              </w:rPr>
              <w:t>-0.27 percentage points</w:t>
            </w:r>
          </w:p>
        </w:tc>
      </w:tr>
    </w:tbl>
    <w:p>
      <w:pPr>
        <w:pStyle w:val="Heading2"/>
      </w:pPr>
      <w:r>
        <w:rPr>
          <w:color w:val="000000"/>
        </w:rPr>
        <w:t>4.7 Paired checkpoint-selection result</w:t>
      </w:r>
    </w:p>
    <w:p>
      <w:r>
        <w:rPr>
          <w:color w:val="000000"/>
        </w:rP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pPr>
        <w:pStyle w:val="Caption"/>
        <w:keepNext/>
        <w:pageBreakBefore w:val="0"/>
      </w:pPr>
      <w:r>
        <w:rPr>
          <w:rFonts w:ascii="Arial" w:hAnsi="Arial"/>
          <w:color w:val="000000"/>
          <w:sz w:val="16"/>
        </w:rPr>
        <w:t xml:space="preserve">Table </w:t>
      </w:r>
      <w:fldSimple w:instr=" SEQ Table ">
        <w:r>
          <w:t>6</w:t>
        </w:r>
      </w:fldSimple>
      <w:r>
        <w:rPr>
          <w:rFonts w:ascii="Arial" w:hAnsi="Arial"/>
          <w:color w:val="000000"/>
          <w:sz w:val="16"/>
        </w:rPr>
        <w:t>. Per-class official joint-cap-3,000 results. Class-wise accuracy is recall; values are five-seed mean +/- sample SD on one fixed test split.</w:t>
      </w:r>
    </w:p>
    <w:tbl>
      <w:tblPr>
        <w:tblStyle w:val="TableGrid"/>
        <w:tblW w:type="dxa" w:w="9936"/>
        <w:tblInd w:type="dxa" w:w="120"/>
        <w:tblLayout w:type="fixed"/>
        <w:tblLook w:firstColumn="1" w:firstRow="1" w:lastColumn="0" w:lastRow="0" w:noHBand="0" w:noVBand="1" w:val="04A0"/>
      </w:tblPr>
      <w:tblGrid>
        <w:gridCol w:w="2200"/>
        <w:gridCol w:w="850"/>
        <w:gridCol w:w="1721"/>
        <w:gridCol w:w="1721"/>
        <w:gridCol w:w="1722"/>
        <w:gridCol w:w="1722"/>
      </w:tblGrid>
      <w:tr>
        <w:trPr>
          <w:tblHeader/>
          <w:cantSplit/>
        </w:trPr>
        <w:tc>
          <w:tcPr>
            <w:tcW w:type="dxa" w:w="2200"/>
            <w:shd w:fill="EAEAEA" w:val="clear"/>
            <w:tcMar>
              <w:top w:w="20" w:type="dxa"/>
              <w:start w:w="70" w:type="dxa"/>
              <w:bottom w:w="20" w:type="dxa"/>
              <w:end w:w="70" w:type="dxa"/>
            </w:tcMar>
            <w:vAlign w:val="center"/>
          </w:tcPr>
          <w:p>
            <w:pPr>
              <w:keepNext/>
              <w:spacing w:before="0" w:after="0" w:line="216" w:lineRule="auto"/>
              <w:jc w:val="left"/>
            </w:pPr>
            <w:r>
              <w:rPr>
                <w:rFonts w:ascii="Arial" w:hAnsi="Arial"/>
                <w:b/>
                <w:color w:val="000000"/>
                <w:sz w:val="13"/>
              </w:rPr>
              <w:t>Class</w:t>
            </w:r>
          </w:p>
        </w:tc>
        <w:tc>
          <w:tcPr>
            <w:tcW w:type="dxa" w:w="850"/>
            <w:shd w:fill="EAEAEA" w:val="clear"/>
            <w:tcMar>
              <w:top w:w="20" w:type="dxa"/>
              <w:start w:w="70" w:type="dxa"/>
              <w:bottom w:w="20" w:type="dxa"/>
              <w:end w:w="70" w:type="dxa"/>
            </w:tcMar>
            <w:vAlign w:val="center"/>
          </w:tcPr>
          <w:p>
            <w:pPr>
              <w:keepNext/>
              <w:spacing w:before="0" w:after="0" w:line="216" w:lineRule="auto"/>
              <w:jc w:val="center"/>
            </w:pPr>
            <w:r>
              <w:rPr>
                <w:rFonts w:ascii="Arial" w:hAnsi="Arial"/>
                <w:b/>
                <w:color w:val="000000"/>
                <w:sz w:val="13"/>
              </w:rPr>
              <w:t>Support</w:t>
            </w:r>
          </w:p>
        </w:tc>
        <w:tc>
          <w:tcPr>
            <w:tcW w:type="dxa" w:w="1721"/>
            <w:shd w:fill="EAEAEA" w:val="clear"/>
            <w:tcMar>
              <w:top w:w="20" w:type="dxa"/>
              <w:start w:w="70" w:type="dxa"/>
              <w:bottom w:w="20" w:type="dxa"/>
              <w:end w:w="70" w:type="dxa"/>
            </w:tcMar>
            <w:vAlign w:val="center"/>
          </w:tcPr>
          <w:p>
            <w:pPr>
              <w:keepNext/>
              <w:spacing w:before="0" w:after="0" w:line="216" w:lineRule="auto"/>
              <w:jc w:val="center"/>
            </w:pPr>
            <w:r>
              <w:rPr>
                <w:rFonts w:ascii="Arial" w:hAnsi="Arial"/>
                <w:b/>
                <w:color w:val="000000"/>
                <w:sz w:val="13"/>
              </w:rPr>
              <w:t>Last recall</w:t>
            </w:r>
          </w:p>
        </w:tc>
        <w:tc>
          <w:tcPr>
            <w:tcW w:type="dxa" w:w="1721"/>
            <w:shd w:fill="EAEAEA" w:val="clear"/>
            <w:tcMar>
              <w:top w:w="20" w:type="dxa"/>
              <w:start w:w="70" w:type="dxa"/>
              <w:bottom w:w="20" w:type="dxa"/>
              <w:end w:w="70" w:type="dxa"/>
            </w:tcMar>
            <w:vAlign w:val="center"/>
          </w:tcPr>
          <w:p>
            <w:pPr>
              <w:keepNext/>
              <w:spacing w:before="0" w:after="0" w:line="216" w:lineRule="auto"/>
              <w:jc w:val="center"/>
            </w:pPr>
            <w:r>
              <w:rPr>
                <w:rFonts w:ascii="Arial" w:hAnsi="Arial"/>
                <w:b/>
                <w:color w:val="000000"/>
                <w:sz w:val="13"/>
              </w:rPr>
              <w:t>Cal. recall</w:t>
            </w:r>
          </w:p>
        </w:tc>
        <w:tc>
          <w:tcPr>
            <w:tcW w:type="dxa" w:w="1722"/>
            <w:shd w:fill="EAEAEA" w:val="clear"/>
            <w:tcMar>
              <w:top w:w="20" w:type="dxa"/>
              <w:start w:w="70" w:type="dxa"/>
              <w:bottom w:w="20" w:type="dxa"/>
              <w:end w:w="70" w:type="dxa"/>
            </w:tcMar>
            <w:vAlign w:val="center"/>
          </w:tcPr>
          <w:p>
            <w:pPr>
              <w:keepNext/>
              <w:spacing w:before="0" w:after="0" w:line="216" w:lineRule="auto"/>
              <w:jc w:val="center"/>
            </w:pPr>
            <w:r>
              <w:rPr>
                <w:rFonts w:ascii="Arial" w:hAnsi="Arial"/>
                <w:b/>
                <w:color w:val="000000"/>
                <w:sz w:val="13"/>
              </w:rPr>
              <w:t>Last F1</w:t>
            </w:r>
          </w:p>
        </w:tc>
        <w:tc>
          <w:tcPr>
            <w:tcW w:type="dxa" w:w="1722"/>
            <w:shd w:fill="EAEAEA" w:val="clear"/>
            <w:tcMar>
              <w:top w:w="20" w:type="dxa"/>
              <w:start w:w="70" w:type="dxa"/>
              <w:bottom w:w="20" w:type="dxa"/>
              <w:end w:w="70" w:type="dxa"/>
            </w:tcMar>
            <w:vAlign w:val="center"/>
          </w:tcPr>
          <w:p>
            <w:pPr>
              <w:keepNext/>
              <w:spacing w:before="0" w:after="0" w:line="216" w:lineRule="auto"/>
              <w:jc w:val="center"/>
            </w:pPr>
            <w:r>
              <w:rPr>
                <w:rFonts w:ascii="Arial" w:hAnsi="Arial"/>
                <w:b/>
                <w:color w:val="000000"/>
                <w:sz w:val="13"/>
              </w:rPr>
              <w:t>Cal. F1</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Benign</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174,421</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86.9% +/- 8.3%</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89.6% +/- 5.0%</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90.7% +/- 4.4%</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92.1% +/- 2.8%</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DoS GoldenEye</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2,059</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97.8% +/- 0.9%</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94.7% +/- 4.8%</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90.2% +/- 7.3%</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92.5% +/- 2.0%</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DoS Hulk</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46,215</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81.0% +/- 13.7%</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81.1% +/- 18.1%</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80.6% +/- 8.2%</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82.7% +/- 7.5%</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DoS Slowhttptest</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1,100</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75.0% +/- 14.3%</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79.5% +/- 5.8%</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54.6% +/- 7.7%</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53.8% +/- 8.0%</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DoS slowloris</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1,159</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69.0% +/- 21.2%</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74.2% +/- 11.0%</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48.3% +/- 16.5%</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49.6% +/- 10.5%</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FTP-Patator</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1,588</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69.0% +/- 44.3%</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70.1% +/- 24.9%</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30.9% +/- 28.5%</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51.5% +/- 19.9%</w:t>
            </w:r>
          </w:p>
        </w:tc>
      </w:tr>
      <w:tr>
        <w:trPr>
          <w:cantSplit/>
        </w:trPr>
        <w:tc>
          <w:tcPr>
            <w:tcW w:type="dxa" w:w="2200"/>
            <w:tcMar>
              <w:top w:w="20" w:type="dxa"/>
              <w:start w:w="70" w:type="dxa"/>
              <w:bottom w:w="20" w:type="dxa"/>
              <w:end w:w="70" w:type="dxa"/>
            </w:tcMar>
            <w:vAlign w:val="center"/>
          </w:tcPr>
          <w:p>
            <w:pPr>
              <w:keepNext/>
              <w:spacing w:before="0" w:after="0" w:line="216" w:lineRule="auto"/>
              <w:jc w:val="left"/>
            </w:pPr>
            <w:r>
              <w:rPr>
                <w:rFonts w:ascii="Arial" w:hAnsi="Arial"/>
                <w:b w:val="0"/>
                <w:color w:val="000000"/>
                <w:sz w:val="13"/>
              </w:rPr>
              <w:t>Heartbleed</w:t>
            </w:r>
          </w:p>
        </w:tc>
        <w:tc>
          <w:tcPr>
            <w:tcW w:type="dxa" w:w="850"/>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2</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60.0% +/- 54.8%</w:t>
            </w:r>
          </w:p>
        </w:tc>
        <w:tc>
          <w:tcPr>
            <w:tcW w:type="dxa" w:w="1721"/>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60.0% +/- 54.8%</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9.4% +/- 13.3%</w:t>
            </w:r>
          </w:p>
        </w:tc>
        <w:tc>
          <w:tcPr>
            <w:tcW w:type="dxa" w:w="1722"/>
            <w:tcMar>
              <w:top w:w="20" w:type="dxa"/>
              <w:start w:w="70" w:type="dxa"/>
              <w:bottom w:w="20" w:type="dxa"/>
              <w:end w:w="70" w:type="dxa"/>
            </w:tcMar>
            <w:vAlign w:val="center"/>
          </w:tcPr>
          <w:p>
            <w:pPr>
              <w:keepNext/>
              <w:spacing w:before="0" w:after="0" w:line="216" w:lineRule="auto"/>
              <w:jc w:val="center"/>
            </w:pPr>
            <w:r>
              <w:rPr>
                <w:rFonts w:ascii="Arial" w:hAnsi="Arial"/>
                <w:b w:val="0"/>
                <w:color w:val="000000"/>
                <w:sz w:val="13"/>
              </w:rPr>
              <w:t>7.6% +/- 10.4%</w:t>
            </w:r>
          </w:p>
        </w:tc>
      </w:tr>
      <w:tr>
        <w:trPr>
          <w:cantSplit/>
        </w:trPr>
        <w:tc>
          <w:tcPr>
            <w:tcW w:type="dxa" w:w="2200"/>
            <w:tcMar>
              <w:top w:w="20" w:type="dxa"/>
              <w:start w:w="70" w:type="dxa"/>
              <w:bottom w:w="20" w:type="dxa"/>
              <w:end w:w="70" w:type="dxa"/>
            </w:tcMar>
            <w:vAlign w:val="center"/>
          </w:tcPr>
          <w:p>
            <w:pPr>
              <w:keepNext w:val="0"/>
              <w:spacing w:before="0" w:after="0" w:line="216" w:lineRule="auto"/>
              <w:jc w:val="left"/>
            </w:pPr>
            <w:r>
              <w:rPr>
                <w:rFonts w:ascii="Arial" w:hAnsi="Arial"/>
                <w:b w:val="0"/>
                <w:color w:val="000000"/>
                <w:sz w:val="13"/>
              </w:rPr>
              <w:t>SSH-Patator</w:t>
            </w:r>
          </w:p>
        </w:tc>
        <w:tc>
          <w:tcPr>
            <w:tcW w:type="dxa" w:w="850"/>
            <w:tcMar>
              <w:top w:w="20" w:type="dxa"/>
              <w:start w:w="70" w:type="dxa"/>
              <w:bottom w:w="20" w:type="dxa"/>
              <w:end w:w="70" w:type="dxa"/>
            </w:tcMar>
            <w:vAlign w:val="center"/>
          </w:tcPr>
          <w:p>
            <w:pPr>
              <w:keepNext w:val="0"/>
              <w:spacing w:before="0" w:after="0" w:line="216" w:lineRule="auto"/>
              <w:jc w:val="center"/>
            </w:pPr>
            <w:r>
              <w:rPr>
                <w:rFonts w:ascii="Arial" w:hAnsi="Arial"/>
                <w:b w:val="0"/>
                <w:color w:val="000000"/>
                <w:sz w:val="13"/>
              </w:rPr>
              <w:t>1,179</w:t>
            </w:r>
          </w:p>
        </w:tc>
        <w:tc>
          <w:tcPr>
            <w:tcW w:type="dxa" w:w="1721"/>
            <w:tcMar>
              <w:top w:w="20" w:type="dxa"/>
              <w:start w:w="70" w:type="dxa"/>
              <w:bottom w:w="20" w:type="dxa"/>
              <w:end w:w="70" w:type="dxa"/>
            </w:tcMar>
            <w:vAlign w:val="center"/>
          </w:tcPr>
          <w:p>
            <w:pPr>
              <w:keepNext w:val="0"/>
              <w:spacing w:before="0" w:after="0" w:line="216" w:lineRule="auto"/>
              <w:jc w:val="center"/>
            </w:pPr>
            <w:r>
              <w:rPr>
                <w:rFonts w:ascii="Arial" w:hAnsi="Arial"/>
                <w:b w:val="0"/>
                <w:color w:val="000000"/>
                <w:sz w:val="13"/>
              </w:rPr>
              <w:t>82.3% +/- 23.3%</w:t>
            </w:r>
          </w:p>
        </w:tc>
        <w:tc>
          <w:tcPr>
            <w:tcW w:type="dxa" w:w="1721"/>
            <w:tcMar>
              <w:top w:w="20" w:type="dxa"/>
              <w:start w:w="70" w:type="dxa"/>
              <w:bottom w:w="20" w:type="dxa"/>
              <w:end w:w="70" w:type="dxa"/>
            </w:tcMar>
            <w:vAlign w:val="center"/>
          </w:tcPr>
          <w:p>
            <w:pPr>
              <w:keepNext w:val="0"/>
              <w:spacing w:before="0" w:after="0" w:line="216" w:lineRule="auto"/>
              <w:jc w:val="center"/>
            </w:pPr>
            <w:r>
              <w:rPr>
                <w:rFonts w:ascii="Arial" w:hAnsi="Arial"/>
                <w:b w:val="0"/>
                <w:color w:val="000000"/>
                <w:sz w:val="13"/>
              </w:rPr>
              <w:t>69.0% +/- 38.7%</w:t>
            </w:r>
          </w:p>
        </w:tc>
        <w:tc>
          <w:tcPr>
            <w:tcW w:type="dxa" w:w="1722"/>
            <w:tcMar>
              <w:top w:w="20" w:type="dxa"/>
              <w:start w:w="70" w:type="dxa"/>
              <w:bottom w:w="20" w:type="dxa"/>
              <w:end w:w="70" w:type="dxa"/>
            </w:tcMar>
            <w:vAlign w:val="center"/>
          </w:tcPr>
          <w:p>
            <w:pPr>
              <w:keepNext w:val="0"/>
              <w:spacing w:before="0" w:after="0" w:line="216" w:lineRule="auto"/>
              <w:jc w:val="center"/>
            </w:pPr>
            <w:r>
              <w:rPr>
                <w:rFonts w:ascii="Arial" w:hAnsi="Arial"/>
                <w:b w:val="0"/>
                <w:color w:val="000000"/>
                <w:sz w:val="13"/>
              </w:rPr>
              <w:t>30.4% +/- 14.7%</w:t>
            </w:r>
          </w:p>
        </w:tc>
        <w:tc>
          <w:tcPr>
            <w:tcW w:type="dxa" w:w="1722"/>
            <w:tcMar>
              <w:top w:w="20" w:type="dxa"/>
              <w:start w:w="70" w:type="dxa"/>
              <w:bottom w:w="20" w:type="dxa"/>
              <w:end w:w="70" w:type="dxa"/>
            </w:tcMar>
            <w:vAlign w:val="center"/>
          </w:tcPr>
          <w:p>
            <w:pPr>
              <w:keepNext w:val="0"/>
              <w:spacing w:before="0" w:after="0" w:line="216" w:lineRule="auto"/>
              <w:jc w:val="center"/>
            </w:pPr>
            <w:r>
              <w:rPr>
                <w:rFonts w:ascii="Arial" w:hAnsi="Arial"/>
                <w:b w:val="0"/>
                <w:color w:val="000000"/>
                <w:sz w:val="13"/>
              </w:rPr>
              <w:t>21.0% +/- 16.6%</w:t>
            </w:r>
          </w:p>
        </w:tc>
      </w:tr>
    </w:tbl>
    <w:p>
      <w:r>
        <w:rPr>
          <w:color w:val="000000"/>
        </w:rP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pPr>
        <w:pStyle w:val="Heading2"/>
      </w:pPr>
      <w:r>
        <w:rPr>
          <w:color w:val="000000"/>
        </w:rPr>
        <w:t>4.8 Guarded checkpoint-selection result</w:t>
      </w:r>
    </w:p>
    <w:p>
      <w:r>
        <w:rPr>
          <w:color w:val="000000"/>
        </w:rPr>
        <w:t>DICC Job 426307 repeated the five paired seeds with the recall/FPR guard. Relative to last epoch, guarded selection changed final accuracy from 85.51% to 87.10% (+1.59 points), Macro-F1 from 54.40% to 55.93% (+1.53), forgetting from 3.52% to 3.56% (+0.04), attack recall from 85.73% to 83.44% (-2.29), and benign FPR from 13.10% to 10.90% (-2.20). Average task accuracy decreased by 1.79 points. The Macro-F1 paired t-test gave p=0.372 and Holm-adjusted p=0.744; the forgetting test gave p=0.977. All paired 95% confidence intervals included zero. The guard removed the large mean forgetting penalty of the unconstrained selector but did not establish superiority, and only seed 2 Pareto-dominated its matched baseline across final accuracy, Macro-F1, forgetting, attack recall, and benign FPR. Last epoch therefore remains the formal primary rule.</w:t>
      </w:r>
    </w:p>
    <w:p>
      <w:pPr>
        <w:pStyle w:val="Caption"/>
        <w:keepNext/>
      </w:pPr>
      <w:r>
        <w:rPr>
          <w:rFonts w:ascii="Arial" w:hAnsi="Arial"/>
          <w:color w:val="000000"/>
          <w:sz w:val="16"/>
        </w:rPr>
        <w:t xml:space="preserve">Table </w:t>
      </w:r>
      <w:fldSimple w:instr=" SEQ Table ">
        <w:r>
          <w:t>7</w:t>
        </w:r>
      </w:fldSimple>
      <w:r>
        <w:rPr>
          <w:rFonts w:ascii="Arial" w:hAnsi="Arial"/>
          <w:color w:val="000000"/>
          <w:sz w:val="16"/>
        </w:rPr>
        <w:t>. Guarded checkpoint selection versus the matched last-epoch baseline (five paired seeds).</w:t>
      </w:r>
    </w:p>
    <w:tbl>
      <w:tblPr>
        <w:tblStyle w:val="TableGrid"/>
        <w:tblW w:type="auto" w:w="0"/>
        <w:tblLook w:firstColumn="1" w:firstRow="1" w:lastColumn="0" w:lastRow="0" w:noHBand="0" w:noVBand="1" w:val="04A0"/>
      </w:tblPr>
      <w:tblGrid>
        <w:gridCol w:w="1987"/>
        <w:gridCol w:w="1987"/>
        <w:gridCol w:w="1987"/>
        <w:gridCol w:w="1987"/>
        <w:gridCol w:w="1987"/>
      </w:tblGrid>
      <w:tr>
        <w:trPr>
          <w:tblHeader/>
          <w:cantSplit/>
        </w:trPr>
        <w:tc>
          <w:tcPr>
            <w:tcW w:type="dxa" w:w="2088"/>
          </w:tcPr>
          <w:p>
            <w:pPr>
              <w:keepNext/>
              <w:spacing w:after="0"/>
            </w:pPr>
            <w:r>
              <w:rPr>
                <w:rFonts w:ascii="Arial" w:hAnsi="Arial"/>
                <w:b/>
                <w:color w:val="000000"/>
                <w:sz w:val="15"/>
              </w:rPr>
              <w:t>Metric</w:t>
            </w:r>
          </w:p>
        </w:tc>
        <w:tc>
          <w:tcPr>
            <w:tcW w:type="dxa" w:w="1613"/>
          </w:tcPr>
          <w:p>
            <w:pPr>
              <w:keepNext/>
              <w:spacing w:after="0"/>
            </w:pPr>
            <w:r>
              <w:rPr>
                <w:rFonts w:ascii="Arial" w:hAnsi="Arial"/>
                <w:b/>
                <w:color w:val="000000"/>
                <w:sz w:val="15"/>
              </w:rPr>
              <w:t>Last epoch</w:t>
              <w:br/>
              <w:t>mean (SD)</w:t>
            </w:r>
          </w:p>
        </w:tc>
        <w:tc>
          <w:tcPr>
            <w:tcW w:type="dxa" w:w="1613"/>
          </w:tcPr>
          <w:p>
            <w:pPr>
              <w:keepNext/>
              <w:spacing w:after="0"/>
            </w:pPr>
            <w:r>
              <w:rPr>
                <w:rFonts w:ascii="Arial" w:hAnsi="Arial"/>
                <w:b/>
                <w:color w:val="000000"/>
                <w:sz w:val="15"/>
              </w:rPr>
              <w:t>Guarded</w:t>
              <w:br/>
              <w:t>mean (SD)</w:t>
            </w:r>
          </w:p>
        </w:tc>
        <w:tc>
          <w:tcPr>
            <w:tcW w:type="dxa" w:w="1440"/>
          </w:tcPr>
          <w:p>
            <w:pPr>
              <w:keepNext/>
              <w:spacing w:after="0"/>
            </w:pPr>
            <w:r>
              <w:rPr>
                <w:rFonts w:ascii="Arial" w:hAnsi="Arial"/>
                <w:b/>
                <w:color w:val="000000"/>
                <w:sz w:val="15"/>
              </w:rPr>
              <w:t>Paired change</w:t>
            </w:r>
          </w:p>
        </w:tc>
        <w:tc>
          <w:tcPr>
            <w:tcW w:type="dxa" w:w="1699"/>
          </w:tcPr>
          <w:p>
            <w:pPr>
              <w:keepNext/>
              <w:spacing w:after="0"/>
            </w:pPr>
            <w:r>
              <w:rPr>
                <w:rFonts w:ascii="Arial" w:hAnsi="Arial"/>
                <w:b/>
                <w:color w:val="000000"/>
                <w:sz w:val="15"/>
              </w:rPr>
              <w:t>95% CI</w:t>
            </w:r>
          </w:p>
        </w:tc>
      </w:tr>
      <w:tr>
        <w:trPr>
          <w:cantSplit/>
        </w:trPr>
        <w:tc>
          <w:tcPr>
            <w:tcW w:type="dxa" w:w="2088"/>
          </w:tcPr>
          <w:p>
            <w:pPr>
              <w:keepNext/>
              <w:spacing w:after="0"/>
            </w:pPr>
            <w:r>
              <w:rPr>
                <w:rFonts w:ascii="Arial" w:hAnsi="Arial"/>
                <w:color w:val="000000"/>
                <w:sz w:val="15"/>
              </w:rPr>
              <w:t>Average task accuracy</w:t>
            </w:r>
          </w:p>
        </w:tc>
        <w:tc>
          <w:tcPr>
            <w:tcW w:type="dxa" w:w="1613"/>
          </w:tcPr>
          <w:p>
            <w:pPr>
              <w:keepNext/>
              <w:spacing w:after="0"/>
            </w:pPr>
            <w:r>
              <w:rPr>
                <w:rFonts w:ascii="Arial" w:hAnsi="Arial"/>
                <w:color w:val="000000"/>
                <w:sz w:val="15"/>
              </w:rPr>
              <w:t>79.78 (6.86)</w:t>
            </w:r>
          </w:p>
        </w:tc>
        <w:tc>
          <w:tcPr>
            <w:tcW w:type="dxa" w:w="1613"/>
          </w:tcPr>
          <w:p>
            <w:pPr>
              <w:keepNext/>
              <w:spacing w:after="0"/>
            </w:pPr>
            <w:r>
              <w:rPr>
                <w:rFonts w:ascii="Arial" w:hAnsi="Arial"/>
                <w:color w:val="000000"/>
                <w:sz w:val="15"/>
              </w:rPr>
              <w:t>77.99 (10.01)</w:t>
            </w:r>
          </w:p>
        </w:tc>
        <w:tc>
          <w:tcPr>
            <w:tcW w:type="dxa" w:w="1440"/>
          </w:tcPr>
          <w:p>
            <w:pPr>
              <w:keepNext/>
              <w:spacing w:after="0"/>
            </w:pPr>
            <w:r>
              <w:rPr>
                <w:rFonts w:ascii="Arial" w:hAnsi="Arial"/>
                <w:color w:val="000000"/>
                <w:sz w:val="15"/>
              </w:rPr>
              <w:t>-1.79 pp</w:t>
            </w:r>
          </w:p>
        </w:tc>
        <w:tc>
          <w:tcPr>
            <w:tcW w:type="dxa" w:w="1699"/>
          </w:tcPr>
          <w:p>
            <w:pPr>
              <w:keepNext/>
              <w:spacing w:after="0"/>
            </w:pPr>
            <w:r>
              <w:rPr>
                <w:rFonts w:ascii="Arial" w:hAnsi="Arial"/>
                <w:color w:val="000000"/>
                <w:sz w:val="15"/>
              </w:rPr>
              <w:t>[-6.27, 2.69]</w:t>
            </w:r>
          </w:p>
        </w:tc>
      </w:tr>
      <w:tr>
        <w:trPr>
          <w:cantSplit/>
        </w:trPr>
        <w:tc>
          <w:tcPr>
            <w:tcW w:type="dxa" w:w="2088"/>
          </w:tcPr>
          <w:p>
            <w:pPr>
              <w:keepNext/>
              <w:spacing w:after="0"/>
            </w:pPr>
            <w:r>
              <w:rPr>
                <w:rFonts w:ascii="Arial" w:hAnsi="Arial"/>
                <w:color w:val="000000"/>
                <w:sz w:val="15"/>
              </w:rPr>
              <w:t>Forgetting</w:t>
            </w:r>
          </w:p>
        </w:tc>
        <w:tc>
          <w:tcPr>
            <w:tcW w:type="dxa" w:w="1613"/>
          </w:tcPr>
          <w:p>
            <w:pPr>
              <w:keepNext/>
              <w:spacing w:after="0"/>
            </w:pPr>
            <w:r>
              <w:rPr>
                <w:rFonts w:ascii="Arial" w:hAnsi="Arial"/>
                <w:color w:val="000000"/>
                <w:sz w:val="15"/>
              </w:rPr>
              <w:t>3.52 (2.60)</w:t>
            </w:r>
          </w:p>
        </w:tc>
        <w:tc>
          <w:tcPr>
            <w:tcW w:type="dxa" w:w="1613"/>
          </w:tcPr>
          <w:p>
            <w:pPr>
              <w:keepNext/>
              <w:spacing w:after="0"/>
            </w:pPr>
            <w:r>
              <w:rPr>
                <w:rFonts w:ascii="Arial" w:hAnsi="Arial"/>
                <w:color w:val="000000"/>
                <w:sz w:val="15"/>
              </w:rPr>
              <w:t>3.56 (4.71)</w:t>
            </w:r>
          </w:p>
        </w:tc>
        <w:tc>
          <w:tcPr>
            <w:tcW w:type="dxa" w:w="1440"/>
          </w:tcPr>
          <w:p>
            <w:pPr>
              <w:keepNext/>
              <w:spacing w:after="0"/>
            </w:pPr>
            <w:r>
              <w:rPr>
                <w:rFonts w:ascii="Arial" w:hAnsi="Arial"/>
                <w:color w:val="000000"/>
                <w:sz w:val="15"/>
              </w:rPr>
              <w:t>+0.04 pp</w:t>
            </w:r>
          </w:p>
        </w:tc>
        <w:tc>
          <w:tcPr>
            <w:tcW w:type="dxa" w:w="1699"/>
          </w:tcPr>
          <w:p>
            <w:pPr>
              <w:keepNext/>
              <w:spacing w:after="0"/>
            </w:pPr>
            <w:r>
              <w:rPr>
                <w:rFonts w:ascii="Arial" w:hAnsi="Arial"/>
                <w:color w:val="000000"/>
                <w:sz w:val="15"/>
              </w:rPr>
              <w:t>[-3.28, 3.36]</w:t>
            </w:r>
          </w:p>
        </w:tc>
      </w:tr>
      <w:tr>
        <w:trPr>
          <w:cantSplit/>
        </w:trPr>
        <w:tc>
          <w:tcPr>
            <w:tcW w:type="dxa" w:w="2088"/>
          </w:tcPr>
          <w:p>
            <w:pPr>
              <w:keepNext/>
              <w:spacing w:after="0"/>
            </w:pPr>
            <w:r>
              <w:rPr>
                <w:rFonts w:ascii="Arial" w:hAnsi="Arial"/>
                <w:color w:val="000000"/>
                <w:sz w:val="15"/>
              </w:rPr>
              <w:t>Final accuracy</w:t>
            </w:r>
          </w:p>
        </w:tc>
        <w:tc>
          <w:tcPr>
            <w:tcW w:type="dxa" w:w="1613"/>
          </w:tcPr>
          <w:p>
            <w:pPr>
              <w:keepNext/>
              <w:spacing w:after="0"/>
            </w:pPr>
            <w:r>
              <w:rPr>
                <w:rFonts w:ascii="Arial" w:hAnsi="Arial"/>
                <w:color w:val="000000"/>
                <w:sz w:val="15"/>
              </w:rPr>
              <w:t>85.51 (6.18)</w:t>
            </w:r>
          </w:p>
        </w:tc>
        <w:tc>
          <w:tcPr>
            <w:tcW w:type="dxa" w:w="1613"/>
          </w:tcPr>
          <w:p>
            <w:pPr>
              <w:keepNext/>
              <w:spacing w:after="0"/>
            </w:pPr>
            <w:r>
              <w:rPr>
                <w:rFonts w:ascii="Arial" w:hAnsi="Arial"/>
                <w:color w:val="000000"/>
                <w:sz w:val="15"/>
              </w:rPr>
              <w:t>87.10 (5.19)</w:t>
            </w:r>
          </w:p>
        </w:tc>
        <w:tc>
          <w:tcPr>
            <w:tcW w:type="dxa" w:w="1440"/>
          </w:tcPr>
          <w:p>
            <w:pPr>
              <w:keepNext/>
              <w:spacing w:after="0"/>
            </w:pPr>
            <w:r>
              <w:rPr>
                <w:rFonts w:ascii="Arial" w:hAnsi="Arial"/>
                <w:color w:val="000000"/>
                <w:sz w:val="15"/>
              </w:rPr>
              <w:t>+1.59 pp</w:t>
            </w:r>
          </w:p>
        </w:tc>
        <w:tc>
          <w:tcPr>
            <w:tcW w:type="dxa" w:w="1699"/>
          </w:tcPr>
          <w:p>
            <w:pPr>
              <w:keepNext/>
              <w:spacing w:after="0"/>
            </w:pPr>
            <w:r>
              <w:rPr>
                <w:rFonts w:ascii="Arial" w:hAnsi="Arial"/>
                <w:color w:val="000000"/>
                <w:sz w:val="15"/>
              </w:rPr>
              <w:t>[-0.33, 3.52]</w:t>
            </w:r>
          </w:p>
        </w:tc>
      </w:tr>
      <w:tr>
        <w:trPr>
          <w:cantSplit/>
        </w:trPr>
        <w:tc>
          <w:tcPr>
            <w:tcW w:type="dxa" w:w="2088"/>
          </w:tcPr>
          <w:p>
            <w:pPr>
              <w:keepNext/>
              <w:spacing w:after="0"/>
            </w:pPr>
            <w:r>
              <w:rPr>
                <w:rFonts w:ascii="Arial" w:hAnsi="Arial"/>
                <w:color w:val="000000"/>
                <w:sz w:val="15"/>
              </w:rPr>
              <w:t>Macro-F1</w:t>
            </w:r>
          </w:p>
        </w:tc>
        <w:tc>
          <w:tcPr>
            <w:tcW w:type="dxa" w:w="1613"/>
          </w:tcPr>
          <w:p>
            <w:pPr>
              <w:keepNext/>
              <w:spacing w:after="0"/>
            </w:pPr>
            <w:r>
              <w:rPr>
                <w:rFonts w:ascii="Arial" w:hAnsi="Arial"/>
                <w:color w:val="000000"/>
                <w:sz w:val="15"/>
              </w:rPr>
              <w:t>54.40 (5.07)</w:t>
            </w:r>
          </w:p>
        </w:tc>
        <w:tc>
          <w:tcPr>
            <w:tcW w:type="dxa" w:w="1613"/>
          </w:tcPr>
          <w:p>
            <w:pPr>
              <w:keepNext/>
              <w:spacing w:after="0"/>
            </w:pPr>
            <w:r>
              <w:rPr>
                <w:rFonts w:ascii="Arial" w:hAnsi="Arial"/>
                <w:color w:val="000000"/>
                <w:sz w:val="15"/>
              </w:rPr>
              <w:t>55.93 (5.02)</w:t>
            </w:r>
          </w:p>
        </w:tc>
        <w:tc>
          <w:tcPr>
            <w:tcW w:type="dxa" w:w="1440"/>
          </w:tcPr>
          <w:p>
            <w:pPr>
              <w:keepNext/>
              <w:spacing w:after="0"/>
            </w:pPr>
            <w:r>
              <w:rPr>
                <w:rFonts w:ascii="Arial" w:hAnsi="Arial"/>
                <w:color w:val="000000"/>
                <w:sz w:val="15"/>
              </w:rPr>
              <w:t>+1.53 pp</w:t>
            </w:r>
          </w:p>
        </w:tc>
        <w:tc>
          <w:tcPr>
            <w:tcW w:type="dxa" w:w="1699"/>
          </w:tcPr>
          <w:p>
            <w:pPr>
              <w:keepNext/>
              <w:spacing w:after="0"/>
            </w:pPr>
            <w:r>
              <w:rPr>
                <w:rFonts w:ascii="Arial" w:hAnsi="Arial"/>
                <w:color w:val="000000"/>
                <w:sz w:val="15"/>
              </w:rPr>
              <w:t>[-2.69, 5.75]</w:t>
            </w:r>
          </w:p>
        </w:tc>
      </w:tr>
      <w:tr>
        <w:trPr>
          <w:cantSplit/>
        </w:trPr>
        <w:tc>
          <w:tcPr>
            <w:tcW w:type="dxa" w:w="2088"/>
          </w:tcPr>
          <w:p>
            <w:pPr>
              <w:keepNext/>
              <w:spacing w:after="0"/>
            </w:pPr>
            <w:r>
              <w:rPr>
                <w:rFonts w:ascii="Arial" w:hAnsi="Arial"/>
                <w:color w:val="000000"/>
                <w:sz w:val="15"/>
              </w:rPr>
              <w:t>Attack recall</w:t>
            </w:r>
          </w:p>
        </w:tc>
        <w:tc>
          <w:tcPr>
            <w:tcW w:type="dxa" w:w="1613"/>
          </w:tcPr>
          <w:p>
            <w:pPr>
              <w:keepNext/>
              <w:spacing w:after="0"/>
            </w:pPr>
            <w:r>
              <w:rPr>
                <w:rFonts w:ascii="Arial" w:hAnsi="Arial"/>
                <w:color w:val="000000"/>
                <w:sz w:val="15"/>
              </w:rPr>
              <w:t>85.73 (14.98)</w:t>
            </w:r>
          </w:p>
        </w:tc>
        <w:tc>
          <w:tcPr>
            <w:tcW w:type="dxa" w:w="1613"/>
          </w:tcPr>
          <w:p>
            <w:pPr>
              <w:keepNext/>
              <w:spacing w:after="0"/>
            </w:pPr>
            <w:r>
              <w:rPr>
                <w:rFonts w:ascii="Arial" w:hAnsi="Arial"/>
                <w:color w:val="000000"/>
                <w:sz w:val="15"/>
              </w:rPr>
              <w:t>83.44 (17.49)</w:t>
            </w:r>
          </w:p>
        </w:tc>
        <w:tc>
          <w:tcPr>
            <w:tcW w:type="dxa" w:w="1440"/>
          </w:tcPr>
          <w:p>
            <w:pPr>
              <w:keepNext/>
              <w:spacing w:after="0"/>
            </w:pPr>
            <w:r>
              <w:rPr>
                <w:rFonts w:ascii="Arial" w:hAnsi="Arial"/>
                <w:color w:val="000000"/>
                <w:sz w:val="15"/>
              </w:rPr>
              <w:t>-2.29 pp</w:t>
            </w:r>
          </w:p>
        </w:tc>
        <w:tc>
          <w:tcPr>
            <w:tcW w:type="dxa" w:w="1699"/>
          </w:tcPr>
          <w:p>
            <w:pPr>
              <w:keepNext/>
              <w:spacing w:after="0"/>
            </w:pPr>
            <w:r>
              <w:rPr>
                <w:rFonts w:ascii="Arial" w:hAnsi="Arial"/>
                <w:color w:val="000000"/>
                <w:sz w:val="15"/>
              </w:rPr>
              <w:t>[-5.91, 1.33]</w:t>
            </w:r>
          </w:p>
        </w:tc>
      </w:tr>
      <w:tr>
        <w:trPr>
          <w:cantSplit/>
        </w:trPr>
        <w:tc>
          <w:tcPr>
            <w:tcW w:type="dxa" w:w="2088"/>
          </w:tcPr>
          <w:p>
            <w:pPr>
              <w:keepNext w:val="0"/>
              <w:spacing w:after="0"/>
            </w:pPr>
            <w:r>
              <w:rPr>
                <w:rFonts w:ascii="Arial" w:hAnsi="Arial"/>
                <w:color w:val="000000"/>
                <w:sz w:val="15"/>
              </w:rPr>
              <w:t>Benign FPR</w:t>
            </w:r>
          </w:p>
        </w:tc>
        <w:tc>
          <w:tcPr>
            <w:tcW w:type="dxa" w:w="1613"/>
          </w:tcPr>
          <w:p>
            <w:pPr>
              <w:keepNext w:val="0"/>
              <w:spacing w:after="0"/>
            </w:pPr>
            <w:r>
              <w:rPr>
                <w:rFonts w:ascii="Arial" w:hAnsi="Arial"/>
                <w:color w:val="000000"/>
                <w:sz w:val="15"/>
              </w:rPr>
              <w:t>13.10 (8.25)</w:t>
            </w:r>
          </w:p>
        </w:tc>
        <w:tc>
          <w:tcPr>
            <w:tcW w:type="dxa" w:w="1613"/>
          </w:tcPr>
          <w:p>
            <w:pPr>
              <w:keepNext w:val="0"/>
              <w:spacing w:after="0"/>
            </w:pPr>
            <w:r>
              <w:rPr>
                <w:rFonts w:ascii="Arial" w:hAnsi="Arial"/>
                <w:color w:val="000000"/>
                <w:sz w:val="15"/>
              </w:rPr>
              <w:t>10.90 (6.43)</w:t>
            </w:r>
          </w:p>
        </w:tc>
        <w:tc>
          <w:tcPr>
            <w:tcW w:type="dxa" w:w="1440"/>
          </w:tcPr>
          <w:p>
            <w:pPr>
              <w:keepNext w:val="0"/>
              <w:spacing w:after="0"/>
            </w:pPr>
            <w:r>
              <w:rPr>
                <w:rFonts w:ascii="Arial" w:hAnsi="Arial"/>
                <w:color w:val="000000"/>
                <w:sz w:val="15"/>
              </w:rPr>
              <w:t>-2.20 pp</w:t>
            </w:r>
          </w:p>
        </w:tc>
        <w:tc>
          <w:tcPr>
            <w:tcW w:type="dxa" w:w="1699"/>
          </w:tcPr>
          <w:p>
            <w:pPr>
              <w:keepNext w:val="0"/>
              <w:spacing w:after="0"/>
            </w:pPr>
            <w:r>
              <w:rPr>
                <w:rFonts w:ascii="Arial" w:hAnsi="Arial"/>
                <w:color w:val="000000"/>
                <w:sz w:val="15"/>
              </w:rPr>
              <w:t>[-4.87, 0.47]</w:t>
            </w:r>
          </w:p>
        </w:tc>
      </w:tr>
    </w:tbl>
    <w:p w14:paraId="0010000E" w14:textId="0010000F">
      <w:pPr>
        <w:pStyle w:val="Heading2"/>
        <w:keepNext/>
        <w:pageBreakBefore w:val="0"/>
      </w:pPr>
      <w:r>
        <w:rPr>
          <w:rFonts w:ascii="Arial" w:hAnsi="Arial"/>
          <w:b/>
          <w:color w:val="000000"/>
          <w:sz w:val="24"/>
        </w:rPr>
        <w:t>4.9 RQ1 Same-data Balanced Replay50 comparison</w:t>
      </w:r>
    </w:p>
    <w:p w14:paraId="00100010" w14:textId="00100011">
      <w:pPr>
        <w:keepNext w:val="0"/>
        <w:pageBreakBefore w:val="0"/>
        <w:spacing w:before="0" w:after="100" w:line="259" w:lineRule="auto"/>
        <w:jc w:val="both"/>
      </w:pPr>
      <w:r>
        <w:rPr>
          <w:rFonts w:ascii="Arial" w:hAnsi="Arial"/>
          <w:b w:val="0"/>
          <w:color w:val="000000"/>
          <w:sz w:val="18"/>
        </w:rPr>
        <w:t>Table 8 reports mean final metrics over five training seeds. Malaya OFRA has higher overall accuracy and lower signed forgetting in all five pairs. However, excluding screening seed 42, Macro-F1 is 20.70% versus 20.47% for replay, only +0.23 points; mean final task accuracy favours replay in all four new seeds. The large retention difference must therefore be read alongside weak absolute class-balanced performance.</w:t>
      </w:r>
    </w:p>
    <w:p w14:paraId="00100010" w14:textId="00100011">
      <w:pPr>
        <w:keepNext/>
        <w:pageBreakBefore w:val="0"/>
        <w:spacing w:before="0" w:after="100" w:line="259" w:lineRule="auto"/>
        <w:jc w:val="both"/>
      </w:pPr>
      <w:r>
        <w:rPr>
          <w:rFonts w:ascii="Arial" w:hAnsi="Arial"/>
          <w:color w:val="000000"/>
          <w:sz w:val="16"/>
        </w:rPr>
        <w:t xml:space="preserve">Table </w:t>
      </w:r>
      <w:fldSimple w:instr=" SEQ Table ">
        <w:r>
          <w:t>8</w:t>
        </w:r>
      </w:fldSimple>
      <w:r>
        <w:rPr>
          <w:rFonts w:ascii="Arial" w:hAnsi="Arial"/>
          <w:color w:val="000000"/>
          <w:sz w:val="16"/>
        </w:rPr>
        <w:t>. Same-data five-seed means. ReplayIDS uses last-epoch primary OFRA. Accuracy and recall values are percentages; forgetting is in percentage points.</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tcPr>
          <w:p>
            <w:pPr>
              <w:keepNext/>
              <w:spacing w:after="60" w:before="60"/>
            </w:pPr>
            <w:r>
              <w:rPr>
                <w:rFonts w:ascii="Arial" w:hAnsi="Arial"/>
                <w:b/>
                <w:color w:val="000000"/>
                <w:sz w:val="16"/>
              </w:rPr>
              <w:t>Dataset / metric</w:t>
            </w:r>
          </w:p>
        </w:tc>
        <w:tc>
          <w:tcPr>
            <w:tcW w:type="dxa" w:w="1987"/>
          </w:tcPr>
          <w:p>
            <w:pPr>
              <w:keepNext/>
              <w:spacing w:after="60" w:before="60"/>
            </w:pPr>
            <w:r>
              <w:rPr>
                <w:rFonts w:ascii="Arial" w:hAnsi="Arial"/>
                <w:b/>
                <w:color w:val="000000"/>
                <w:sz w:val="16"/>
              </w:rPr>
              <w:t>Replay50</w:t>
            </w:r>
          </w:p>
        </w:tc>
        <w:tc>
          <w:tcPr>
            <w:tcW w:type="dxa" w:w="1987"/>
          </w:tcPr>
          <w:p>
            <w:pPr>
              <w:keepNext/>
              <w:spacing w:after="60" w:before="60"/>
            </w:pPr>
            <w:r>
              <w:rPr>
                <w:rFonts w:ascii="Arial" w:hAnsi="Arial"/>
                <w:b/>
                <w:color w:val="000000"/>
                <w:sz w:val="16"/>
              </w:rPr>
              <w:t>OFRA primary</w:t>
            </w:r>
          </w:p>
        </w:tc>
        <w:tc>
          <w:tcPr>
            <w:tcW w:type="dxa" w:w="1987"/>
          </w:tcPr>
          <w:p>
            <w:pPr>
              <w:keepNext/>
              <w:spacing w:after="60" w:before="60"/>
            </w:pPr>
            <w:r>
              <w:rPr>
                <w:rFonts w:ascii="Arial" w:hAnsi="Arial"/>
                <w:b/>
                <w:color w:val="000000"/>
                <w:sz w:val="16"/>
              </w:rPr>
              <w:t>Difference</w:t>
            </w:r>
          </w:p>
        </w:tc>
        <w:tc>
          <w:tcPr>
            <w:tcW w:type="dxa" w:w="1987"/>
          </w:tcPr>
          <w:p>
            <w:pPr>
              <w:keepNext/>
              <w:spacing w:after="60" w:before="60"/>
            </w:pPr>
            <w:r>
              <w:rPr>
                <w:rFonts w:ascii="Arial" w:hAnsi="Arial"/>
                <w:b/>
                <w:color w:val="000000"/>
                <w:sz w:val="16"/>
              </w:rPr>
              <w:t>Direction</w:t>
            </w:r>
          </w:p>
        </w:tc>
      </w:tr>
      <w:tr>
        <w:trPr>
          <w:cantSplit/>
        </w:trPr>
        <w:tc>
          <w:tcPr>
            <w:tcW w:type="dxa" w:w="1987"/>
          </w:tcPr>
          <w:p>
            <w:pPr>
              <w:keepNext/>
              <w:spacing w:after="60" w:before="60"/>
            </w:pPr>
            <w:r>
              <w:rPr>
                <w:rFonts w:ascii="Arial" w:hAnsi="Arial"/>
                <w:b w:val="0"/>
                <w:color w:val="000000"/>
                <w:sz w:val="16"/>
              </w:rPr>
              <w:t>Malaya accuracy</w:t>
            </w:r>
          </w:p>
        </w:tc>
        <w:tc>
          <w:tcPr>
            <w:tcW w:type="dxa" w:w="1987"/>
          </w:tcPr>
          <w:p>
            <w:pPr>
              <w:keepNext/>
              <w:spacing w:after="60" w:before="60"/>
            </w:pPr>
            <w:r>
              <w:rPr>
                <w:rFonts w:ascii="Arial" w:hAnsi="Arial"/>
                <w:b w:val="0"/>
                <w:color w:val="000000"/>
                <w:sz w:val="16"/>
              </w:rPr>
              <w:t>40.14</w:t>
            </w:r>
          </w:p>
        </w:tc>
        <w:tc>
          <w:tcPr>
            <w:tcW w:type="dxa" w:w="1987"/>
          </w:tcPr>
          <w:p>
            <w:pPr>
              <w:keepNext/>
              <w:spacing w:after="60" w:before="60"/>
            </w:pPr>
            <w:r>
              <w:rPr>
                <w:rFonts w:ascii="Arial" w:hAnsi="Arial"/>
                <w:b w:val="0"/>
                <w:color w:val="000000"/>
                <w:sz w:val="16"/>
              </w:rPr>
              <w:t>54.68</w:t>
            </w:r>
          </w:p>
        </w:tc>
        <w:tc>
          <w:tcPr>
            <w:tcW w:type="dxa" w:w="1987"/>
          </w:tcPr>
          <w:p>
            <w:pPr>
              <w:keepNext/>
              <w:spacing w:after="60" w:before="60"/>
            </w:pPr>
            <w:r>
              <w:rPr>
                <w:rFonts w:ascii="Arial" w:hAnsi="Arial"/>
                <w:b w:val="0"/>
                <w:color w:val="000000"/>
                <w:sz w:val="16"/>
              </w:rPr>
              <w:t>+14.54</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Malaya Macro-F1</w:t>
            </w:r>
          </w:p>
        </w:tc>
        <w:tc>
          <w:tcPr>
            <w:tcW w:type="dxa" w:w="1987"/>
          </w:tcPr>
          <w:p>
            <w:pPr>
              <w:keepNext/>
              <w:spacing w:after="60" w:before="60"/>
            </w:pPr>
            <w:r>
              <w:rPr>
                <w:rFonts w:ascii="Arial" w:hAnsi="Arial"/>
                <w:b w:val="0"/>
                <w:color w:val="000000"/>
                <w:sz w:val="16"/>
              </w:rPr>
              <w:t>18.72</w:t>
            </w:r>
          </w:p>
        </w:tc>
        <w:tc>
          <w:tcPr>
            <w:tcW w:type="dxa" w:w="1987"/>
          </w:tcPr>
          <w:p>
            <w:pPr>
              <w:keepNext/>
              <w:spacing w:after="60" w:before="60"/>
            </w:pPr>
            <w:r>
              <w:rPr>
                <w:rFonts w:ascii="Arial" w:hAnsi="Arial"/>
                <w:b w:val="0"/>
                <w:color w:val="000000"/>
                <w:sz w:val="16"/>
              </w:rPr>
              <w:t>21.15</w:t>
            </w:r>
          </w:p>
        </w:tc>
        <w:tc>
          <w:tcPr>
            <w:tcW w:type="dxa" w:w="1987"/>
          </w:tcPr>
          <w:p>
            <w:pPr>
              <w:keepNext/>
              <w:spacing w:after="60" w:before="60"/>
            </w:pPr>
            <w:r>
              <w:rPr>
                <w:rFonts w:ascii="Arial" w:hAnsi="Arial"/>
                <w:b w:val="0"/>
                <w:color w:val="000000"/>
                <w:sz w:val="16"/>
              </w:rPr>
              <w:t>+2.43</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Malaya balanced accuracy</w:t>
            </w:r>
          </w:p>
        </w:tc>
        <w:tc>
          <w:tcPr>
            <w:tcW w:type="dxa" w:w="1987"/>
          </w:tcPr>
          <w:p>
            <w:pPr>
              <w:keepNext/>
              <w:spacing w:after="60" w:before="60"/>
            </w:pPr>
            <w:r>
              <w:rPr>
                <w:rFonts w:ascii="Arial" w:hAnsi="Arial"/>
                <w:b w:val="0"/>
                <w:color w:val="000000"/>
                <w:sz w:val="16"/>
              </w:rPr>
              <w:t>22.13</w:t>
            </w:r>
          </w:p>
        </w:tc>
        <w:tc>
          <w:tcPr>
            <w:tcW w:type="dxa" w:w="1987"/>
          </w:tcPr>
          <w:p>
            <w:pPr>
              <w:keepNext/>
              <w:spacing w:after="60" w:before="60"/>
            </w:pPr>
            <w:r>
              <w:rPr>
                <w:rFonts w:ascii="Arial" w:hAnsi="Arial"/>
                <w:b w:val="0"/>
                <w:color w:val="000000"/>
                <w:sz w:val="16"/>
              </w:rPr>
              <w:t>23.03</w:t>
            </w:r>
          </w:p>
        </w:tc>
        <w:tc>
          <w:tcPr>
            <w:tcW w:type="dxa" w:w="1987"/>
          </w:tcPr>
          <w:p>
            <w:pPr>
              <w:keepNext/>
              <w:spacing w:after="60" w:before="60"/>
            </w:pPr>
            <w:r>
              <w:rPr>
                <w:rFonts w:ascii="Arial" w:hAnsi="Arial"/>
                <w:b w:val="0"/>
                <w:color w:val="000000"/>
                <w:sz w:val="16"/>
              </w:rPr>
              <w:t>+0.90</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Malaya signed forgetting</w:t>
            </w:r>
          </w:p>
        </w:tc>
        <w:tc>
          <w:tcPr>
            <w:tcW w:type="dxa" w:w="1987"/>
          </w:tcPr>
          <w:p>
            <w:pPr>
              <w:keepNext/>
              <w:spacing w:after="60" w:before="60"/>
            </w:pPr>
            <w:r>
              <w:rPr>
                <w:rFonts w:ascii="Arial" w:hAnsi="Arial"/>
                <w:b w:val="0"/>
                <w:color w:val="000000"/>
                <w:sz w:val="16"/>
              </w:rPr>
              <w:t>43.80</w:t>
            </w:r>
          </w:p>
        </w:tc>
        <w:tc>
          <w:tcPr>
            <w:tcW w:type="dxa" w:w="1987"/>
          </w:tcPr>
          <w:p>
            <w:pPr>
              <w:keepNext/>
              <w:spacing w:after="60" w:before="60"/>
            </w:pPr>
            <w:r>
              <w:rPr>
                <w:rFonts w:ascii="Arial" w:hAnsi="Arial"/>
                <w:b w:val="0"/>
                <w:color w:val="000000"/>
                <w:sz w:val="16"/>
              </w:rPr>
              <w:t>3.55</w:t>
            </w:r>
          </w:p>
        </w:tc>
        <w:tc>
          <w:tcPr>
            <w:tcW w:type="dxa" w:w="1987"/>
          </w:tcPr>
          <w:p>
            <w:pPr>
              <w:keepNext/>
              <w:spacing w:after="60" w:before="60"/>
            </w:pPr>
            <w:r>
              <w:rPr>
                <w:rFonts w:ascii="Arial" w:hAnsi="Arial"/>
                <w:b w:val="0"/>
                <w:color w:val="000000"/>
                <w:sz w:val="16"/>
              </w:rPr>
              <w:t>-40.25</w:t>
            </w:r>
          </w:p>
        </w:tc>
        <w:tc>
          <w:tcPr>
            <w:tcW w:type="dxa" w:w="1987"/>
          </w:tcPr>
          <w:p>
            <w:pPr>
              <w:keepNext/>
              <w:spacing w:after="60" w:before="60"/>
            </w:pPr>
            <w:r>
              <w:rPr>
                <w:rFonts w:ascii="Arial" w:hAnsi="Arial"/>
                <w:b w:val="0"/>
                <w:color w:val="000000"/>
                <w:sz w:val="16"/>
              </w:rPr>
              <w:t>Lower better</w:t>
            </w:r>
          </w:p>
        </w:tc>
      </w:tr>
      <w:tr>
        <w:trPr>
          <w:cantSplit/>
        </w:trPr>
        <w:tc>
          <w:tcPr>
            <w:tcW w:type="dxa" w:w="1987"/>
          </w:tcPr>
          <w:p>
            <w:pPr>
              <w:keepNext/>
              <w:spacing w:after="60" w:before="60"/>
            </w:pPr>
            <w:r>
              <w:rPr>
                <w:rFonts w:ascii="Arial" w:hAnsi="Arial"/>
                <w:b w:val="0"/>
                <w:color w:val="000000"/>
                <w:sz w:val="16"/>
              </w:rPr>
              <w:t>ReplayIDS accuracy</w:t>
            </w:r>
          </w:p>
        </w:tc>
        <w:tc>
          <w:tcPr>
            <w:tcW w:type="dxa" w:w="1987"/>
          </w:tcPr>
          <w:p>
            <w:pPr>
              <w:keepNext/>
              <w:spacing w:after="60" w:before="60"/>
            </w:pPr>
            <w:r>
              <w:rPr>
                <w:rFonts w:ascii="Arial" w:hAnsi="Arial"/>
                <w:b w:val="0"/>
                <w:color w:val="000000"/>
                <w:sz w:val="16"/>
              </w:rPr>
              <w:t>70.65</w:t>
            </w:r>
          </w:p>
        </w:tc>
        <w:tc>
          <w:tcPr>
            <w:tcW w:type="dxa" w:w="1987"/>
          </w:tcPr>
          <w:p>
            <w:pPr>
              <w:keepNext/>
              <w:spacing w:after="60" w:before="60"/>
            </w:pPr>
            <w:r>
              <w:rPr>
                <w:rFonts w:ascii="Arial" w:hAnsi="Arial"/>
                <w:b w:val="0"/>
                <w:color w:val="000000"/>
                <w:sz w:val="16"/>
              </w:rPr>
              <w:t>85.51</w:t>
            </w:r>
          </w:p>
        </w:tc>
        <w:tc>
          <w:tcPr>
            <w:tcW w:type="dxa" w:w="1987"/>
          </w:tcPr>
          <w:p>
            <w:pPr>
              <w:keepNext/>
              <w:spacing w:after="60" w:before="60"/>
            </w:pPr>
            <w:r>
              <w:rPr>
                <w:rFonts w:ascii="Arial" w:hAnsi="Arial"/>
                <w:b w:val="0"/>
                <w:color w:val="000000"/>
                <w:sz w:val="16"/>
              </w:rPr>
              <w:t>+14.86</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ReplayIDS Macro-F1</w:t>
            </w:r>
          </w:p>
        </w:tc>
        <w:tc>
          <w:tcPr>
            <w:tcW w:type="dxa" w:w="1987"/>
          </w:tcPr>
          <w:p>
            <w:pPr>
              <w:keepNext/>
              <w:spacing w:after="60" w:before="60"/>
            </w:pPr>
            <w:r>
              <w:rPr>
                <w:rFonts w:ascii="Arial" w:hAnsi="Arial"/>
                <w:b w:val="0"/>
                <w:color w:val="000000"/>
                <w:sz w:val="16"/>
              </w:rPr>
              <w:t>36.88</w:t>
            </w:r>
          </w:p>
        </w:tc>
        <w:tc>
          <w:tcPr>
            <w:tcW w:type="dxa" w:w="1987"/>
          </w:tcPr>
          <w:p>
            <w:pPr>
              <w:keepNext/>
              <w:spacing w:after="60" w:before="60"/>
            </w:pPr>
            <w:r>
              <w:rPr>
                <w:rFonts w:ascii="Arial" w:hAnsi="Arial"/>
                <w:b w:val="0"/>
                <w:color w:val="000000"/>
                <w:sz w:val="16"/>
              </w:rPr>
              <w:t>54.40</w:t>
            </w:r>
          </w:p>
        </w:tc>
        <w:tc>
          <w:tcPr>
            <w:tcW w:type="dxa" w:w="1987"/>
          </w:tcPr>
          <w:p>
            <w:pPr>
              <w:keepNext/>
              <w:spacing w:after="60" w:before="60"/>
            </w:pPr>
            <w:r>
              <w:rPr>
                <w:rFonts w:ascii="Arial" w:hAnsi="Arial"/>
                <w:b w:val="0"/>
                <w:color w:val="000000"/>
                <w:sz w:val="16"/>
              </w:rPr>
              <w:t>+17.52</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ReplayIDS balanced accuracy</w:t>
            </w:r>
          </w:p>
        </w:tc>
        <w:tc>
          <w:tcPr>
            <w:tcW w:type="dxa" w:w="1987"/>
          </w:tcPr>
          <w:p>
            <w:pPr>
              <w:keepNext/>
              <w:spacing w:after="60" w:before="60"/>
            </w:pPr>
            <w:r>
              <w:rPr>
                <w:rFonts w:ascii="Arial" w:hAnsi="Arial"/>
                <w:b w:val="0"/>
                <w:color w:val="000000"/>
                <w:sz w:val="16"/>
              </w:rPr>
              <w:t>87.22</w:t>
            </w:r>
          </w:p>
        </w:tc>
        <w:tc>
          <w:tcPr>
            <w:tcW w:type="dxa" w:w="1987"/>
          </w:tcPr>
          <w:p>
            <w:pPr>
              <w:keepNext/>
              <w:spacing w:after="60" w:before="60"/>
            </w:pPr>
            <w:r>
              <w:rPr>
                <w:rFonts w:ascii="Arial" w:hAnsi="Arial"/>
                <w:b w:val="0"/>
                <w:color w:val="000000"/>
                <w:sz w:val="16"/>
              </w:rPr>
              <w:t>77.63</w:t>
            </w:r>
          </w:p>
        </w:tc>
        <w:tc>
          <w:tcPr>
            <w:tcW w:type="dxa" w:w="1987"/>
          </w:tcPr>
          <w:p>
            <w:pPr>
              <w:keepNext/>
              <w:spacing w:after="60" w:before="60"/>
            </w:pPr>
            <w:r>
              <w:rPr>
                <w:rFonts w:ascii="Arial" w:hAnsi="Arial"/>
                <w:b w:val="0"/>
                <w:color w:val="000000"/>
                <w:sz w:val="16"/>
              </w:rPr>
              <w:t>-9.59</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spacing w:after="60" w:before="60"/>
            </w:pPr>
            <w:r>
              <w:rPr>
                <w:rFonts w:ascii="Arial" w:hAnsi="Arial"/>
                <w:b w:val="0"/>
                <w:color w:val="000000"/>
                <w:sz w:val="16"/>
              </w:rPr>
              <w:t>ReplayIDS signed forgetting</w:t>
            </w:r>
          </w:p>
        </w:tc>
        <w:tc>
          <w:tcPr>
            <w:tcW w:type="dxa" w:w="1987"/>
          </w:tcPr>
          <w:p>
            <w:pPr>
              <w:keepNext/>
              <w:spacing w:after="60" w:before="60"/>
            </w:pPr>
            <w:r>
              <w:rPr>
                <w:rFonts w:ascii="Arial" w:hAnsi="Arial"/>
                <w:b w:val="0"/>
                <w:color w:val="000000"/>
                <w:sz w:val="16"/>
              </w:rPr>
              <w:t>5.89</w:t>
            </w:r>
          </w:p>
        </w:tc>
        <w:tc>
          <w:tcPr>
            <w:tcW w:type="dxa" w:w="1987"/>
          </w:tcPr>
          <w:p>
            <w:pPr>
              <w:keepNext/>
              <w:spacing w:after="60" w:before="60"/>
            </w:pPr>
            <w:r>
              <w:rPr>
                <w:rFonts w:ascii="Arial" w:hAnsi="Arial"/>
                <w:b w:val="0"/>
                <w:color w:val="000000"/>
                <w:sz w:val="16"/>
              </w:rPr>
              <w:t>3.52</w:t>
            </w:r>
          </w:p>
        </w:tc>
        <w:tc>
          <w:tcPr>
            <w:tcW w:type="dxa" w:w="1987"/>
          </w:tcPr>
          <w:p>
            <w:pPr>
              <w:keepNext/>
              <w:spacing w:after="60" w:before="60"/>
            </w:pPr>
            <w:r>
              <w:rPr>
                <w:rFonts w:ascii="Arial" w:hAnsi="Arial"/>
                <w:b w:val="0"/>
                <w:color w:val="000000"/>
                <w:sz w:val="16"/>
              </w:rPr>
              <w:t>-2.37</w:t>
            </w:r>
          </w:p>
        </w:tc>
        <w:tc>
          <w:tcPr>
            <w:tcW w:type="dxa" w:w="1987"/>
          </w:tcPr>
          <w:p>
            <w:pPr>
              <w:keepNext/>
              <w:spacing w:after="60" w:before="60"/>
            </w:pPr>
            <w:r>
              <w:rPr>
                <w:rFonts w:ascii="Arial" w:hAnsi="Arial"/>
                <w:b w:val="0"/>
                <w:color w:val="000000"/>
                <w:sz w:val="16"/>
              </w:rPr>
              <w:t>Lower better</w:t>
            </w:r>
          </w:p>
        </w:tc>
      </w:tr>
      <w:tr>
        <w:trPr>
          <w:cantSplit/>
        </w:trPr>
        <w:tc>
          <w:tcPr>
            <w:tcW w:type="dxa" w:w="1987"/>
          </w:tcPr>
          <w:p>
            <w:pPr>
              <w:keepNext/>
              <w:spacing w:after="60" w:before="60"/>
            </w:pPr>
            <w:r>
              <w:rPr>
                <w:rFonts w:ascii="Arial" w:hAnsi="Arial"/>
                <w:b w:val="0"/>
                <w:color w:val="000000"/>
                <w:sz w:val="16"/>
              </w:rPr>
              <w:t>ReplayIDS attack recall</w:t>
            </w:r>
          </w:p>
        </w:tc>
        <w:tc>
          <w:tcPr>
            <w:tcW w:type="dxa" w:w="1987"/>
          </w:tcPr>
          <w:p>
            <w:pPr>
              <w:keepNext/>
              <w:spacing w:after="60" w:before="60"/>
            </w:pPr>
            <w:r>
              <w:rPr>
                <w:rFonts w:ascii="Arial" w:hAnsi="Arial"/>
                <w:b w:val="0"/>
                <w:color w:val="000000"/>
                <w:sz w:val="16"/>
              </w:rPr>
              <w:t>99.78</w:t>
            </w:r>
          </w:p>
        </w:tc>
        <w:tc>
          <w:tcPr>
            <w:tcW w:type="dxa" w:w="1987"/>
          </w:tcPr>
          <w:p>
            <w:pPr>
              <w:keepNext/>
              <w:spacing w:after="60" w:before="60"/>
            </w:pPr>
            <w:r>
              <w:rPr>
                <w:rFonts w:ascii="Arial" w:hAnsi="Arial"/>
                <w:b w:val="0"/>
                <w:color w:val="000000"/>
                <w:sz w:val="16"/>
              </w:rPr>
              <w:t>85.73</w:t>
            </w:r>
          </w:p>
        </w:tc>
        <w:tc>
          <w:tcPr>
            <w:tcW w:type="dxa" w:w="1987"/>
          </w:tcPr>
          <w:p>
            <w:pPr>
              <w:keepNext/>
              <w:spacing w:after="60" w:before="60"/>
            </w:pPr>
            <w:r>
              <w:rPr>
                <w:rFonts w:ascii="Arial" w:hAnsi="Arial"/>
                <w:b w:val="0"/>
                <w:color w:val="000000"/>
                <w:sz w:val="16"/>
              </w:rPr>
              <w:t>-14.05</w:t>
            </w:r>
          </w:p>
        </w:tc>
        <w:tc>
          <w:tcPr>
            <w:tcW w:type="dxa" w:w="1987"/>
          </w:tcPr>
          <w:p>
            <w:pPr>
              <w:keepNext/>
              <w:spacing w:after="60" w:before="60"/>
            </w:pPr>
            <w:r>
              <w:rPr>
                <w:rFonts w:ascii="Arial" w:hAnsi="Arial"/>
                <w:b w:val="0"/>
                <w:color w:val="000000"/>
                <w:sz w:val="16"/>
              </w:rPr>
              <w:t>Higher better</w:t>
            </w:r>
          </w:p>
        </w:tc>
      </w:tr>
      <w:tr>
        <w:trPr>
          <w:cantSplit/>
        </w:trPr>
        <w:tc>
          <w:tcPr>
            <w:tcW w:type="dxa" w:w="1987"/>
          </w:tcPr>
          <w:p>
            <w:pPr>
              <w:keepNext w:val="0"/>
              <w:spacing w:after="60" w:before="60"/>
            </w:pPr>
            <w:r>
              <w:rPr>
                <w:rFonts w:ascii="Arial" w:hAnsi="Arial"/>
                <w:b w:val="0"/>
                <w:color w:val="000000"/>
                <w:sz w:val="16"/>
              </w:rPr>
              <w:t>ReplayIDS benign FPR</w:t>
            </w:r>
          </w:p>
        </w:tc>
        <w:tc>
          <w:tcPr>
            <w:tcW w:type="dxa" w:w="1987"/>
          </w:tcPr>
          <w:p>
            <w:pPr>
              <w:keepNext w:val="0"/>
              <w:spacing w:after="60" w:before="60"/>
            </w:pPr>
            <w:r>
              <w:rPr>
                <w:rFonts w:ascii="Arial" w:hAnsi="Arial"/>
                <w:b w:val="0"/>
                <w:color w:val="000000"/>
                <w:sz w:val="16"/>
              </w:rPr>
              <w:t>35.61</w:t>
            </w:r>
          </w:p>
        </w:tc>
        <w:tc>
          <w:tcPr>
            <w:tcW w:type="dxa" w:w="1987"/>
          </w:tcPr>
          <w:p>
            <w:pPr>
              <w:keepNext w:val="0"/>
              <w:spacing w:after="60" w:before="60"/>
            </w:pPr>
            <w:r>
              <w:rPr>
                <w:rFonts w:ascii="Arial" w:hAnsi="Arial"/>
                <w:b w:val="0"/>
                <w:color w:val="000000"/>
                <w:sz w:val="16"/>
              </w:rPr>
              <w:t>13.10</w:t>
            </w:r>
          </w:p>
        </w:tc>
        <w:tc>
          <w:tcPr>
            <w:tcW w:type="dxa" w:w="1987"/>
          </w:tcPr>
          <w:p>
            <w:pPr>
              <w:keepNext w:val="0"/>
              <w:spacing w:after="60" w:before="60"/>
            </w:pPr>
            <w:r>
              <w:rPr>
                <w:rFonts w:ascii="Arial" w:hAnsi="Arial"/>
                <w:b w:val="0"/>
                <w:color w:val="000000"/>
                <w:sz w:val="16"/>
              </w:rPr>
              <w:t>-22.51</w:t>
            </w:r>
          </w:p>
        </w:tc>
        <w:tc>
          <w:tcPr>
            <w:tcW w:type="dxa" w:w="1987"/>
          </w:tcPr>
          <w:p>
            <w:pPr>
              <w:keepNext w:val="0"/>
              <w:spacing w:after="60" w:before="60"/>
            </w:pPr>
            <w:r>
              <w:rPr>
                <w:rFonts w:ascii="Arial" w:hAnsi="Arial"/>
                <w:b w:val="0"/>
                <w:color w:val="000000"/>
                <w:sz w:val="16"/>
              </w:rPr>
              <w:t>Lower better</w:t>
            </w:r>
          </w:p>
        </w:tc>
      </w:tr>
    </w:tbl>
    <w:p w14:paraId="00100010" w14:textId="00100011">
      <w:pPr>
        <w:keepNext w:val="0"/>
        <w:pageBreakBefore w:val="0"/>
        <w:spacing w:before="0" w:after="100" w:line="259" w:lineRule="auto"/>
        <w:jc w:val="both"/>
      </w:pPr>
      <w:r>
        <w:rPr>
          <w:rFonts w:ascii="Arial" w:hAnsi="Arial"/>
          <w:b w:val="0"/>
          <w:color w:val="000000"/>
          <w:sz w:val="18"/>
        </w:rPr>
        <w:t>On ReplayIDS, primary OFRA improves overall accuracy and Macro-F1 and lowers benign FPR in all five pairs, but attack recall is lower in all five; forgetting improves in three. The test set is 76.59% benign, so fewer false alarms can increase overall accuracy while missing more attacks. Mean final task accuracy is 79.78% for OFRA versus 86.44% for replay. The four-seed sensitivity view retains the same central trade-off: accuracy 84.61% versus 71.71%, Macro-F1 54.07% versus 36.48%, attack recall 83.11% versus 99.77%, and FPR 13.76% versus 34.35%.</w:t>
      </w:r>
    </w:p>
    <w:p w14:paraId="00100010" w14:textId="00100011">
      <w:pPr>
        <w:keepNext w:val="0"/>
        <w:pageBreakBefore w:val="0"/>
        <w:spacing w:before="0" w:after="100" w:line="259" w:lineRule="auto"/>
        <w:jc w:val="both"/>
      </w:pPr>
      <w:r>
        <w:rPr>
          <w:rFonts w:ascii="Arial" w:hAnsi="Arial"/>
          <w:b w:val="0"/>
          <w:color w:val="000000"/>
          <w:sz w:val="18"/>
        </w:rPr>
        <w:t>The same trained last-epoch OFRA states provide a mechanism diagnostic. Head-only Macro-F1 is 26.79%, router-only-cap-3,000 is 42.04%, and joint is 54.40%. Router-only attack recall is 92.06% versus joint 85.73%, while FPR falls from 21.76% to 13.10% when scores are combined. Thus routing contributes useful evidence, but score fusion changes the missed-attack/false-alarm balance. These retrospective scoring comparisons do not identify a unique causal component or justify optimising fusion weights on the test set.</w:t>
      </w:r>
    </w:p>
    <w:p w14:paraId="0010000E" w14:textId="0010000F">
      <w:pPr>
        <w:pStyle w:val="Heading2"/>
        <w:keepNext/>
        <w:pageBreakBefore w:val="0"/>
      </w:pPr>
      <w:r>
        <w:rPr>
          <w:rFonts w:ascii="Arial" w:hAnsi="Arial"/>
          <w:b/>
          <w:color w:val="000000"/>
          <w:sz w:val="24"/>
        </w:rPr>
        <w:t>4.10 ReplayIDS cross-environment score fidelity</w:t>
      </w:r>
    </w:p>
    <w:p w14:paraId="00100010" w14:textId="00100011">
      <w:pPr>
        <w:keepNext w:val="0"/>
        <w:pageBreakBefore w:val="0"/>
        <w:spacing w:before="0" w:after="100" w:line="259" w:lineRule="auto"/>
        <w:jc w:val="both"/>
      </w:pPr>
      <w:r>
        <w:rPr>
          <w:rFonts w:ascii="Arial" w:hAnsi="Arial"/>
          <w:b w:val="0"/>
          <w:color w:val="000000"/>
          <w:sz w:val="18"/>
        </w:rPr>
        <w:t>A local CPU reconstruction checked all 20 stored primary checkpoint instances across five seeds against hash-bound historical GPU score snapshots. It used the original 512-row encoder chunks followed by whole-probe head/router scoring. The fixed gate required every score to satisfy absolute tolerance 0.0001 plus relative tolerance 0.00001 and required identical argmax predictions. Head scores passed at all checkpoints. The five initial checkpoints passed the combined gate, whereas all 15 post-initial Router/Joint checkpoints failed it. Maximum joint absolute error reached 0.01051009.</w:t>
      </w:r>
    </w:p>
    <w:p w14:paraId="00100010" w14:textId="00100011">
      <w:pPr>
        <w:keepNext w:val="0"/>
        <w:pageBreakBefore w:val="0"/>
        <w:spacing w:before="0" w:after="100" w:line="259" w:lineRule="auto"/>
        <w:jc w:val="both"/>
      </w:pPr>
      <w:r>
        <w:rPr>
          <w:rFonts w:ascii="Arial" w:hAnsi="Arial"/>
          <w:b w:val="0"/>
          <w:color w:val="000000"/>
          <w:sz w:val="18"/>
        </w:rPr>
        <w:t>Two argmax differences occurred for the same probe row in seed 3 at checkpoints 001 and 003, changing DoS Hulk to Benign. They are two checkpoint evaluations of one row, not a full-test error rate or SHAP/ETG drift estimate. Reconstruction used CPU PyTorch 2.11.0 and NumPy 2.4.6; historical inference used A100 CUDA, PyTorch 2.6.0 and NumPy 2.2.6. The environments were not matched. Historical-environment GPU verification remains outstanding; no calibration was fitted, no historical score was replaced, and no revised full-test performance is claimed. This ReplayIDS result does not by itself re-evaluate the separate Malaya attribution campaign.</w:t>
      </w:r>
    </w:p>
    <w:p w14:paraId="001000D6" w14:textId="001000D7">
      <w:pPr>
        <w:pStyle w:val="Heading1"/>
        <w:keepNext/>
      </w:pPr>
      <w:r>
        <w:rPr>
          <w:color w:val="000000"/>
        </w:rPr>
        <w:t>5. Discussion</w:t>
      </w:r>
    </w:p>
    <w:p w14:paraId="001000D8" w14:textId="001000D9">
      <w:pPr>
        <w:pStyle w:val="Heading2"/>
        <w:keepNext/>
      </w:pPr>
      <w:r>
        <w:rPr>
          <w:color w:val="000000"/>
        </w:rPr>
        <w:t>5.1 When is the trade-off operationally worthwhile?</w:t>
      </w:r>
    </w:p>
    <w:p w14:paraId="001000DA" w14:textId="001000DB">
      <w:pPr>
        <w:spacing w:before="0" w:after="100" w:line="259" w:lineRule="auto"/>
        <w:jc w:val="both"/>
      </w:pPr>
      <w:r>
        <w:rPr>
          <w:color w:val="000000"/>
        </w:rP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010" w14:textId="00100011">
      <w:pPr>
        <w:keepNext w:val="0"/>
        <w:pageBreakBefore w:val="0"/>
        <w:spacing w:before="0" w:after="100" w:line="259" w:lineRule="auto"/>
        <w:jc w:val="both"/>
      </w:pPr>
      <w:r>
        <w:rPr>
          <w:rFonts w:ascii="Arial" w:hAnsi="Arial"/>
          <w:b w:val="0"/>
          <w:color w:val="000000"/>
          <w:sz w:val="18"/>
        </w:rPr>
        <w:t>The ReplayIDS replay comparison adds a distinct operational caution: OFRA reduces benign FPR but also misses more attacks in every paired seed. Whether that trade is acceptable depends on specified costs and minimum detection requirements. No such deployment threshold or analyst benefit has been validated here, so higher accuracy is not sufficient grounds to recommend deployment.</w:t>
      </w:r>
    </w:p>
    <w:p w14:paraId="00100193" w14:textId="00100194">
      <w:pPr>
        <w:pStyle w:val="Heading2"/>
      </w:pPr>
      <w:r>
        <w:rPr>
          <w:color w:val="000000"/>
        </w:rPr>
        <w:t>5.2 Classifier capacity and class imbalance</w:t>
      </w:r>
    </w:p>
    <w:p w14:paraId="00100195" w14:textId="00100196">
      <w:pPr>
        <w:pStyle w:val="Normal"/>
      </w:pPr>
      <w:r>
        <w:rPr>
          <w:color w:val="000000"/>
        </w:rPr>
        <w:t>The encoder and cumulative comparisons answer different questions. TabM-OFRA tests a different encoder within the existing head/router interface. Cumulative CatBoost and TabM estimate headroom when all seen-class rows are retained and retrained. TabM-OFRA improves aggregate accuracy but not class-balanced metrics, while cumulative CatBoost improves final classification metrics and shows greater checkpoint forgetting. These observations do not identify model capacity as the sole cause. The same-data replay comparison further shows that isolation, loss, sampling, and memory accounting must be separated before attributing gains to an architectural innovation.</w:t>
      </w:r>
    </w:p>
    <w:p w14:paraId="001000DC" w14:textId="00100119">
      <w:pPr>
        <w:pStyle w:val="Heading2"/>
        <w:keepNext/>
      </w:pPr>
      <w:r>
        <w:rPr>
          <w:color w:val="000000"/>
        </w:rPr>
        <w:t>5.3 Meaning of the integrated evidence chain</w:t>
      </w:r>
    </w:p>
    <w:p w14:paraId="001000DE" w14:textId="001000DF">
      <w:pPr>
        <w:spacing w:before="0" w:after="100" w:line="259" w:lineRule="auto"/>
        <w:jc w:val="both"/>
      </w:pPr>
      <w:r>
        <w:rPr>
          <w:rFonts w:ascii="Arial" w:hAnsi="Arial"/>
          <w:b w:val="0"/>
          <w:i w:val="0"/>
          <w:color w:val="00000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rPr>
          <w:color w:val="000000"/>
        </w:rPr>
        <w:t>5.4 Attribution dependence</w:t>
      </w:r>
    </w:p>
    <w:p w14:paraId="001000E2" w14:textId="001001B3">
      <w:pPr>
        <w:spacing w:before="0" w:after="100" w:line="259" w:lineRule="auto"/>
        <w:jc w:val="both"/>
      </w:pPr>
      <w:r>
        <w:rPr>
          <w:rFonts w:ascii="Arial" w:hAnsi="Arial"/>
          <w:color w:val="000000"/>
          <w:sz w:val="18"/>
        </w:rPr>
        <w:t>The completed five-seed campaign confirms that ETG states inherit material attribution-method dependence. All-method agreement is 50.0% for admission, 54.0% for ETG state, and 35.0% for the drift conclusion. Expected Gradients remains the registered explainer because it is the predeclared differentiable method, not because the comparison proves it uniquely correct. A future operational design should require method identity in every ledger row and evaluate consensus, uncertainty-aware admission, or external calibration before any automated enforcement. The failed Integrated-Gradients completeness diagnostic remains a warning that a differentiable attribution method cannot be assumed valid for the complete piecewise routed score.</w:t>
      </w:r>
    </w:p>
    <w:p w14:paraId="001000E4" w14:textId="001000E5">
      <w:pPr>
        <w:pStyle w:val="Heading1"/>
        <w:keepNext/>
      </w:pPr>
      <w:r>
        <w:rPr>
          <w:color w:val="000000"/>
        </w:rPr>
        <w:t>6. Limitations and Threats to Validity</w:t>
      </w:r>
    </w:p>
    <w:p w14:paraId="001000E6" w14:textId="001001B4">
      <w:pPr>
        <w:spacing w:before="0" w:after="100" w:line="259" w:lineRule="auto"/>
        <w:jc w:val="both"/>
      </w:pPr>
      <w:r>
        <w:rPr>
          <w:rFonts w:ascii="Arial" w:hAnsi="Arial"/>
          <w:color w:val="000000"/>
          <w:sz w:val="18"/>
        </w:rPr>
        <w:t>First, strict five-seed prediction evidence is complete for all five datasets, but model capacity differs between Malaya and the four FT256x4 datasets. Second, the source-bound Malaya attribution and ETG analysis now covers five stochastic seeds on one fixed split; it does not establish cross-split or cross-device generalisation. Third, the three valid attribution methods disagree materially, and Integrated Gradients failed its earlier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rPr>
          <w:color w:val="000000"/>
        </w:rPr>
        <w:t>Sixth, the current formal preprocessing uses Task-0-only numerical statistics and categorical vocabularies; the legacy 122/194-feature schema exposure was closed by strict cache rebuilding and affected five-seed reruns.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 Eleventh, the FTP-Patator open-set result is a single-seed, single-held-out-class diagnostic; its 0% unknown recall invalidates the current gate but does not establish that all open-set methods will fail. Twelfth, the paired checkpoint-selection experiment uses five seeds on one fixed split; it does not establish cross-split generalization, and the Heartbleed calibration fallback prevents a fully uniform class rule.</w:t>
      </w:r>
    </w:p>
    <w:p w14:paraId="00100010" w14:textId="00100011">
      <w:pPr>
        <w:keepNext w:val="0"/>
        <w:pageBreakBefore w:val="0"/>
        <w:spacing w:before="0" w:after="100" w:line="259" w:lineRule="auto"/>
        <w:jc w:val="both"/>
      </w:pPr>
      <w:r>
        <w:rPr>
          <w:rFonts w:ascii="Arial" w:hAnsi="Arial"/>
          <w:b w:val="0"/>
          <w:color w:val="000000"/>
          <w:sz w:val="18"/>
        </w:rPr>
        <w:t>Two further boundaries affect the newer comparison. ReplayIDS D2's training cap uses future-class fitting counts for offline construction, even though fitted normalisation is Task-0-only. The CPU reconstruction also fails the registered Router/Joint numerical-fidelity gate in a different runtime; source and checkpoint hashes alone therefore do not establish portable numerical equivalence. Same-environment verification is needed before further score calibration or attribution work on that ReplayIDS path. The balanced-replay results compare complete training systems with unmatched total memory and exposure and cannot isolate a human-designed component's causal contribution.</w:t>
      </w:r>
    </w:p>
    <w:p w14:paraId="001000EA" w14:textId="001000EB">
      <w:pPr>
        <w:pStyle w:val="Heading1"/>
        <w:keepNext/>
      </w:pPr>
      <w:r>
        <w:rPr>
          <w:color w:val="000000"/>
        </w:rPr>
        <w:t>7. Conclusion</w:t>
      </w:r>
    </w:p>
    <w:p w14:paraId="001000EC" w14:textId="001001B6">
      <w:pPr>
        <w:spacing w:before="0" w:after="100" w:line="259" w:lineRule="auto"/>
        <w:jc w:val="both"/>
      </w:pPr>
      <w:r>
        <w:rPr>
          <w:rFonts w:ascii="Arial" w:hAnsi="Arial"/>
          <w:color w:val="000000"/>
          <w:sz w:val="18"/>
        </w:rPr>
        <w:t>OFRA exhibits dataset-dependent retention and detection trade-offs across five independently processed datasets. The same-data replay comparison strengthens the Malaya retention finding but shows little Macro-F1 improvement in the four non-screening seeds. On ReplayIDS, accuracy and Macro-F1 gains coexist with lower attack recall, and numerical reconstruction in a different runtime does not pass the fixed fidelity gate. The Malaya attribution study finds strongly method-dependent drift and governance states. ETG can record this uncertainty without suppressing prediction, but is not a validated safety certificate or online controller. The contribution is an explicitly testable prediction-and-audit design and its empirical limits; architecture-only superiority, portable score identity, and deployment benefit remain unproven.</w:t>
      </w:r>
    </w:p>
    <w:p w14:paraId="001000EE" w14:textId="001000EF">
      <w:pPr>
        <w:pStyle w:val="Heading1"/>
        <w:keepNext/>
      </w:pPr>
      <w:r>
        <w:rPr>
          <w:color w:val="000000"/>
        </w:rPr>
        <w:t>Declarations</w:t>
      </w:r>
    </w:p>
    <w:p w14:paraId="001000F0" w14:textId="001000F1">
      <w:pPr>
        <w:spacing w:before="0" w:after="100" w:line="259" w:lineRule="auto"/>
        <w:jc w:val="both"/>
      </w:pPr>
      <w:r>
        <w:rPr>
          <w:rFonts w:ascii="Arial" w:hAnsi="Arial"/>
          <w:b/>
          <w:i w:val="0"/>
          <w:color w:val="000000"/>
          <w:sz w:val="20"/>
        </w:rPr>
        <w:t>Funding:</w:t>
      </w:r>
      <w:r>
        <w:rPr>
          <w:rFonts w:ascii="Arial" w:hAnsi="Arial"/>
          <w:b w:val="0"/>
          <w:i w:val="0"/>
          <w:color w:val="000000"/>
          <w:sz w:val="20"/>
        </w:rPr>
        <w:t xml:space="preserve"> No external funding was declared for this study.</w:t>
      </w:r>
    </w:p>
    <w:p w14:paraId="001000F2" w14:textId="001000F3">
      <w:pPr>
        <w:spacing w:before="0" w:after="100" w:line="259" w:lineRule="auto"/>
        <w:jc w:val="both"/>
      </w:pPr>
      <w:r>
        <w:rPr>
          <w:rFonts w:ascii="Arial" w:hAnsi="Arial"/>
          <w:b/>
          <w:i w:val="0"/>
          <w:color w:val="000000"/>
          <w:sz w:val="20"/>
        </w:rPr>
        <w:t>Conflict of interest:</w:t>
      </w:r>
      <w:r>
        <w:rPr>
          <w:rFonts w:ascii="Arial" w:hAnsi="Arial"/>
          <w:b w:val="0"/>
          <w:i w:val="0"/>
          <w:color w:val="000000"/>
          <w:sz w:val="20"/>
        </w:rPr>
        <w:t xml:space="preserve"> The author declares no conflict of interest.</w:t>
      </w:r>
    </w:p>
    <w:p w14:paraId="001000F4" w14:textId="001000F5">
      <w:pPr>
        <w:spacing w:before="0" w:after="100" w:line="259" w:lineRule="auto"/>
        <w:jc w:val="both"/>
      </w:pPr>
      <w:r>
        <w:rPr>
          <w:rFonts w:ascii="Arial" w:hAnsi="Arial"/>
          <w:b/>
          <w:i w:val="0"/>
          <w:color w:val="000000"/>
          <w:sz w:val="20"/>
        </w:rPr>
        <w:t>Ethics and data governance:</w:t>
      </w:r>
      <w:r>
        <w:rPr>
          <w:rFonts w:ascii="Arial" w:hAnsi="Arial"/>
          <w:b w:val="0"/>
          <w:i w:val="0"/>
          <w:color w:val="00000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color w:val="000000"/>
          <w:sz w:val="20"/>
        </w:rPr>
        <w:t>Code and data availability:</w:t>
      </w:r>
      <w:r>
        <w:rPr>
          <w:rFonts w:ascii="Arial" w:hAnsi="Arial"/>
          <w:b w:val="0"/>
          <w:i w:val="0"/>
          <w:color w:val="00000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10" w14:textId="00100011">
      <w:pPr>
        <w:keepNext w:val="0"/>
        <w:pageBreakBefore w:val="0"/>
        <w:spacing w:before="0" w:after="100" w:line="259" w:lineRule="auto"/>
        <w:jc w:val="both"/>
      </w:pPr>
      <w:r>
        <w:rPr>
          <w:rFonts w:ascii="Arial" w:hAnsi="Arial"/>
          <w:b w:val="0"/>
          <w:color w:val="000000"/>
          <w:sz w:val="18"/>
        </w:rPr>
        <w:t>AI assistance: AI-based tools assisted code development, technical analysis, and manuscript drafting and revision. These tools are not authors. Responsibility for the research decisions, verification of results, interpretation, and final manuscript remains with the author. The contribution claims concern the specified design and empirical evidence, not an assertion that all constituent methods or ideas were created without assistance.</w:t>
      </w:r>
    </w:p>
    <w:p w14:paraId="001000F8" w14:textId="001000F9">
      <w:pPr>
        <w:pStyle w:val="Heading1"/>
        <w:keepNext/>
      </w:pPr>
      <w:r>
        <w:rPr>
          <w:color w:val="000000"/>
        </w:rPr>
        <w:t>References</w:t>
      </w:r>
    </w:p>
    <w:p w14:paraId="001000FA" w14:textId="001000FB">
      <w:pPr>
        <w:spacing w:before="0" w:after="0" w:line="216" w:lineRule="auto"/>
        <w:ind w:start="288" w:hanging="288"/>
        <w:jc w:val="left"/>
      </w:pPr>
      <w:r>
        <w:rPr>
          <w:rFonts w:ascii="Arial" w:hAnsi="Arial"/>
          <w:b w:val="0"/>
          <w:i w:val="0"/>
          <w:color w:val="00000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0" w:line="216" w:lineRule="auto"/>
        <w:ind w:start="288" w:hanging="288"/>
        <w:jc w:val="left"/>
      </w:pPr>
      <w:r>
        <w:rPr>
          <w:rFonts w:ascii="Arial" w:hAnsi="Arial"/>
          <w:b w:val="0"/>
          <w:i w:val="0"/>
          <w:color w:val="000000"/>
          <w:sz w:val="16"/>
        </w:rPr>
        <w:t>French, R. M. (1999). Catastrophic forgetting in connectionist networks. Trends in Cognitive Sciences, 3(4), 128-135. https://doi.org/10.1016/S1364-6613(99)01294-2</w:t>
      </w:r>
    </w:p>
    <w:p w14:paraId="001000FE" w14:textId="001000FF">
      <w:pPr>
        <w:spacing w:before="0" w:after="0" w:line="216" w:lineRule="auto"/>
        <w:ind w:start="288" w:hanging="288"/>
        <w:jc w:val="left"/>
      </w:pPr>
      <w:r>
        <w:rPr>
          <w:rFonts w:ascii="Arial" w:hAnsi="Arial"/>
          <w:b w:val="0"/>
          <w:i w:val="0"/>
          <w:color w:val="00000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0" w:line="216" w:lineRule="auto" w:before="0"/>
        <w:ind w:start="288" w:hanging="288"/>
      </w:pPr>
      <w:r>
        <w:rPr>
          <w:rFonts w:ascii="Arial" w:hAnsi="Arial"/>
          <w:sz w:val="16"/>
        </w:rPr>
        <w:t>Gorishniy, Y., Rubachev, I., Khrulkov, V., and Babenko, A. (2021). Revisiting deep learning models for tabular data. Advances in Neural Information Processing Systems, 34, 18932-18943. https://proceedings.neurips.cc/paper/2021/hash/9d86d83f925f2149e9edb0ac3b49229c-Abstract.html</w:t>
      </w:r>
    </w:p>
    <w:p w14:paraId="00100197" w14:textId="00100198">
      <w:pPr>
        <w:pStyle w:val="Normal"/>
        <w:spacing w:after="0" w:line="216" w:lineRule="auto" w:before="0"/>
        <w:ind w:start="288" w:hanging="288"/>
      </w:pPr>
      <w:r>
        <w:rPr>
          <w:color w:val="000000"/>
          <w:sz w:val="16"/>
        </w:rPr>
        <w:t>Gorishniy, Y., Kotelnikov, A., and Babenko, A. (2025). TabM: Advancing tabular deep learning with parameter-efficient ensembling. International Conference on Learning Representations. https://arxiv.org/abs/2410.24210</w:t>
      </w:r>
    </w:p>
    <w:p w14:paraId="00100100" w14:textId="00100101">
      <w:pPr>
        <w:spacing w:before="0" w:after="0" w:line="216" w:lineRule="auto"/>
        <w:ind w:start="288" w:hanging="288"/>
        <w:jc w:val="left"/>
      </w:pPr>
      <w:r>
        <w:rPr>
          <w:rFonts w:ascii="Arial" w:hAnsi="Arial"/>
          <w:b w:val="0"/>
          <w:i w:val="0"/>
          <w:color w:val="00000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0" w:line="216" w:lineRule="auto"/>
        <w:ind w:start="288" w:hanging="288"/>
        <w:jc w:val="left"/>
      </w:pPr>
      <w:r>
        <w:rPr>
          <w:rFonts w:ascii="Arial" w:hAnsi="Arial"/>
          <w:b w:val="0"/>
          <w:i w:val="0"/>
          <w:color w:val="000000"/>
          <w:sz w:val="16"/>
        </w:rPr>
        <w:t>Kirkpatrick, J., et al. (2017). Overcoming catastrophic forgetting in neural networks. Proceedings of the National Academy of Sciences, 114(13), 3521-3526. https://doi.org/10.1073/pnas.1611835114</w:t>
      </w:r>
    </w:p>
    <w:p w14:paraId="00100104" w14:textId="00100105">
      <w:pPr>
        <w:spacing w:before="0" w:after="0" w:line="216" w:lineRule="auto"/>
        <w:ind w:start="288" w:hanging="288"/>
        <w:jc w:val="left"/>
      </w:pPr>
      <w:r>
        <w:rPr>
          <w:rFonts w:ascii="Arial" w:hAnsi="Arial"/>
          <w:sz w:val="16"/>
        </w:rPr>
        <w:t>Kulis, B., and Jordan, M. I. (2012). Revisiting k-means: New algorithms via Bayesian nonparametrics. Proceedings of the 29th International Conference on Machine Learning. https://icml.cc/2012/papers/291.pdf</w:t>
      </w:r>
    </w:p>
    <w:p w14:paraId="00100104" w14:textId="00100105">
      <w:pPr>
        <w:spacing w:before="0" w:after="0" w:line="216" w:lineRule="auto"/>
        <w:ind w:start="288" w:hanging="288"/>
        <w:jc w:val="left"/>
      </w:pPr>
      <w:r>
        <w:rPr>
          <w:rFonts w:ascii="Arial" w:hAnsi="Arial"/>
          <w:b w:val="0"/>
          <w:i w:val="0"/>
          <w:color w:val="000000"/>
          <w:sz w:val="16"/>
        </w:rPr>
        <w:t>Lundberg, S. M., and Lee, S.-I. (2017). A unified approach to interpreting model predictions. Advances in Neural Information Processing Systems, 30.</w:t>
      </w:r>
    </w:p>
    <w:p w14:paraId="00100106" w14:textId="00100107">
      <w:pPr>
        <w:spacing w:before="0" w:after="0" w:line="216" w:lineRule="auto"/>
        <w:ind w:start="288" w:hanging="288"/>
        <w:jc w:val="left"/>
      </w:pPr>
      <w:r>
        <w:rPr>
          <w:rFonts w:ascii="Arial" w:hAnsi="Arial"/>
          <w:b w:val="0"/>
          <w:i w:val="0"/>
          <w:color w:val="00000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0" w:line="216" w:lineRule="auto"/>
        <w:ind w:start="288" w:hanging="288"/>
        <w:jc w:val="left"/>
      </w:pPr>
      <w:r>
        <w:rPr>
          <w:rFonts w:ascii="Arial" w:hAnsi="Arial"/>
          <w:b w:val="0"/>
          <w:i w:val="0"/>
          <w:color w:val="00000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0" w:line="216" w:lineRule="auto" w:before="0"/>
        <w:ind w:start="288" w:hanging="288"/>
      </w:pPr>
      <w:r>
        <w:rPr>
          <w:color w:val="000000"/>
          <w:sz w:val="16"/>
        </w:rPr>
        <w:t>Prokhorenkova, L., Gusev, G., Vorobev, A., Dorogush, A. V., and Gulin, A. (2018). CatBoost: Unbiased boosting with categorical features. Advances in Neural Information Processing Systems, 31.</w:t>
      </w:r>
    </w:p>
    <w:p w14:paraId="0010010A" w14:textId="0010010B">
      <w:pPr>
        <w:spacing w:before="0" w:after="0" w:line="216" w:lineRule="auto"/>
        <w:ind w:start="288" w:hanging="288"/>
        <w:jc w:val="left"/>
      </w:pPr>
      <w:r>
        <w:rPr>
          <w:rFonts w:ascii="Arial" w:hAnsi="Arial"/>
          <w:b w:val="0"/>
          <w:i w:val="0"/>
          <w:color w:val="000000"/>
          <w:sz w:val="16"/>
        </w:rPr>
        <w:t>Rebuffi, S.-A., Kolesnikov, A., Sperl, G., and Lampert, C. H. (2017). iCaRL: Incremental classifier and representation learning. Proceedings of the IEEE Conference on Computer Vision and Pattern Recognition, 2001-2010.</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sz w:val="16"/>
      </w:rPr>
      <w:t xml:space="preserve">WU LIQIANG | Research manuscript v3.2 | 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t>OFRA + ETG | Evidence-aligned manuscript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1"/>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styleId="HeaderChar" w:customStyle="1">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styleId="FooterChar" w:customStyle="1">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rPr>
      <w:color w:val="000000"/>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00000"/>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000000"/>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000000"/>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000000"/>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styleId="BodyTextChar" w:customStyle="1">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styleId="BodyText2Char" w:customStyle="1">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styleId="BodyText3Char" w:customStyle="1">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styleId="MacroTextChar" w:customStyle="1">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styleId="QuoteChar" w:customStyle="1">
    <w:name w:val="Quote Char"/>
    <w:basedOn w:val="DefaultParagraphFont"/>
    <w:link w:val="Quote"/>
    <w:uiPriority w:val="29"/>
    <w:rsid w:val="00FC693F"/>
    <w:rPr>
      <w:i/>
      <w:iCs/>
      <w:color w:val="000000"/>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000000"/>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00000"/>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000000"/>
    </w:rPr>
  </w:style>
  <w:style w:type="character" w:styleId="IntenseQuoteChar" w:customStyle="1">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External-review manuscript v3.2, 7 September 2026</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dc:description/>
</cp:coreProperties>
</file>