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F2A43"/>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188B84"/>
          <w:sz w:val="23"/>
        </w:rPr>
        <w:t>OFRA prediction with an offline ETG evidence ledger</w:t>
      </w:r>
    </w:p>
    <w:p w14:paraId="00100004" w14:textId="00100005">
      <w:pPr>
        <w:spacing w:after="320"/>
        <w:jc w:val="center"/>
      </w:pPr>
      <w:r>
        <w:rPr>
          <w:rFonts w:ascii="Arial" w:hAnsi="Arial"/>
          <w:b/>
          <w:i w:val="0"/>
          <w:sz w:val="21"/>
        </w:rPr>
        <w:t>WU LIQIANG</w:t>
      </w:r>
    </w:p>
    <w:p w14:paraId="00100006" w14:textId="00100007">
      <w:pPr>
        <w:pStyle w:val="Heading1"/>
        <w:keepNext/>
      </w:pPr>
      <w:r>
        <w:t>Abstract</w:t>
      </w:r>
    </w:p>
    <w:p w14:paraId="00100008" w14:textId="001001A1">
      <w:pPr>
        <w:spacing w:before="0" w:after="100" w:line="259" w:lineRule="auto"/>
        <w:jc w:val="both"/>
      </w:pPr>
      <w:r>
        <w:t>Class-incremental network-traffic classification requires a model to learn newly introduced classes without an oracle task identifier while retaining earlier decisions. This paper evaluates prediction, explanation stability, and post-hoc governance as linked but separately bounded layers. OFRA combines a shared tabular encoder, family-specific low-rank binary heads, bounded replay, and a DP-Means router. Expected-Gradients SHAP explains the registered joint-cap class margin, while ETG records certification, refusal, escalation, and strict recertification without changing the prediction. Strict five-seed prediction evidence is available for all five independently processed datasets: NSL-KDD, UNSW-NB15, CIC-IDS-2017, CSE-CIC-IDS2018, and MalayaNetwork_GT, with model capacity disclosed per dataset. On Malaya FT512x12, joint cap 3,000 changes accuracy by -1.34 percentage points, Macro-F1 by +9.37 points, balanced accuracy by +7.97 points, and forgetting by +0.39 points relative to head-only. A source-bound Malaya seed-1 analysis identifies 12 silent-drift events among 17 eligible transitions and executes the ETG state machine on the same routed score. A three-method pilot quantifies attribution dependence. The current formal preprocessing fits both numerical statistics and categorical vocabularies from Task-0 training data only, freezes them, and maps later unseen categorical values to registered all-zero blocks. The evidence supports a reproducible offline audit pipeline and dataset-dependent trade-offs, not an online feedback loop or universal superiority. A separate seed-42 ReplayIDS expected-contract pilot found that the registered confidence-and-distance gates missed all held-out FTP-Patator rows, whereas a subsequent labelled OFRA update achieved 82.30% new-class recall with a 0.27-percentage-point old-class accuracy reduction.</w:t>
      </w:r>
    </w:p>
    <w:p w14:paraId="0010000A" w14:textId="0010000B">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14:paraId="0010000C" w14:textId="0010000D">
      <w:pPr>
        <w:pStyle w:val="Heading1"/>
        <w:keepNext/>
      </w:pPr>
      <w:r>
        <w:t>1. Introduction</w:t>
      </w:r>
    </w:p>
    <w:p w14:paraId="0010000E" w14:textId="0010000F">
      <w:pPr>
        <w:pStyle w:val="Heading2"/>
        <w:keepNext/>
      </w:pPr>
      <w:r>
        <w:t>1.1 Background and motivation</w:t>
      </w:r>
    </w:p>
    <w:p w14:paraId="00100010" w14:textId="00100011">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14:paraId="00100014" w14:textId="00100015">
      <w:pPr>
        <w:pStyle w:val="Heading2"/>
        <w:keepNext/>
      </w:pPr>
      <w:r>
        <w:t>1.2 Problem statement</w:t>
      </w:r>
    </w:p>
    <w:p w14:paraId="00100016" w14:textId="00100017">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t>1.3 Research questions and objectives</w:t>
      </w:r>
    </w:p>
    <w:p w14:paraId="0010001A" w14:textId="0010001B">
      <w:pPr>
        <w:spacing w:before="0" w:after="100" w:line="259" w:lineRule="auto"/>
        <w:jc w:val="both"/>
      </w:pPr>
      <w:r>
        <w:t>RQ1: How does oracle-free class-incremental learning affect predictive performance, class-balanced detection, and forgetting across heterogeneous network-traffic datasets?</w:t>
      </w:r>
    </w:p>
    <w:p w14:paraId="0010001C" w14:textId="00100114">
      <w:pPr>
        <w:spacing w:before="0" w:after="100" w:line="259" w:lineRule="auto"/>
        <w:jc w:val="both"/>
      </w:pPr>
      <w:r>
        <w:t>RQ2: To what extent do prediction explanations remain stable across successive class-incremental updates when class-level predictive performance remains stable?</w:t>
      </w:r>
    </w:p>
    <w:p w14:paraId="0010001E" w14:textId="0010001F">
      <w:pPr>
        <w:spacing w:before="0" w:after="100" w:line="259" w:lineRule="auto"/>
        <w:jc w:val="both"/>
      </w:pPr>
      <w:r>
        <w:t>RQ3: How can explanation instability be converted into auditable governance decisions without altering or suppressing the underlying security prediction?</w:t>
      </w:r>
    </w:p>
    <w:p w14:paraId="00100020" w14:textId="00100115">
      <w:pPr>
        <w:spacing w:before="0" w:after="100" w:line="259" w:lineRule="auto"/>
        <w:jc w:val="both"/>
      </w:pPr>
      <w:r>
        <w:t>RO1 is to evaluate accuracy, Macro-F1, balanced accuracy, attack recall, false-positive rate, and forgetting under independently preprocessed five-seed class-incremental protocols. RO2 is to measure explanation stability on fixed probes across adjacent checkpoints using source-bound attribution, Top-k feature overlap, and class-performance constraints. RO3 is to implement and evaluate an offline evidence ledger that records certification, refusal, escalation, and re-certification decisions from prediction and attribution evidence.</w:t>
      </w:r>
    </w:p>
    <w:p w14:paraId="00100022" w14:textId="00100023">
      <w:pPr>
        <w:pStyle w:val="Heading1"/>
        <w:keepNext/>
      </w:pPr>
      <w:r>
        <w:t>2. Related Work</w:t>
      </w:r>
    </w:p>
    <w:p w14:paraId="00100024" w14:textId="00100025">
      <w:pPr>
        <w:pStyle w:val="Heading2"/>
        <w:keepNext/>
      </w:pPr>
      <w:r>
        <w:t>2.1 Continual learning and parameter-efficient adaptation</w:t>
      </w:r>
    </w:p>
    <w:p w14:paraId="00100026" w14:textId="0010011C">
      <w:pPr>
        <w:spacing w:before="0" w:after="100" w:line="259" w:lineRule="auto"/>
        <w:jc w:val="both"/>
      </w:pPr>
      <w:r>
        <w:rPr>
          <w:rFonts w:ascii="Arial" w:hAnsi="Arial"/>
          <w:b w:val="0"/>
          <w:i w:val="0"/>
          <w:sz w:val="20"/>
        </w:rPr>
        <w:t xml:space="preserve">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t>2.2 Explanation drift and IDS governance</w:t>
      </w:r>
    </w:p>
    <w:p w14:paraId="0010002A" w14:textId="0010002B">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keepNext/>
        <w:pageBreakBefore w:val="0"/>
        <w:spacing w:before="80" w:after="120"/>
        <w:jc w:val="center"/>
      </w:pPr>
      <w:r>
        <w:rPr>
          <w:rFonts w:ascii="Arial" w:hAnsi="Arial"/>
          <w:b w:val="0"/>
          <w:i/>
          <w:color w:val="5A646E"/>
          <w:sz w:val="17"/>
        </w:rPr>
        <w:t>Table 1.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c>
          <w:tcPr>
            <w:tcW w:w="1550" w:type="dxa"/>
            <w:shd w:val="clear" w:fill="EAF0F5"/>
            <w:tcMar>
              <w:top w:w="25" w:type="dxa"/>
              <w:start w:w="70" w:type="dxa"/>
              <w:bottom w:w="25" w:type="dxa"/>
              <w:end w:w="70" w:type="dxa"/>
            </w:tcMar>
            <w:vAlign w:val="center"/>
          </w:tcPr>
          <w:p w14:paraId="0010002E" w14:textId="0010002F">
            <w:pPr>
              <w:spacing w:after="0" w:before="0" w:line="216" w:lineRule="auto"/>
              <w:jc w:val="center"/>
            </w:pPr>
            <w:r>
              <w:rPr>
                <w:rFonts w:ascii="Arial" w:hAnsi="Arial"/>
                <w:b/>
                <w:i w:val="0"/>
                <w:color w:val="0F2A43"/>
                <w:sz w:val="14"/>
              </w:rPr>
              <w:t>Study</w:t>
            </w:r>
          </w:p>
        </w:tc>
        <w:tc>
          <w:tcPr>
            <w:tcW w:w="2250" w:type="dxa"/>
            <w:shd w:val="clear" w:fill="EAF0F5"/>
            <w:tcMar>
              <w:top w:w="25" w:type="dxa"/>
              <w:start w:w="70" w:type="dxa"/>
              <w:bottom w:w="25" w:type="dxa"/>
              <w:end w:w="70" w:type="dxa"/>
            </w:tcMar>
            <w:vAlign w:val="center"/>
          </w:tcPr>
          <w:p w14:paraId="00100030" w14:textId="00100031">
            <w:pPr>
              <w:spacing w:after="0" w:before="0" w:line="216" w:lineRule="auto"/>
              <w:jc w:val="center"/>
            </w:pPr>
            <w:r>
              <w:rPr>
                <w:rFonts w:ascii="Arial" w:hAnsi="Arial"/>
                <w:b/>
                <w:i w:val="0"/>
                <w:color w:val="0F2A43"/>
                <w:sz w:val="14"/>
              </w:rPr>
              <w:t>Drift or trust trigger</w:t>
            </w:r>
          </w:p>
        </w:tc>
        <w:tc>
          <w:tcPr>
            <w:tcW w:w="1800" w:type="dxa"/>
            <w:shd w:val="clear" w:fill="EAF0F5"/>
            <w:tcMar>
              <w:top w:w="25" w:type="dxa"/>
              <w:start w:w="70" w:type="dxa"/>
              <w:bottom w:w="25" w:type="dxa"/>
              <w:end w:w="70" w:type="dxa"/>
            </w:tcMar>
            <w:vAlign w:val="center"/>
          </w:tcPr>
          <w:p w14:paraId="00100032" w14:textId="00100033">
            <w:pPr>
              <w:spacing w:after="0" w:before="0" w:line="216" w:lineRule="auto"/>
              <w:jc w:val="center"/>
            </w:pPr>
            <w:r>
              <w:rPr>
                <w:rFonts w:ascii="Arial" w:hAnsi="Arial"/>
                <w:b/>
                <w:i w:val="0"/>
                <w:color w:val="0F2A43"/>
                <w:sz w:val="14"/>
              </w:rPr>
              <w:t>IDS setting</w:t>
            </w:r>
          </w:p>
        </w:tc>
        <w:tc>
          <w:tcPr>
            <w:tcW w:w="3760" w:type="dxa"/>
            <w:shd w:val="clear" w:fill="EAF0F5"/>
            <w:tcMar>
              <w:top w:w="25" w:type="dxa"/>
              <w:start w:w="70" w:type="dxa"/>
              <w:bottom w:w="25" w:type="dxa"/>
              <w:end w:w="70" w:type="dxa"/>
            </w:tcMar>
            <w:vAlign w:val="center"/>
          </w:tcPr>
          <w:p w14:paraId="00100034" w14:textId="00100035">
            <w:pPr>
              <w:spacing w:after="0" w:before="0" w:line="216" w:lineRule="auto"/>
              <w:jc w:val="center"/>
            </w:pPr>
            <w:r>
              <w:rPr>
                <w:rFonts w:ascii="Arial" w:hAnsi="Arial"/>
                <w:b/>
                <w:i w:val="0"/>
                <w:color w:val="0F2A43"/>
                <w:sz w:val="14"/>
              </w:rPr>
              <w:t>Gap relative to this work</w:t>
            </w:r>
          </w:p>
        </w:tc>
      </w:tr>
      <w:tr>
        <w:tc>
          <w:tcPr>
            <w:tcW w:w="1550" w:type="dxa"/>
            <w:tcMar>
              <w:top w:w="25" w:type="dxa"/>
              <w:start w:w="70" w:type="dxa"/>
              <w:bottom w:w="25" w:type="dxa"/>
              <w:end w:w="70" w:type="dxa"/>
            </w:tcMar>
            <w:vAlign w:val="center"/>
          </w:tcPr>
          <w:p w14:paraId="00100036" w14:textId="00100037">
            <w:pPr>
              <w:spacing w:after="0" w:before="0" w:line="216" w:lineRule="auto"/>
              <w:jc w:val="left"/>
            </w:pPr>
            <w:r>
              <w:rPr>
                <w:rFonts w:ascii="Arial" w:hAnsi="Arial"/>
                <w:b w:val="0"/>
                <w:i w:val="0"/>
                <w:sz w:val="14"/>
              </w:rPr>
              <w:t>E2D2 (2026)</w:t>
            </w:r>
          </w:p>
        </w:tc>
        <w:tc>
          <w:tcPr>
            <w:tcW w:w="2250" w:type="dxa"/>
            <w:tcMar>
              <w:top w:w="25" w:type="dxa"/>
              <w:start w:w="70" w:type="dxa"/>
              <w:bottom w:w="25" w:type="dxa"/>
              <w:end w:w="70" w:type="dxa"/>
            </w:tcMar>
            <w:vAlign w:val="center"/>
          </w:tcPr>
          <w:p w14:paraId="00100038" w14:textId="00100039">
            <w:pPr>
              <w:spacing w:after="0" w:before="0" w:line="216" w:lineRule="auto"/>
              <w:jc w:val="center"/>
            </w:pPr>
            <w:r>
              <w:rPr>
                <w:rFonts w:ascii="Arial" w:hAnsi="Arial"/>
                <w:b w:val="0"/>
                <w:i w:val="0"/>
                <w:sz w:val="14"/>
              </w:rPr>
              <w:t>Unsupervised explanation-based drift</w:t>
            </w:r>
          </w:p>
        </w:tc>
        <w:tc>
          <w:tcPr>
            <w:tcW w:w="1800" w:type="dxa"/>
            <w:tcMar>
              <w:top w:w="25" w:type="dxa"/>
              <w:start w:w="70" w:type="dxa"/>
              <w:bottom w:w="25" w:type="dxa"/>
              <w:end w:w="70" w:type="dxa"/>
            </w:tcMar>
            <w:vAlign w:val="center"/>
          </w:tcPr>
          <w:p w14:paraId="0010003A" w14:textId="0010003B">
            <w:pPr>
              <w:spacing w:after="0" w:before="0" w:line="216" w:lineRule="auto"/>
              <w:jc w:val="center"/>
            </w:pPr>
            <w:r>
              <w:rPr>
                <w:rFonts w:ascii="Arial" w:hAnsi="Arial"/>
                <w:b w:val="0"/>
                <w:i w:val="0"/>
                <w:sz w:val="14"/>
              </w:rPr>
              <w:t>Unsupervised NIDS</w:t>
            </w:r>
          </w:p>
        </w:tc>
        <w:tc>
          <w:tcPr>
            <w:tcW w:w="3760" w:type="dxa"/>
            <w:tcMar>
              <w:top w:w="25" w:type="dxa"/>
              <w:start w:w="70" w:type="dxa"/>
              <w:bottom w:w="25" w:type="dxa"/>
              <w:end w:w="70" w:type="dxa"/>
            </w:tcMar>
            <w:vAlign w:val="center"/>
          </w:tcPr>
          <w:p w14:paraId="0010003C" w14:textId="0010003D">
            <w:pPr>
              <w:spacing w:after="0" w:before="0" w:line="216" w:lineRule="auto"/>
              <w:jc w:val="center"/>
            </w:pPr>
            <w:r>
              <w:rPr>
                <w:rFonts w:ascii="Arial" w:hAnsi="Arial"/>
                <w:b w:val="0"/>
                <w:i w:val="0"/>
                <w:sz w:val="14"/>
              </w:rPr>
              <w:t>Not legitimate class-incremental model updates; no ETG action ledger</w:t>
            </w:r>
          </w:p>
        </w:tc>
      </w:tr>
      <w:tr>
        <w:tc>
          <w:tcPr>
            <w:tcW w:w="1550" w:type="dxa"/>
            <w:tcMar>
              <w:top w:w="25" w:type="dxa"/>
              <w:start w:w="70" w:type="dxa"/>
              <w:bottom w:w="25" w:type="dxa"/>
              <w:end w:w="70" w:type="dxa"/>
            </w:tcMar>
            <w:vAlign w:val="center"/>
          </w:tcPr>
          <w:p w14:paraId="0010003E" w14:textId="0010003F">
            <w:pPr>
              <w:spacing w:after="0" w:before="0" w:line="216" w:lineRule="auto"/>
              <w:jc w:val="left"/>
            </w:pPr>
            <w:r>
              <w:rPr>
                <w:rFonts w:ascii="Arial" w:hAnsi="Arial"/>
                <w:b w:val="0"/>
                <w:i w:val="0"/>
                <w:sz w:val="14"/>
              </w:rPr>
              <w:t>Maseno et al. (2026)</w:t>
            </w:r>
          </w:p>
        </w:tc>
        <w:tc>
          <w:tcPr>
            <w:tcW w:w="2250" w:type="dxa"/>
            <w:tcMar>
              <w:top w:w="25" w:type="dxa"/>
              <w:start w:w="70" w:type="dxa"/>
              <w:bottom w:w="25" w:type="dxa"/>
              <w:end w:w="70" w:type="dxa"/>
            </w:tcMar>
            <w:vAlign w:val="center"/>
          </w:tcPr>
          <w:p w14:paraId="00100040" w14:textId="00100041">
            <w:pPr>
              <w:spacing w:after="0" w:before="0" w:line="216" w:lineRule="auto"/>
              <w:jc w:val="center"/>
            </w:pPr>
            <w:r>
              <w:rPr>
                <w:rFonts w:ascii="Arial" w:hAnsi="Arial"/>
                <w:b w:val="0"/>
                <w:i w:val="0"/>
                <w:sz w:val="14"/>
              </w:rPr>
              <w:t>Adversarial SHAP instability</w:t>
            </w:r>
          </w:p>
        </w:tc>
        <w:tc>
          <w:tcPr>
            <w:tcW w:w="1800" w:type="dxa"/>
            <w:tcMar>
              <w:top w:w="25" w:type="dxa"/>
              <w:start w:w="70" w:type="dxa"/>
              <w:bottom w:w="25" w:type="dxa"/>
              <w:end w:w="70" w:type="dxa"/>
            </w:tcMar>
            <w:vAlign w:val="center"/>
          </w:tcPr>
          <w:p w14:paraId="00100042" w14:textId="00100043">
            <w:pPr>
              <w:spacing w:after="0" w:before="0" w:line="216" w:lineRule="auto"/>
              <w:jc w:val="center"/>
            </w:pPr>
            <w:r>
              <w:rPr>
                <w:rFonts w:ascii="Arial" w:hAnsi="Arial"/>
                <w:b w:val="0"/>
                <w:i w:val="0"/>
                <w:sz w:val="14"/>
              </w:rPr>
              <w:t>Recurrent multiclass IDS</w:t>
            </w:r>
          </w:p>
        </w:tc>
        <w:tc>
          <w:tcPr>
            <w:tcW w:w="3760" w:type="dxa"/>
            <w:tcMar>
              <w:top w:w="25" w:type="dxa"/>
              <w:start w:w="70" w:type="dxa"/>
              <w:bottom w:w="25" w:type="dxa"/>
              <w:end w:w="70" w:type="dxa"/>
            </w:tcMar>
            <w:vAlign w:val="center"/>
          </w:tcPr>
          <w:p w14:paraId="00100044" w14:textId="00100045">
            <w:pPr>
              <w:spacing w:after="0" w:before="0" w:line="216" w:lineRule="auto"/>
              <w:jc w:val="center"/>
            </w:pPr>
            <w:r>
              <w:rPr>
                <w:rFonts w:ascii="Arial" w:hAnsi="Arial"/>
                <w:b w:val="0"/>
                <w:i w:val="0"/>
                <w:sz w:val="14"/>
              </w:rPr>
              <w:t>Adversarial trigger, not benign learning increments; no non-suppressing governance</w:t>
            </w:r>
          </w:p>
        </w:tc>
      </w:tr>
      <w:tr>
        <w:tc>
          <w:tcPr>
            <w:tcW w:w="1550" w:type="dxa"/>
            <w:tcMar>
              <w:top w:w="25" w:type="dxa"/>
              <w:start w:w="70" w:type="dxa"/>
              <w:bottom w:w="25" w:type="dxa"/>
              <w:end w:w="70" w:type="dxa"/>
            </w:tcMar>
            <w:vAlign w:val="center"/>
          </w:tcPr>
          <w:p w14:paraId="00100046" w14:textId="00100047">
            <w:pPr>
              <w:spacing w:after="0" w:before="0" w:line="216" w:lineRule="auto"/>
              <w:jc w:val="left"/>
            </w:pPr>
            <w:r>
              <w:rPr>
                <w:rFonts w:ascii="Arial" w:hAnsi="Arial"/>
                <w:b w:val="0"/>
                <w:i w:val="0"/>
                <w:sz w:val="14"/>
              </w:rPr>
              <w:t>Goncalves and Alomari (2026)</w:t>
            </w:r>
          </w:p>
        </w:tc>
        <w:tc>
          <w:tcPr>
            <w:tcW w:w="2250" w:type="dxa"/>
            <w:tcMar>
              <w:top w:w="25" w:type="dxa"/>
              <w:start w:w="70" w:type="dxa"/>
              <w:bottom w:w="25" w:type="dxa"/>
              <w:end w:w="70" w:type="dxa"/>
            </w:tcMar>
            <w:vAlign w:val="center"/>
          </w:tcPr>
          <w:p w14:paraId="00100048" w14:textId="00100049">
            <w:pPr>
              <w:spacing w:after="0" w:before="0" w:line="216" w:lineRule="auto"/>
              <w:jc w:val="center"/>
            </w:pPr>
            <w:r>
              <w:rPr>
                <w:rFonts w:ascii="Arial" w:hAnsi="Arial"/>
                <w:b w:val="0"/>
                <w:i w:val="0"/>
                <w:sz w:val="14"/>
              </w:rPr>
              <w:t>Human interpretation of SHAP/LIME</w:t>
            </w:r>
          </w:p>
        </w:tc>
        <w:tc>
          <w:tcPr>
            <w:tcW w:w="1800" w:type="dxa"/>
            <w:tcMar>
              <w:top w:w="25" w:type="dxa"/>
              <w:start w:w="70" w:type="dxa"/>
              <w:bottom w:w="25" w:type="dxa"/>
              <w:end w:w="70" w:type="dxa"/>
            </w:tcMar>
            <w:vAlign w:val="center"/>
          </w:tcPr>
          <w:p w14:paraId="0010004A" w14:textId="0010004B">
            <w:pPr>
              <w:spacing w:after="0" w:before="0" w:line="216" w:lineRule="auto"/>
              <w:jc w:val="center"/>
            </w:pPr>
            <w:r>
              <w:rPr>
                <w:rFonts w:ascii="Arial" w:hAnsi="Arial"/>
                <w:b w:val="0"/>
                <w:i w:val="0"/>
                <w:sz w:val="14"/>
              </w:rPr>
              <w:t>AWS GuardDuty</w:t>
            </w:r>
          </w:p>
        </w:tc>
        <w:tc>
          <w:tcPr>
            <w:tcW w:w="3760" w:type="dxa"/>
            <w:tcMar>
              <w:top w:w="25" w:type="dxa"/>
              <w:start w:w="70" w:type="dxa"/>
              <w:bottom w:w="25" w:type="dxa"/>
              <w:end w:w="70" w:type="dxa"/>
            </w:tcMar>
            <w:vAlign w:val="center"/>
          </w:tcPr>
          <w:p w14:paraId="0010004C" w14:textId="0010004D">
            <w:pPr>
              <w:spacing w:after="0" w:before="0" w:line="216" w:lineRule="auto"/>
              <w:jc w:val="center"/>
            </w:pPr>
            <w:r>
              <w:rPr>
                <w:rFonts w:ascii="Arial" w:hAnsi="Arial"/>
                <w:b w:val="0"/>
                <w:i w:val="0"/>
                <w:sz w:val="14"/>
              </w:rPr>
              <w:t>User study rather than longitudinal routed-score stability</w:t>
            </w:r>
          </w:p>
        </w:tc>
      </w:tr>
      <w:tr>
        <w:tc>
          <w:tcPr>
            <w:tcW w:w="1550" w:type="dxa"/>
            <w:tcMar>
              <w:top w:w="25" w:type="dxa"/>
              <w:start w:w="70" w:type="dxa"/>
              <w:bottom w:w="25" w:type="dxa"/>
              <w:end w:w="70" w:type="dxa"/>
            </w:tcMar>
            <w:vAlign w:val="center"/>
          </w:tcPr>
          <w:p w14:paraId="0010004E" w14:textId="0010004F">
            <w:pPr>
              <w:spacing w:after="0" w:before="0" w:line="216" w:lineRule="auto"/>
              <w:jc w:val="left"/>
            </w:pPr>
            <w:r>
              <w:rPr>
                <w:rFonts w:ascii="Arial" w:hAnsi="Arial"/>
                <w:b w:val="0"/>
                <w:i w:val="0"/>
                <w:sz w:val="14"/>
              </w:rPr>
              <w:t>Adabara et al. (2025)</w:t>
            </w:r>
          </w:p>
        </w:tc>
        <w:tc>
          <w:tcPr>
            <w:tcW w:w="2250" w:type="dxa"/>
            <w:tcMar>
              <w:top w:w="25" w:type="dxa"/>
              <w:start w:w="70" w:type="dxa"/>
              <w:bottom w:w="25" w:type="dxa"/>
              <w:end w:w="70" w:type="dxa"/>
            </w:tcMar>
            <w:vAlign w:val="center"/>
          </w:tcPr>
          <w:p w14:paraId="00100050" w14:textId="00100051">
            <w:pPr>
              <w:spacing w:after="0" w:before="0" w:line="216" w:lineRule="auto"/>
              <w:jc w:val="center"/>
            </w:pPr>
            <w:r>
              <w:rPr>
                <w:rFonts w:ascii="Arial" w:hAnsi="Arial"/>
                <w:b w:val="0"/>
                <w:i w:val="0"/>
                <w:sz w:val="14"/>
              </w:rPr>
              <w:t>Calibration, uncertainty, and SHAP</w:t>
            </w:r>
          </w:p>
        </w:tc>
        <w:tc>
          <w:tcPr>
            <w:tcW w:w="1800" w:type="dxa"/>
            <w:tcMar>
              <w:top w:w="25" w:type="dxa"/>
              <w:start w:w="70" w:type="dxa"/>
              <w:bottom w:w="25" w:type="dxa"/>
              <w:end w:w="70" w:type="dxa"/>
            </w:tcMar>
            <w:vAlign w:val="center"/>
          </w:tcPr>
          <w:p w14:paraId="00100052" w14:textId="00100053">
            <w:pPr>
              <w:spacing w:after="0" w:before="0" w:line="216" w:lineRule="auto"/>
              <w:jc w:val="center"/>
            </w:pPr>
            <w:r>
              <w:rPr>
                <w:rFonts w:ascii="Arial" w:hAnsi="Arial"/>
                <w:b w:val="0"/>
                <w:i w:val="0"/>
                <w:sz w:val="14"/>
              </w:rPr>
              <w:t>CICIDS2017</w:t>
            </w:r>
          </w:p>
        </w:tc>
        <w:tc>
          <w:tcPr>
            <w:tcW w:w="3760" w:type="dxa"/>
            <w:tcMar>
              <w:top w:w="25" w:type="dxa"/>
              <w:start w:w="70" w:type="dxa"/>
              <w:bottom w:w="25" w:type="dxa"/>
              <w:end w:w="70" w:type="dxa"/>
            </w:tcMar>
            <w:vAlign w:val="center"/>
          </w:tcPr>
          <w:p w14:paraId="00100054" w14:textId="00100055">
            <w:pPr>
              <w:spacing w:after="0" w:before="0" w:line="216" w:lineRule="auto"/>
              <w:jc w:val="center"/>
            </w:pPr>
            <w:r>
              <w:rPr>
                <w:rFonts w:ascii="Arial" w:hAnsi="Arial"/>
                <w:b w:val="0"/>
                <w:i w:val="0"/>
                <w:sz w:val="14"/>
              </w:rPr>
              <w:t>No class-incremental sequence or explanation-state transition ledger</w:t>
            </w:r>
          </w:p>
        </w:tc>
      </w:tr>
    </w:tbl>
    <w:p w14:paraId="00100056" w14:textId="00100057">
      <w:pPr>
        <w:pStyle w:val="Heading2"/>
        <w:keepNext/>
      </w:pPr>
      <w:r>
        <w:t>2.3 Research gap</w:t>
      </w:r>
    </w:p>
    <w:p w14:paraId="00100058" w14:textId="00100059">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14:paraId="0010005A" w14:textId="0010005B">
      <w:pPr>
        <w:pStyle w:val="Heading1"/>
        <w:keepNext/>
      </w:pPr>
      <w:r>
        <w:t>3. Methodology</w:t>
      </w:r>
    </w:p>
    <w:p w14:paraId="0010005C" w14:textId="0010005D">
      <w:pPr>
        <w:pStyle w:val="Heading2"/>
        <w:keepNext/>
      </w:pPr>
      <w:r>
        <w:t>3.1 Scope and dataset separation</w:t>
      </w:r>
    </w:p>
    <w:p w14:paraId="0010005E" w14:textId="001001A2">
      <w:pPr>
        <w:spacing w:before="0" w:after="100" w:line="259" w:lineRule="auto"/>
        <w:jc w:val="both"/>
      </w:pPr>
      <w:r>
        <w:t>Each dataset is preprocessed, trained, and evaluated independently; records from different datasets are never pooled. The strict five-seed table uses seeds 1, 2, 3, 4, and 42. NSL-KDD, UNSW-NB15, CIC-IDS-2017, and CSE-CIC-IDS2018 use FT-Transformer 256x4; MalayaNetwork_GT uses FT-Transformer 512x12. These are dataset-specific audits, not a capacity-matched pooled comparison. The CSE-CIC-IDS2018 8+10-epoch campaign completed as DICC Job 402073 and passed the protected SHA-256 manifest check.</w:t>
      </w:r>
    </w:p>
    <w:p w14:paraId="00100060" w14:textId="001001A3">
      <w:pPr>
        <w:spacing w:before="0" w:after="100" w:line="259" w:lineRule="auto"/>
        <w:jc w:val="both"/>
      </w:pPr>
      <w:r>
        <w:rPr>
          <w:rFonts w:ascii="Arial" w:hAnsi="Arial"/>
          <w:b w:val="0"/>
          <w:i w:val="0"/>
          <w:sz w:val="20"/>
        </w:rPr>
        <w:t>Dataset-specific preprocessing removes identifiers, normalises labels, converts features to finite numerical arrays, fixes feature and class order, and constructs class-by-split shards. NSL-KDD retains its official train/test files; its protocol, service, and flag vocabularies are fitted on Task-0 training rows only and frozen, producing 116 features. UNSW-NB15 likewise retains its official 175,341-row training and 82,332-row testing files; its protocol, service, and state vocabularies are fitted on Task-0 training rows only and frozen, producing 186 features. Later unseen categorical values use the registered all-zero block for that field. Malaya uses 31 derived-flow CSVs at frozen revision 384a5927..., removes IP addresses, ports, and timestamps, and holds out one capture per class, producing 77 numerical features. The capture-level Malaya split avoids leakage from correlated rows within one capture.</w:t>
      </w:r>
    </w:p>
    <w:p w14:paraId="00100062" w14:textId="001001A4">
      <w:pPr>
        <w:spacing w:before="0" w:after="100" w:line="259" w:lineRule="auto"/>
        <w:jc w:val="both"/>
      </w:pPr>
      <w:r>
        <w:rPr>
          <w:rFonts w:ascii="Arial" w:hAnsi="Arial"/>
          <w:b w:val="0"/>
          <w:i w:val="0"/>
          <w:sz w:val="20"/>
        </w:rPr>
        <w:t>The current formal preprocessing passes the registered no-look-ahead contract. Numerical standardisation reads only Task-0 training shards, freezes before pretraining, and rejects later updates. NSL-KDD and UNSW-NB15 categorical vocabularies are also fitted from Task-0 training rows only and frozen; later unseen values are mapped to all-zero categorical blocks. The strict widths are 116 and 186 features, respectively, and the affected five-seed experiments were rerun. A legacy audit had identified six and eight future-only one-hot columns under the earlier 122/194-feature builders, affecting about 0.9% of later-task rows. That bounded schema exposure is retained as historical motivation, not as a limitation of the current formal prediction results. CIC-IDS-2017, CIC-IDS-2018, and Malaya have no data-derived categorical vocabulary.</w:t>
      </w:r>
    </w:p>
    <w:p w14:paraId="00100064" w14:textId="00100065">
      <w:pPr>
        <w:pStyle w:val="Heading2"/>
        <w:keepNext/>
      </w:pPr>
      <w:r>
        <w:t>3.2 OFRA architecture and registered decision arms</w:t>
      </w:r>
    </w:p>
    <w:p w14:paraId="00100066" w14:textId="00100067">
      <w:pPr>
        <w:jc w:val="center"/>
      </w:pPr>
      <w:r>
        <w:drawing>
          <wp:inline xmlns:a="http://schemas.openxmlformats.org/drawingml/2006/main" xmlns:pic="http://schemas.openxmlformats.org/drawingml/2006/picture">
            <wp:extent cx="6172200" cy="1671638"/>
            <wp:docPr id="1" name="Picture 1"/>
            <wp:cNvGraphicFramePr>
              <a:graphicFrameLocks noChangeAspect="1"/>
            </wp:cNvGraphicFramePr>
            <a:graphic>
              <a:graphicData uri="http://schemas.openxmlformats.org/drawingml/2006/picture">
                <pic:pic>
                  <pic:nvPicPr>
                    <pic:cNvPr id="0" name="architecture.jpg"/>
                    <pic:cNvPicPr/>
                  </pic:nvPicPr>
                  <pic:blipFill>
                    <a:blip r:embed="rId11"/>
                    <a:stretch>
                      <a:fillRect/>
                    </a:stretch>
                  </pic:blipFill>
                  <pic:spPr>
                    <a:xfrm>
                      <a:off x="0" y="0"/>
                      <a:ext cx="6172200" cy="1671638"/>
                    </a:xfrm>
                    <a:prstGeom prst="rect"/>
                  </pic:spPr>
                </pic:pic>
              </a:graphicData>
            </a:graphic>
          </wp:inline>
        </w:drawing>
      </w:r>
    </w:p>
    <w:p w14:paraId="00100068" w14:textId="00100069">
      <w:pPr>
        <w:spacing w:before="80" w:after="120"/>
        <w:jc w:val="center"/>
      </w:pPr>
      <w:r>
        <w:rPr>
          <w:rFonts w:ascii="Arial" w:hAnsi="Arial"/>
          <w:b w:val="0"/>
          <w:i/>
          <w:color w:val="5A646E"/>
          <w:sz w:val="17"/>
        </w:rPr>
        <w:t>Figure 1. End-to-end OFRA inference. The DP-Means router supplies soft class evidence; it is not a hard selector of one family head.</w:t>
      </w:r>
    </w:p>
    <w:p w14:paraId="0010006A" w14:textId="0010006B">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spacing w:after="100"/>
      </w:pPr>
      <w:r>
        <w:t>3.3 Training, metrics, and statistical boundary</w:t>
      </w:r>
      <w:r>
        <w:br/>
      </w:r>
    </w:p>
    <w:p w14:paraId="00100070" w14:textId="0010011E">
      <w:pPr>
        <w:spacing w:before="0" w:after="100" w:line="259" w:lineRule="auto"/>
        <w:jc w:val="both"/>
      </w:pPr>
      <w: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100122" w14:textId="00100123">
      <w:pPr>
        <w:pStyle w:val="Heading2"/>
      </w:pPr>
      <w:r>
        <w:rPr/>
        <w:t xml:space="preserve">3.4 Additive classifier-comparison protocol</w:t>
      </w:r>
    </w:p>
    <w:p w14:paraId="00100124" w14:textId="00100125">
      <w:pPr>
        <w:pStyle w:val="Normal"/>
      </w:pPr>
      <w:r>
        <w:rPr/>
        <w:t xml:space="preserve">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t xml:space="preserve">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t xml:space="preserve">3.5 SHAP explanation protocol</w:t>
      </w:r>
    </w:p>
    <w:p w14:paraId="00100074" w14:textId="00100075">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14:paraId="00100076" w14:textId="00100077">
      <w:pPr>
        <w:spacing w:before="0" w:after="100" w:line="259" w:lineRule="auto"/>
        <w:jc w:val="both"/>
      </w:pPr>
      <w:r>
        <w:t>For adjacent checkpoints, top-feature overlap is J(A,B)=|A intersection B|/|A union B|. The registered silent explanation-drift rule requires the class recall to fall by no more than 5 percentage points while top-15 Jaccard falls below 0.70. Both thresholds are project governance settings rather than externally validated standards. The event unit is a class-by-adjacent-checkpoint transition, not a packet, flow, sample, or real-world incident.</w:t>
      </w:r>
    </w:p>
    <w:p w14:paraId="00100078" w14:textId="00100117">
      <w:pPr>
        <w:pStyle w:val="Heading2"/>
        <w:keepNext/>
      </w:pPr>
      <w:r>
        <w:t xml:space="preserve">3.6 ETG governance scope</w:t>
      </w:r>
    </w:p>
    <w:p w14:paraId="0010007A" w14:textId="0010007B">
      <w:pPr>
        <w:spacing w:before="0" w:after="100" w:line="259" w:lineRule="auto"/>
        <w:jc w:val="both"/>
      </w:pPr>
      <w:r>
        <w:rPr>
          <w:rFonts w:ascii="Arial" w:hAnsi="Arial"/>
          <w:b w:val="0"/>
          <w:i w:val="0"/>
          <w:sz w:val="20"/>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analysis consumes stored OFRA checkpoint evidence for Malaya seed 1. ETG has therefore been connected to the actual routed-score evidence path, but it has not been evaluated as a closed loop that changes future routing, training, or replay.</w:t>
      </w:r>
    </w:p>
    <w:p w14:paraId="0010007C" w14:textId="00100118">
      <w:pPr>
        <w:pStyle w:val="Heading2"/>
        <w:keepNext/>
      </w:pPr>
      <w:r>
        <w:t xml:space="preserve">3.7 Attribution-method robustness protocol</w:t>
      </w:r>
    </w:p>
    <w:p w14:paraId="0010007E" w14:textId="001001A5">
      <w:pPr>
        <w:spacing w:before="0" w:after="100" w:line="259" w:lineRule="auto"/>
        <w:jc w:val="both"/>
      </w:pPr>
      <w:r>
        <w:rPr>
          <w:rFonts w:ascii="Arial" w:hAnsi="Arial"/>
          <w:b w:val="0"/>
          <w:i w:val="0"/>
          <w:sz w:val="20"/>
        </w:rPr>
        <w:t xml:space="preserve">The source-bound robustness pilot uses the same Malaya seed-1 checkpoints, fixed probes, joint-cap-3000 class margin, top-15 rule, random-control admission threshold, and ETG state machine. Its three primary rankings are Expected Gradients, single-feature ablation to the frozen checkpoint mean, and Gradient x Input. Pairwise top-15 Jaccard, admission agreement, ETG-state agreement, and transition-level silent-drift agreement are reported. Integrated Gradients were also attempted with a Task-0 mean baseline and 16-point Gauss-Legendre quadrature, but its completeness check failed on the piecewise routed score; it is retained as a numerical diagnostic and excluded from primary agreement claims. This design measures method dependence rather than assuming that any explainer is uniquely correct.</w:t>
      </w:r>
    </w:p>
    <w:p w14:paraId="001001A6" w14:textId="001001A7">
      <w:pPr>
        <w:pStyle w:val="Heading2"/>
      </w:pPr>
      <w:r>
        <w:rPr/>
        <w:t xml:space="preserve">3.8 No-look-ahead audit protocol</w:t>
      </w:r>
    </w:p>
    <w:p w14:paraId="001001A8" w14:textId="001001A9">
      <w:pPr>
        <w:spacing w:after="100"/>
        <w:jc w:val="both"/>
      </w:pPr>
      <w:r>
        <w:rPr/>
        <w:t xml:space="preserve">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pPr>
        <w:pStyle w:val="Heading2"/>
      </w:pPr>
      <w:r>
        <w:t>3.9 Paired checkpoint-selection protocol</w:t>
      </w:r>
    </w:p>
    <w:p>
      <w:r>
        <w:t>A ReplayIDS-aligned CIC-IDS-2017 D2 experiment compares two checkpoint rules under the same fixed split, seeds {1, 2, 3, 4, 42}, FT256x4 encoder, replay-50 budget, training trajectory, and official joint-cap-3,000 inference. The baseline uses each class head at its last epoch. The candidate selects the earliest epoch with maximum binary Macro-F1 on a training-only calibration holdout. Heartbleed has one calibration row and therefore uses the registered last-epoch fallback. The five seeds are paired training repetitions on one data split, not five independent datasets.</w:t>
      </w:r>
    </w:p>
    <w:p w14:paraId="00100080" w14:textId="00100081">
      <w:pPr>
        <w:pStyle w:val="Heading1"/>
        <w:keepNext/>
      </w:pPr>
      <w:r>
        <w:t>4. Results</w:t>
      </w:r>
    </w:p>
    <w:p w14:paraId="00100082" w14:textId="00100083">
      <w:pPr>
        <w:pStyle w:val="Heading2"/>
        <w:keepNext/>
      </w:pPr>
      <w:r>
        <w:t>4.1 RQ2: Explanation stability</w:t>
      </w:r>
    </w:p>
    <w:p w14:paraId="00100084" w14:textId="00100085">
      <w:pPr>
        <w:spacing w:before="0" w:after="100" w:line="259" w:lineRule="auto"/>
        <w:jc w:val="both"/>
      </w:pPr>
      <w:r>
        <w:rPr>
          <w:rFonts w:ascii="Arial" w:hAnsi="Arial"/>
          <w:b w:val="0"/>
          <w:i w:val="0"/>
          <w:sz w:val="20"/>
        </w:rPr>
        <w:t>In the completed Malaya seed-1 source-bound analysis, 17 class-by-adjacent-checkpoint transitions satisfy the eligibility rules and 12 meet the registered silent explanation-drift definition, giving 70.59%. This value must always be labelled as a single-seed Malaya result rather than a prevalence estimate, because the evidence unit is a registered class transition and not traffic volume or an operational incident.</w:t>
      </w:r>
    </w:p>
    <w:p w14:paraId="00100086" w14:textId="00100087">
      <w:pPr>
        <w:spacing w:before="0" w:after="100" w:line="259" w:lineRule="auto"/>
        <w:jc w:val="both"/>
      </w:pPr>
      <w:r>
        <w:t>The high event proportion shows that stable predictive evidence under the chosen tolerance does not guarantee stable top-feature membership. It does not establish that the model became unsafe, that the explanation was wrong, or that 70.59% of network flows drifted. A single-seed sensitivity grid over top-k {10, 15, 20}, Jaccard thresholds {0.6, 0.7, 0.8}, and allowed class-recall drops {2, 5, 10} percentage points confirms that the event rate is threshold-sensitive. The tolerance is class recall, not overall accuracy, and the grid does not establish a universal threshold.</w:t>
      </w:r>
    </w:p>
    <w:p w14:paraId="001001AA" w14:textId="001001AB">
      <w:pPr>
        <w:pStyle w:val="Heading2"/>
      </w:pPr>
      <w:r>
        <w:t>4.2 RQ2: Attribution-method robustness</w:t>
      </w:r>
    </w:p>
    <w:p w14:paraId="001001AC" w14:textId="001001B7">
      <w:pPr>
        <w:spacing w:after="100"/>
        <w:jc w:val="both"/>
      </w:pPr>
      <w:r>
        <w:rPr/>
        <w:t xml:space="preserve">The three primary methods agree on admission for 40.0% of 30 checkpoint-class rows, on ETG state for 43.3%, and on the silent-drift conclusion for 20.0% of 20 adjacent class transitions. Pairwise mean top-15 Jaccard ranges from 0.380 to 0.567. Expected Gradients reports 12/17 silent-drift events, feature ablation 0/17, and Gradient x Input 7/17. The result bounds rather than removes attribution dependence: ETG outcomes are method-conditioned, and the registered Expected-Gradients result is not treated as uniquely correct.</w:t>
      </w:r>
    </w:p>
    <w:p w14:paraId="001001EA" w14:textId="001001EB">
      <w:pPr>
        <w:pStyle w:val="Caption"/>
      </w:pPr>
      <w:r>
        <w:rPr/>
        <w:t xml:space="preserve">Table 2. Attribution-method agreement on the source-bound Malaya seed-1 routed score.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B8" w14:textId="001001F0">
            <w:pPr>
              <w:jc w:val="center"/>
            </w:pPr>
            <w:r>
              <w:rPr>
                <w:b/>
                <w:color w:val="0F2A43"/>
                <w:sz w:val="15"/>
              </w:rPr>
              <w:t xml:space="preserve">Pair</w:t>
            </w:r>
          </w:p>
        </w:tc>
        <w:tc>
          <w:tcPr>
            <w:shd w:val="clear" w:fill="EAF0F5"/>
          </w:tcPr>
          <w:p w14:paraId="001001BA" w14:textId="001001F1">
            <w:pPr>
              <w:jc w:val="center"/>
            </w:pPr>
            <w:r>
              <w:rPr>
                <w:b/>
                <w:color w:val="0F2A43"/>
                <w:sz w:val="15"/>
              </w:rPr>
              <w:t xml:space="preserve">Top-15 Jaccard</w:t>
            </w:r>
          </w:p>
        </w:tc>
        <w:tc>
          <w:tcPr>
            <w:shd w:val="clear" w:fill="EAF0F5"/>
          </w:tcPr>
          <w:p w14:paraId="001001BC" w14:textId="001001F2">
            <w:pPr>
              <w:jc w:val="center"/>
            </w:pPr>
            <w:r>
              <w:rPr>
                <w:b/>
                <w:color w:val="0F2A43"/>
                <w:sz w:val="15"/>
              </w:rPr>
              <w:t xml:space="preserve">Admission</w:t>
            </w:r>
          </w:p>
        </w:tc>
        <w:tc>
          <w:tcPr>
            <w:shd w:val="clear" w:fill="EAF0F5"/>
          </w:tcPr>
          <w:p w14:paraId="001001BE" w14:textId="001001F3">
            <w:pPr>
              <w:jc w:val="center"/>
            </w:pPr>
            <w:r>
              <w:rPr>
                <w:b/>
                <w:color w:val="0F2A43"/>
                <w:sz w:val="15"/>
              </w:rPr>
              <w:t xml:space="preserve">ETG state</w:t>
            </w:r>
          </w:p>
        </w:tc>
        <w:tc>
          <w:tcPr>
            <w:shd w:val="clear" w:fill="EAF0F5"/>
          </w:tcPr>
          <w:p w14:paraId="001001C0" w14:textId="001001F4">
            <w:pPr>
              <w:jc w:val="center"/>
            </w:pPr>
            <w:r>
              <w:rPr>
                <w:b/>
                <w:color w:val="0F2A43"/>
                <w:sz w:val="15"/>
              </w:rPr>
              <w:t xml:space="preserve">Drift event</w:t>
            </w:r>
          </w:p>
        </w:tc>
      </w:tr>
      <w:tr>
        <w:trPr/>
        <w:tc>
          <w:p w14:paraId="001001C2" w14:textId="001001F5">
            <w:pPr/>
            <w:r>
              <w:rPr>
                <w:sz w:val="15"/>
              </w:rPr>
              <w:t xml:space="preserve">Expected vs ablation</w:t>
            </w:r>
          </w:p>
        </w:tc>
        <w:tc>
          <w:p w14:paraId="001001C4" w14:textId="001001F6">
            <w:pPr>
              <w:jc w:val="center"/>
            </w:pPr>
            <w:r>
              <w:rPr>
                <w:sz w:val="15"/>
              </w:rPr>
              <w:t xml:space="preserve">0.567</w:t>
            </w:r>
          </w:p>
        </w:tc>
        <w:tc>
          <w:p w14:paraId="001001C6" w14:textId="001001F7">
            <w:pPr>
              <w:jc w:val="center"/>
            </w:pPr>
            <w:r>
              <w:rPr>
                <w:sz w:val="15"/>
              </w:rPr>
              <w:t xml:space="preserve">56.7%</w:t>
            </w:r>
          </w:p>
        </w:tc>
        <w:tc>
          <w:p w14:paraId="001001C8" w14:textId="001001F8">
            <w:pPr>
              <w:jc w:val="center"/>
            </w:pPr>
            <w:r>
              <w:rPr>
                <w:sz w:val="15"/>
              </w:rPr>
              <w:t xml:space="preserve">60.0%</w:t>
            </w:r>
          </w:p>
        </w:tc>
        <w:tc>
          <w:p w14:paraId="001001CA" w14:textId="001001F9">
            <w:pPr>
              <w:jc w:val="center"/>
            </w:pPr>
            <w:r>
              <w:rPr>
                <w:sz w:val="15"/>
              </w:rPr>
              <w:t xml:space="preserve">40.0%</w:t>
            </w:r>
          </w:p>
        </w:tc>
      </w:tr>
      <w:tr>
        <w:trPr/>
        <w:tc>
          <w:p w14:paraId="001001CC" w14:textId="001001FA">
            <w:pPr/>
            <w:r>
              <w:rPr>
                <w:sz w:val="15"/>
              </w:rPr>
              <w:t xml:space="preserve">Expected vs Grad x Input</w:t>
            </w:r>
          </w:p>
        </w:tc>
        <w:tc>
          <w:p w14:paraId="001001CE" w14:textId="001001FB">
            <w:pPr>
              <w:jc w:val="center"/>
            </w:pPr>
            <w:r>
              <w:rPr>
                <w:sz w:val="15"/>
              </w:rPr>
              <w:t xml:space="preserve">0.380</w:t>
            </w:r>
          </w:p>
        </w:tc>
        <w:tc>
          <w:p w14:paraId="001001D0" w14:textId="001001FC">
            <w:pPr>
              <w:jc w:val="center"/>
            </w:pPr>
            <w:r>
              <w:rPr>
                <w:sz w:val="15"/>
              </w:rPr>
              <w:t xml:space="preserve">63.3%</w:t>
            </w:r>
          </w:p>
        </w:tc>
        <w:tc>
          <w:p w14:paraId="001001D2" w14:textId="001001FD">
            <w:pPr>
              <w:jc w:val="center"/>
            </w:pPr>
            <w:r>
              <w:rPr>
                <w:sz w:val="15"/>
              </w:rPr>
              <w:t xml:space="preserve">60.0%</w:t>
            </w:r>
          </w:p>
        </w:tc>
        <w:tc>
          <w:p w14:paraId="001001D4" w14:textId="001001FE">
            <w:pPr>
              <w:jc w:val="center"/>
            </w:pPr>
            <w:r>
              <w:rPr>
                <w:sz w:val="15"/>
              </w:rPr>
              <w:t xml:space="preserve">35.0%</w:t>
            </w:r>
          </w:p>
        </w:tc>
      </w:tr>
      <w:tr>
        <w:trPr/>
        <w:tc>
          <w:p w14:paraId="001001D6" w14:textId="001001FF">
            <w:pPr/>
            <w:r>
              <w:rPr>
                <w:sz w:val="15"/>
              </w:rPr>
              <w:t xml:space="preserve">Ablation vs Grad x Input</w:t>
            </w:r>
          </w:p>
        </w:tc>
        <w:tc>
          <w:p w14:paraId="001001D8" w14:textId="00100200">
            <w:pPr>
              <w:jc w:val="center"/>
            </w:pPr>
            <w:r>
              <w:rPr>
                <w:sz w:val="15"/>
              </w:rPr>
              <w:t xml:space="preserve">0.405</w:t>
            </w:r>
          </w:p>
        </w:tc>
        <w:tc>
          <w:p w14:paraId="001001DA" w14:textId="00100201">
            <w:pPr>
              <w:jc w:val="center"/>
            </w:pPr>
            <w:r>
              <w:rPr>
                <w:sz w:val="15"/>
              </w:rPr>
              <w:t xml:space="preserve">60.0%</w:t>
            </w:r>
          </w:p>
        </w:tc>
        <w:tc>
          <w:p w14:paraId="001001DC" w14:textId="00100202">
            <w:pPr>
              <w:jc w:val="center"/>
            </w:pPr>
            <w:r>
              <w:rPr>
                <w:sz w:val="15"/>
              </w:rPr>
              <w:t xml:space="preserve">56.7%</w:t>
            </w:r>
          </w:p>
        </w:tc>
        <w:tc>
          <w:p w14:paraId="001001DE" w14:textId="00100203">
            <w:pPr>
              <w:jc w:val="center"/>
            </w:pPr>
            <w:r>
              <w:rPr>
                <w:sz w:val="15"/>
              </w:rPr>
              <w:t xml:space="preserve">65.0%</w:t>
            </w:r>
          </w:p>
        </w:tc>
      </w:tr>
    </w:tbl>
    <w:p w14:paraId="001001EC" w14:textId="001001ED">
      <w:pPr>
        <w:spacing w:after="100"/>
        <w:jc w:val="both"/>
      </w:pPr>
      <w:r>
        <w:rPr/>
        <w:t xml:space="preserve">Integrated Gradients are excluded from Table 2 because their completeness check failed (mean row-level error 11.58; maximum 373.72). They are retained as a failed numerical diagnostic. The three valid rankings quantify sensitivity but do not determine which explainer is causally correct.</w:t>
      </w:r>
    </w:p>
    <w:p w14:paraId="00100088" w14:textId="001001AE">
      <w:pPr>
        <w:pStyle w:val="Heading2"/>
        <w:keepNext/>
      </w:pPr>
      <w:r>
        <w:t>4.3 RQ1: Predictive performance and retention</w:t>
      </w:r>
    </w:p>
    <w:p w14:paraId="0010008A" w14:textId="0010008B">
      <w:pPr>
        <w:jc w:val="center"/>
      </w:pPr>
      <w:r>
        <w:drawing>
          <wp:inline>
            <wp:extent cx="6035040" cy="1949782"/>
            <wp:docPr id="4" name="Picture 4"/>
            <wp:cNvGraphicFramePr>
              <a:graphicFrameLocks noChangeAspect="1"/>
            </wp:cNvGraphicFramePr>
            <a:graphic>
              <a:graphicData uri="http://schemas.openxmlformats.org/drawingml/2006/picture">
                <pic:pic>
                  <pic:nvPicPr>
                    <pic:cNvPr id="0" name="current_four_dataset_comparison.png"/>
                    <pic:cNvPicPr/>
                  </pic:nvPicPr>
                  <pic:blipFill>
                    <a:blip r:embed="rId14"/>
                    <a:stretch>
                      <a:fillRect/>
                    </a:stretch>
                  </pic:blipFill>
                  <pic:spPr>
                    <a:xfrm>
                      <a:off x="0" y="0"/>
                      <a:ext cx="6035040" cy="1949782"/>
                    </a:xfrm>
                    <a:prstGeom prst="rect"/>
                  </pic:spPr>
                </pic:pic>
              </a:graphicData>
            </a:graphic>
          </wp:inline>
        </w:drawing>
      </w:r>
    </w:p>
    <w:p w14:paraId="0010008C" w14:textId="0010008D">
      <w:pPr>
        <w:spacing w:before="80" w:after="120"/>
        <w:jc w:val="center"/>
      </w:pPr>
      <w:r>
        <w:t>Figure 2. Head-only versus joint-cap current strict five-seed means. Capacities are disclosed by dataset and are not pooled.</w:t>
      </w:r>
    </w:p>
    <w:p w14:paraId="0010008E" w14:textId="001001EE">
      <w:pPr>
        <w:spacing w:before="80" w:after="120"/>
        <w:jc w:val="center"/>
      </w:pPr>
      <w:r>
        <w:t>Table 3. Current strict five-seed prediction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c>
          <w:tcPr>
            <w:tcW w:w="1300" w:type="dxa"/>
            <w:shd w:val="clear" w:fill="EAF0F5"/>
            <w:tcMar>
              <w:top w:w="20" w:type="dxa"/>
              <w:start w:w="55" w:type="dxa"/>
              <w:bottom w:w="20" w:type="dxa"/>
              <w:end w:w="55" w:type="dxa"/>
            </w:tcMar>
            <w:vAlign w:val="center"/>
          </w:tcPr>
          <w:p>
            <w:pPr>
              <w:spacing w:after="0" w:before="0" w:line="216" w:lineRule="auto"/>
            </w:pPr>
            <w:r>
              <w:rPr>
                <w:sz w:val="14"/>
              </w:rPr>
              <w:t>Dataset / model</w:t>
            </w:r>
          </w:p>
        </w:tc>
        <w:tc>
          <w:tcPr>
            <w:tcW w:w="1350" w:type="dxa"/>
            <w:shd w:val="clear" w:fill="EAF0F5"/>
            <w:tcMar>
              <w:top w:w="20" w:type="dxa"/>
              <w:start w:w="55" w:type="dxa"/>
              <w:bottom w:w="20" w:type="dxa"/>
              <w:end w:w="55" w:type="dxa"/>
            </w:tcMar>
            <w:vAlign w:val="center"/>
          </w:tcPr>
          <w:p>
            <w:pPr>
              <w:spacing w:after="0" w:before="0" w:line="216" w:lineRule="auto"/>
            </w:pPr>
            <w:r>
              <w:rPr>
                <w:sz w:val="14"/>
              </w:rPr>
              <w:t>Arm</w:t>
            </w:r>
          </w:p>
        </w:tc>
        <w:tc>
          <w:tcPr>
            <w:tcW w:w="1650" w:type="dxa"/>
            <w:shd w:val="clear" w:fill="EAF0F5"/>
            <w:tcMar>
              <w:top w:w="20" w:type="dxa"/>
              <w:start w:w="55" w:type="dxa"/>
              <w:bottom w:w="20" w:type="dxa"/>
              <w:end w:w="55" w:type="dxa"/>
            </w:tcMar>
            <w:vAlign w:val="center"/>
          </w:tcPr>
          <w:p>
            <w:pPr>
              <w:spacing w:after="0" w:before="0" w:line="216" w:lineRule="auto"/>
            </w:pPr>
            <w:r>
              <w:rPr>
                <w:sz w:val="14"/>
              </w:rPr>
              <w:t>Accuracy</w:t>
            </w:r>
          </w:p>
        </w:tc>
        <w:tc>
          <w:tcPr>
            <w:tcW w:w="1650" w:type="dxa"/>
            <w:shd w:val="clear" w:fill="EAF0F5"/>
            <w:tcMar>
              <w:top w:w="20" w:type="dxa"/>
              <w:start w:w="55" w:type="dxa"/>
              <w:bottom w:w="20" w:type="dxa"/>
              <w:end w:w="55" w:type="dxa"/>
            </w:tcMar>
            <w:vAlign w:val="center"/>
          </w:tcPr>
          <w:p>
            <w:pPr>
              <w:spacing w:after="0" w:before="0" w:line="216" w:lineRule="auto"/>
            </w:pPr>
            <w:r>
              <w:rPr>
                <w:sz w:val="14"/>
              </w:rPr>
              <w:t>Macro-F1</w:t>
            </w:r>
          </w:p>
        </w:tc>
        <w:tc>
          <w:tcPr>
            <w:tcW w:w="1700" w:type="dxa"/>
            <w:shd w:val="clear" w:fill="EAF0F5"/>
            <w:tcMar>
              <w:top w:w="20" w:type="dxa"/>
              <w:start w:w="55" w:type="dxa"/>
              <w:bottom w:w="20" w:type="dxa"/>
              <w:end w:w="55" w:type="dxa"/>
            </w:tcMar>
            <w:vAlign w:val="center"/>
          </w:tcPr>
          <w:p>
            <w:pPr>
              <w:spacing w:after="0" w:before="0" w:line="216" w:lineRule="auto"/>
            </w:pPr>
            <w:r>
              <w:rPr>
                <w:sz w:val="14"/>
              </w:rPr>
              <w:t>Balanced acc.</w:t>
            </w:r>
          </w:p>
        </w:tc>
        <w:tc>
          <w:tcPr>
            <w:tcW w:w="1710" w:type="dxa"/>
            <w:shd w:val="clear" w:fill="EAF0F5"/>
            <w:tcMar>
              <w:top w:w="20" w:type="dxa"/>
              <w:start w:w="55" w:type="dxa"/>
              <w:bottom w:w="20" w:type="dxa"/>
              <w:end w:w="55" w:type="dxa"/>
            </w:tcMar>
            <w:vAlign w:val="center"/>
          </w:tcPr>
          <w:p>
            <w:pPr>
              <w:spacing w:after="0" w:before="0" w:line="216" w:lineRule="auto"/>
            </w:pPr>
            <w:r>
              <w:rPr>
                <w:sz w:val="14"/>
              </w:rPr>
              <w:t>Forgetting</w:t>
            </w:r>
          </w:p>
        </w:tc>
      </w:tr>
      <w:tr>
        <w:tc>
          <w:tcPr>
            <w:tcW w:w="1300" w:type="dxa"/>
            <w:tcMar>
              <w:top w:w="20" w:type="dxa"/>
              <w:start w:w="55" w:type="dxa"/>
              <w:bottom w:w="20" w:type="dxa"/>
              <w:end w:w="55" w:type="dxa"/>
            </w:tcMar>
            <w:vAlign w:val="center"/>
          </w:tcPr>
          <w:p>
            <w:pPr>
              <w:spacing w:after="0" w:before="0" w:line="216" w:lineRule="auto"/>
            </w:pPr>
            <w:r>
              <w:rPr>
                <w:sz w:val="14"/>
              </w:rPr>
              <w:t>NSL-KDD</w:t>
              <w:br/>
              <w:t>FT256x4</w:t>
            </w:r>
          </w:p>
        </w:tc>
        <w:tc>
          <w:tcPr>
            <w:tcW w:w="1350" w:type="dxa"/>
            <w:tcMar>
              <w:top w:w="20" w:type="dxa"/>
              <w:start w:w="55" w:type="dxa"/>
              <w:bottom w:w="20" w:type="dxa"/>
              <w:end w:w="55" w:type="dxa"/>
            </w:tcMar>
            <w:vAlign w:val="center"/>
          </w:tcPr>
          <w:p>
            <w:pPr>
              <w:spacing w:after="0" w:before="0" w:line="216" w:lineRule="auto"/>
            </w:pPr>
            <w:r>
              <w:rPr>
                <w:sz w:val="14"/>
              </w:rPr>
              <w:t>Head only</w:t>
            </w:r>
          </w:p>
        </w:tc>
        <w:tc>
          <w:tcPr>
            <w:tcW w:w="1650" w:type="dxa"/>
            <w:tcMar>
              <w:top w:w="20" w:type="dxa"/>
              <w:start w:w="55" w:type="dxa"/>
              <w:bottom w:w="20" w:type="dxa"/>
              <w:end w:w="55" w:type="dxa"/>
            </w:tcMar>
            <w:vAlign w:val="center"/>
          </w:tcPr>
          <w:p>
            <w:pPr>
              <w:spacing w:after="0" w:before="0" w:line="216" w:lineRule="auto"/>
            </w:pPr>
            <w:r>
              <w:rPr>
                <w:sz w:val="14"/>
              </w:rPr>
              <w:t>56.29</w:t>
            </w:r>
          </w:p>
        </w:tc>
        <w:tc>
          <w:tcPr>
            <w:tcW w:w="1650" w:type="dxa"/>
            <w:tcMar>
              <w:top w:w="20" w:type="dxa"/>
              <w:start w:w="55" w:type="dxa"/>
              <w:bottom w:w="20" w:type="dxa"/>
              <w:end w:w="55" w:type="dxa"/>
            </w:tcMar>
            <w:vAlign w:val="center"/>
          </w:tcPr>
          <w:p>
            <w:pPr>
              <w:spacing w:after="0" w:before="0" w:line="216" w:lineRule="auto"/>
            </w:pPr>
            <w:r>
              <w:rPr>
                <w:sz w:val="14"/>
              </w:rPr>
              <w:t>31.08</w:t>
            </w:r>
          </w:p>
        </w:tc>
        <w:tc>
          <w:tcPr>
            <w:tcW w:w="1700" w:type="dxa"/>
            <w:tcMar>
              <w:top w:w="20" w:type="dxa"/>
              <w:start w:w="55" w:type="dxa"/>
              <w:bottom w:w="20" w:type="dxa"/>
              <w:end w:w="55" w:type="dxa"/>
            </w:tcMar>
            <w:vAlign w:val="center"/>
          </w:tcPr>
          <w:p>
            <w:pPr>
              <w:spacing w:after="0" w:before="0" w:line="216" w:lineRule="auto"/>
            </w:pPr>
            <w:r>
              <w:rPr>
                <w:sz w:val="14"/>
              </w:rPr>
              <w:t>36.48</w:t>
            </w:r>
          </w:p>
        </w:tc>
        <w:tc>
          <w:tcPr>
            <w:tcW w:w="1710" w:type="dxa"/>
            <w:tcMar>
              <w:top w:w="20" w:type="dxa"/>
              <w:start w:w="55" w:type="dxa"/>
              <w:bottom w:w="20" w:type="dxa"/>
              <w:end w:w="55" w:type="dxa"/>
            </w:tcMar>
            <w:vAlign w:val="center"/>
          </w:tcPr>
          <w:p>
            <w:pPr>
              <w:spacing w:after="0" w:before="0" w:line="216" w:lineRule="auto"/>
            </w:pPr>
            <w:r>
              <w:rPr>
                <w:sz w:val="14"/>
              </w:rPr>
              <w:t>8.14 pp</w:t>
            </w:r>
          </w:p>
        </w:tc>
      </w:tr>
      <w:tr>
        <w:tc>
          <w:tcPr>
            <w:tcW w:w="1300" w:type="dxa"/>
            <w:tcMar>
              <w:top w:w="20" w:type="dxa"/>
              <w:start w:w="55" w:type="dxa"/>
              <w:bottom w:w="20" w:type="dxa"/>
              <w:end w:w="55" w:type="dxa"/>
            </w:tcMar>
            <w:vAlign w:val="center"/>
          </w:tcPr>
          <w:p>
            <w:pPr>
              <w:spacing w:after="0" w:before="0" w:line="216" w:lineRule="auto"/>
            </w:pPr>
            <w:r>
              <w:rPr>
                <w:sz w:val="14"/>
              </w:rPr>
              <w:t>NSL-KDD</w:t>
              <w:br/>
              <w:t>FT256x4</w:t>
            </w:r>
          </w:p>
        </w:tc>
        <w:tc>
          <w:tcPr>
            <w:tcW w:w="1350" w:type="dxa"/>
            <w:tcMar>
              <w:top w:w="20" w:type="dxa"/>
              <w:start w:w="55" w:type="dxa"/>
              <w:bottom w:w="20" w:type="dxa"/>
              <w:end w:w="55" w:type="dxa"/>
            </w:tcMar>
            <w:vAlign w:val="center"/>
          </w:tcPr>
          <w:p>
            <w:pPr>
              <w:spacing w:after="0" w:before="0" w:line="216" w:lineRule="auto"/>
            </w:pPr>
            <w:r>
              <w:rPr>
                <w:sz w:val="14"/>
              </w:rPr>
              <w:t>Joint cap</w:t>
            </w:r>
          </w:p>
        </w:tc>
        <w:tc>
          <w:tcPr>
            <w:tcW w:w="1650" w:type="dxa"/>
            <w:tcMar>
              <w:top w:w="20" w:type="dxa"/>
              <w:start w:w="55" w:type="dxa"/>
              <w:bottom w:w="20" w:type="dxa"/>
              <w:end w:w="55" w:type="dxa"/>
            </w:tcMar>
            <w:vAlign w:val="center"/>
          </w:tcPr>
          <w:p>
            <w:pPr>
              <w:spacing w:after="0" w:before="0" w:line="216" w:lineRule="auto"/>
            </w:pPr>
            <w:r>
              <w:rPr>
                <w:sz w:val="14"/>
              </w:rPr>
              <w:t>71.56</w:t>
            </w:r>
          </w:p>
        </w:tc>
        <w:tc>
          <w:tcPr>
            <w:tcW w:w="1650" w:type="dxa"/>
            <w:tcMar>
              <w:top w:w="20" w:type="dxa"/>
              <w:start w:w="55" w:type="dxa"/>
              <w:bottom w:w="20" w:type="dxa"/>
              <w:end w:w="55" w:type="dxa"/>
            </w:tcMar>
            <w:vAlign w:val="center"/>
          </w:tcPr>
          <w:p>
            <w:pPr>
              <w:spacing w:after="0" w:before="0" w:line="216" w:lineRule="auto"/>
            </w:pPr>
            <w:r>
              <w:rPr>
                <w:sz w:val="14"/>
              </w:rPr>
              <w:t>41.46</w:t>
            </w:r>
          </w:p>
        </w:tc>
        <w:tc>
          <w:tcPr>
            <w:tcW w:w="1700" w:type="dxa"/>
            <w:tcMar>
              <w:top w:w="20" w:type="dxa"/>
              <w:start w:w="55" w:type="dxa"/>
              <w:bottom w:w="20" w:type="dxa"/>
              <w:end w:w="55" w:type="dxa"/>
            </w:tcMar>
            <w:vAlign w:val="center"/>
          </w:tcPr>
          <w:p>
            <w:pPr>
              <w:spacing w:after="0" w:before="0" w:line="216" w:lineRule="auto"/>
            </w:pPr>
            <w:r>
              <w:rPr>
                <w:sz w:val="14"/>
              </w:rPr>
              <w:t>42.25</w:t>
            </w:r>
          </w:p>
        </w:tc>
        <w:tc>
          <w:tcPr>
            <w:tcW w:w="1710" w:type="dxa"/>
            <w:tcMar>
              <w:top w:w="20" w:type="dxa"/>
              <w:start w:w="55" w:type="dxa"/>
              <w:bottom w:w="20" w:type="dxa"/>
              <w:end w:w="55" w:type="dxa"/>
            </w:tcMar>
            <w:vAlign w:val="center"/>
          </w:tcPr>
          <w:p>
            <w:pPr>
              <w:spacing w:after="0" w:before="0" w:line="216" w:lineRule="auto"/>
            </w:pPr>
            <w:r>
              <w:rPr>
                <w:sz w:val="14"/>
              </w:rPr>
              <w:t>1.60 pp</w:t>
            </w:r>
          </w:p>
        </w:tc>
      </w:tr>
      <w:tr>
        <w:tc>
          <w:tcPr>
            <w:tcW w:w="1300" w:type="dxa"/>
            <w:tcMar>
              <w:top w:w="20" w:type="dxa"/>
              <w:start w:w="55" w:type="dxa"/>
              <w:bottom w:w="20" w:type="dxa"/>
              <w:end w:w="55" w:type="dxa"/>
            </w:tcMar>
            <w:vAlign w:val="center"/>
          </w:tcPr>
          <w:p>
            <w:pPr>
              <w:spacing w:after="0" w:before="0" w:line="216" w:lineRule="auto"/>
            </w:pPr>
            <w:r>
              <w:rPr>
                <w:sz w:val="14"/>
              </w:rPr>
              <w:t>UNSW-NB15</w:t>
              <w:br/>
              <w:t>FT256x4</w:t>
            </w:r>
          </w:p>
        </w:tc>
        <w:tc>
          <w:tcPr>
            <w:tcW w:w="1350" w:type="dxa"/>
            <w:tcMar>
              <w:top w:w="20" w:type="dxa"/>
              <w:start w:w="55" w:type="dxa"/>
              <w:bottom w:w="20" w:type="dxa"/>
              <w:end w:w="55" w:type="dxa"/>
            </w:tcMar>
            <w:vAlign w:val="center"/>
          </w:tcPr>
          <w:p>
            <w:pPr>
              <w:spacing w:after="0" w:before="0" w:line="216" w:lineRule="auto"/>
            </w:pPr>
            <w:r>
              <w:rPr>
                <w:sz w:val="14"/>
              </w:rPr>
              <w:t>Head only</w:t>
            </w:r>
          </w:p>
        </w:tc>
        <w:tc>
          <w:tcPr>
            <w:tcW w:w="1650" w:type="dxa"/>
            <w:tcMar>
              <w:top w:w="20" w:type="dxa"/>
              <w:start w:w="55" w:type="dxa"/>
              <w:bottom w:w="20" w:type="dxa"/>
              <w:end w:w="55" w:type="dxa"/>
            </w:tcMar>
            <w:vAlign w:val="center"/>
          </w:tcPr>
          <w:p>
            <w:pPr>
              <w:spacing w:after="0" w:before="0" w:line="216" w:lineRule="auto"/>
            </w:pPr>
            <w:r>
              <w:rPr>
                <w:sz w:val="14"/>
              </w:rPr>
              <w:t>68.78</w:t>
            </w:r>
          </w:p>
        </w:tc>
        <w:tc>
          <w:tcPr>
            <w:tcW w:w="1650" w:type="dxa"/>
            <w:tcMar>
              <w:top w:w="20" w:type="dxa"/>
              <w:start w:w="55" w:type="dxa"/>
              <w:bottom w:w="20" w:type="dxa"/>
              <w:end w:w="55" w:type="dxa"/>
            </w:tcMar>
            <w:vAlign w:val="center"/>
          </w:tcPr>
          <w:p>
            <w:pPr>
              <w:spacing w:after="0" w:before="0" w:line="216" w:lineRule="auto"/>
            </w:pPr>
            <w:r>
              <w:rPr>
                <w:sz w:val="14"/>
              </w:rPr>
              <w:t>21.16</w:t>
            </w:r>
          </w:p>
        </w:tc>
        <w:tc>
          <w:tcPr>
            <w:tcW w:w="1700" w:type="dxa"/>
            <w:tcMar>
              <w:top w:w="20" w:type="dxa"/>
              <w:start w:w="55" w:type="dxa"/>
              <w:bottom w:w="20" w:type="dxa"/>
              <w:end w:w="55" w:type="dxa"/>
            </w:tcMar>
            <w:vAlign w:val="center"/>
          </w:tcPr>
          <w:p>
            <w:pPr>
              <w:spacing w:after="0" w:before="0" w:line="216" w:lineRule="auto"/>
            </w:pPr>
            <w:r>
              <w:rPr>
                <w:sz w:val="14"/>
              </w:rPr>
              <w:t>23.52</w:t>
            </w:r>
          </w:p>
        </w:tc>
        <w:tc>
          <w:tcPr>
            <w:tcW w:w="1710" w:type="dxa"/>
            <w:tcMar>
              <w:top w:w="20" w:type="dxa"/>
              <w:start w:w="55" w:type="dxa"/>
              <w:bottom w:w="20" w:type="dxa"/>
              <w:end w:w="55" w:type="dxa"/>
            </w:tcMar>
            <w:vAlign w:val="center"/>
          </w:tcPr>
          <w:p>
            <w:pPr>
              <w:spacing w:after="0" w:before="0" w:line="216" w:lineRule="auto"/>
            </w:pPr>
            <w:r>
              <w:rPr>
                <w:sz w:val="14"/>
              </w:rPr>
              <w:t>2.68 pp</w:t>
            </w:r>
          </w:p>
        </w:tc>
      </w:tr>
      <w:tr>
        <w:tc>
          <w:tcPr>
            <w:tcW w:w="1300" w:type="dxa"/>
            <w:tcMar>
              <w:top w:w="20" w:type="dxa"/>
              <w:start w:w="55" w:type="dxa"/>
              <w:bottom w:w="20" w:type="dxa"/>
              <w:end w:w="55" w:type="dxa"/>
            </w:tcMar>
            <w:vAlign w:val="center"/>
          </w:tcPr>
          <w:p>
            <w:pPr>
              <w:spacing w:after="0" w:before="0" w:line="216" w:lineRule="auto"/>
            </w:pPr>
            <w:r>
              <w:rPr>
                <w:sz w:val="14"/>
              </w:rPr>
              <w:t>UNSW-NB15</w:t>
              <w:br/>
              <w:t>FT256x4</w:t>
            </w:r>
          </w:p>
        </w:tc>
        <w:tc>
          <w:tcPr>
            <w:tcW w:w="1350" w:type="dxa"/>
            <w:tcMar>
              <w:top w:w="20" w:type="dxa"/>
              <w:start w:w="55" w:type="dxa"/>
              <w:bottom w:w="20" w:type="dxa"/>
              <w:end w:w="55" w:type="dxa"/>
            </w:tcMar>
            <w:vAlign w:val="center"/>
          </w:tcPr>
          <w:p>
            <w:pPr>
              <w:spacing w:after="0" w:before="0" w:line="216" w:lineRule="auto"/>
            </w:pPr>
            <w:r>
              <w:rPr>
                <w:sz w:val="14"/>
              </w:rPr>
              <w:t>Joint cap</w:t>
            </w:r>
          </w:p>
        </w:tc>
        <w:tc>
          <w:tcPr>
            <w:tcW w:w="1650" w:type="dxa"/>
            <w:tcMar>
              <w:top w:w="20" w:type="dxa"/>
              <w:start w:w="55" w:type="dxa"/>
              <w:bottom w:w="20" w:type="dxa"/>
              <w:end w:w="55" w:type="dxa"/>
            </w:tcMar>
            <w:vAlign w:val="center"/>
          </w:tcPr>
          <w:p>
            <w:pPr>
              <w:spacing w:after="0" w:before="0" w:line="216" w:lineRule="auto"/>
            </w:pPr>
            <w:r>
              <w:rPr>
                <w:sz w:val="14"/>
              </w:rPr>
              <w:t>61.95</w:t>
            </w:r>
          </w:p>
        </w:tc>
        <w:tc>
          <w:tcPr>
            <w:tcW w:w="1650" w:type="dxa"/>
            <w:tcMar>
              <w:top w:w="20" w:type="dxa"/>
              <w:start w:w="55" w:type="dxa"/>
              <w:bottom w:w="20" w:type="dxa"/>
              <w:end w:w="55" w:type="dxa"/>
            </w:tcMar>
            <w:vAlign w:val="center"/>
          </w:tcPr>
          <w:p>
            <w:pPr>
              <w:spacing w:after="0" w:before="0" w:line="216" w:lineRule="auto"/>
            </w:pPr>
            <w:r>
              <w:rPr>
                <w:sz w:val="14"/>
              </w:rPr>
              <w:t>23.50</w:t>
            </w:r>
          </w:p>
        </w:tc>
        <w:tc>
          <w:tcPr>
            <w:tcW w:w="1700" w:type="dxa"/>
            <w:tcMar>
              <w:top w:w="20" w:type="dxa"/>
              <w:start w:w="55" w:type="dxa"/>
              <w:bottom w:w="20" w:type="dxa"/>
              <w:end w:w="55" w:type="dxa"/>
            </w:tcMar>
            <w:vAlign w:val="center"/>
          </w:tcPr>
          <w:p>
            <w:pPr>
              <w:spacing w:after="0" w:before="0" w:line="216" w:lineRule="auto"/>
            </w:pPr>
            <w:r>
              <w:rPr>
                <w:sz w:val="14"/>
              </w:rPr>
              <w:t>28.45</w:t>
            </w:r>
          </w:p>
        </w:tc>
        <w:tc>
          <w:tcPr>
            <w:tcW w:w="1710" w:type="dxa"/>
            <w:tcMar>
              <w:top w:w="20" w:type="dxa"/>
              <w:start w:w="55" w:type="dxa"/>
              <w:bottom w:w="20" w:type="dxa"/>
              <w:end w:w="55" w:type="dxa"/>
            </w:tcMar>
            <w:vAlign w:val="center"/>
          </w:tcPr>
          <w:p>
            <w:pPr>
              <w:spacing w:after="0" w:before="0" w:line="216" w:lineRule="auto"/>
            </w:pPr>
            <w:r>
              <w:rPr>
                <w:sz w:val="14"/>
              </w:rPr>
              <w:t>8.97 pp</w:t>
            </w:r>
          </w:p>
        </w:tc>
      </w:tr>
      <w:tr>
        <w:tc>
          <w:tcPr>
            <w:tcW w:type="dxa" w:w="1300"/>
            <w:vAlign w:val="center"/>
            <w:tcMar>
              <w:top w:w="20" w:type="dxa"/>
              <w:start w:w="55" w:type="dxa"/>
              <w:bottom w:w="20" w:type="dxa"/>
              <w:end w:w="55" w:type="dxa"/>
            </w:tcMar>
          </w:tcPr>
          <w:p>
            <w:pPr>
              <w:spacing w:after="0" w:before="0" w:line="216" w:lineRule="auto"/>
            </w:pPr>
            <w:r>
              <w:rPr>
                <w:sz w:val="14"/>
              </w:rPr>
              <w:t>CIC-IDS-2017</w:t>
              <w:br/>
              <w:t>FT256x4</w:t>
            </w:r>
          </w:p>
        </w:tc>
        <w:tc>
          <w:tcPr>
            <w:tcW w:type="dxa" w:w="1350"/>
            <w:vAlign w:val="center"/>
            <w:tcMar>
              <w:top w:w="20" w:type="dxa"/>
              <w:start w:w="55" w:type="dxa"/>
              <w:bottom w:w="20" w:type="dxa"/>
              <w:end w:w="55" w:type="dxa"/>
            </w:tcMar>
          </w:tcPr>
          <w:p>
            <w:pPr>
              <w:spacing w:after="0" w:before="0" w:line="216" w:lineRule="auto"/>
            </w:pPr>
            <w:r>
              <w:rPr>
                <w:sz w:val="14"/>
              </w:rPr>
              <w:t>Head only</w:t>
            </w:r>
          </w:p>
        </w:tc>
        <w:tc>
          <w:tcPr>
            <w:tcW w:type="dxa" w:w="1650"/>
            <w:vAlign w:val="center"/>
            <w:tcMar>
              <w:top w:w="20" w:type="dxa"/>
              <w:start w:w="55" w:type="dxa"/>
              <w:bottom w:w="20" w:type="dxa"/>
              <w:end w:w="55" w:type="dxa"/>
            </w:tcMar>
          </w:tcPr>
          <w:p>
            <w:pPr>
              <w:spacing w:after="0" w:before="0" w:line="216" w:lineRule="auto"/>
            </w:pPr>
            <w:r>
              <w:rPr>
                <w:sz w:val="14"/>
              </w:rPr>
              <w:t>64.59</w:t>
            </w:r>
          </w:p>
        </w:tc>
        <w:tc>
          <w:tcPr>
            <w:tcW w:type="dxa" w:w="1650"/>
            <w:vAlign w:val="center"/>
            <w:tcMar>
              <w:top w:w="20" w:type="dxa"/>
              <w:start w:w="55" w:type="dxa"/>
              <w:bottom w:w="20" w:type="dxa"/>
              <w:end w:w="55" w:type="dxa"/>
            </w:tcMar>
          </w:tcPr>
          <w:p>
            <w:pPr>
              <w:spacing w:after="0" w:before="0" w:line="216" w:lineRule="auto"/>
            </w:pPr>
            <w:r>
              <w:rPr>
                <w:sz w:val="14"/>
              </w:rPr>
              <w:t>21.25</w:t>
            </w:r>
          </w:p>
        </w:tc>
        <w:tc>
          <w:tcPr>
            <w:tcW w:type="dxa" w:w="1700"/>
            <w:vAlign w:val="center"/>
            <w:tcMar>
              <w:top w:w="20" w:type="dxa"/>
              <w:start w:w="55" w:type="dxa"/>
              <w:bottom w:w="20" w:type="dxa"/>
              <w:end w:w="55" w:type="dxa"/>
            </w:tcMar>
          </w:tcPr>
          <w:p>
            <w:pPr>
              <w:spacing w:after="0" w:before="0" w:line="216" w:lineRule="auto"/>
            </w:pPr>
            <w:r>
              <w:rPr>
                <w:sz w:val="14"/>
              </w:rPr>
              <w:t>25.91</w:t>
            </w:r>
          </w:p>
        </w:tc>
        <w:tc>
          <w:tcPr>
            <w:tcW w:type="dxa" w:w="1710"/>
            <w:vAlign w:val="center"/>
            <w:tcMar>
              <w:top w:w="20" w:type="dxa"/>
              <w:start w:w="55" w:type="dxa"/>
              <w:bottom w:w="20" w:type="dxa"/>
              <w:end w:w="55" w:type="dxa"/>
            </w:tcMar>
          </w:tcPr>
          <w:p>
            <w:pPr>
              <w:spacing w:after="0" w:before="0" w:line="216" w:lineRule="auto"/>
            </w:pPr>
            <w:r>
              <w:rPr>
                <w:sz w:val="14"/>
              </w:rPr>
              <w:t>9.04 pp</w:t>
            </w:r>
          </w:p>
        </w:tc>
      </w:tr>
      <w:tr>
        <w:tc>
          <w:tcPr>
            <w:tcW w:type="dxa" w:w="1300"/>
            <w:vAlign w:val="center"/>
            <w:tcMar>
              <w:top w:w="20" w:type="dxa"/>
              <w:start w:w="55" w:type="dxa"/>
              <w:bottom w:w="20" w:type="dxa"/>
              <w:end w:w="55" w:type="dxa"/>
            </w:tcMar>
          </w:tcPr>
          <w:p>
            <w:pPr>
              <w:spacing w:after="0" w:before="0" w:line="216" w:lineRule="auto"/>
            </w:pPr>
            <w:r>
              <w:rPr>
                <w:sz w:val="14"/>
              </w:rPr>
              <w:t>CIC-IDS-2017</w:t>
              <w:br/>
              <w:t>FT256x4</w:t>
            </w:r>
          </w:p>
        </w:tc>
        <w:tc>
          <w:tcPr>
            <w:tcW w:type="dxa" w:w="1350"/>
            <w:vAlign w:val="center"/>
            <w:tcMar>
              <w:top w:w="20" w:type="dxa"/>
              <w:start w:w="55" w:type="dxa"/>
              <w:bottom w:w="20" w:type="dxa"/>
              <w:end w:w="55" w:type="dxa"/>
            </w:tcMar>
          </w:tcPr>
          <w:p>
            <w:pPr>
              <w:spacing w:after="0" w:before="0" w:line="216" w:lineRule="auto"/>
            </w:pPr>
            <w:r>
              <w:rPr>
                <w:sz w:val="14"/>
              </w:rPr>
              <w:t>Joint cap</w:t>
            </w:r>
          </w:p>
        </w:tc>
        <w:tc>
          <w:tcPr>
            <w:tcW w:type="dxa" w:w="1650"/>
            <w:vAlign w:val="center"/>
            <w:tcMar>
              <w:top w:w="20" w:type="dxa"/>
              <w:start w:w="55" w:type="dxa"/>
              <w:bottom w:w="20" w:type="dxa"/>
              <w:end w:w="55" w:type="dxa"/>
            </w:tcMar>
          </w:tcPr>
          <w:p>
            <w:pPr>
              <w:spacing w:after="0" w:before="0" w:line="216" w:lineRule="auto"/>
            </w:pPr>
            <w:r>
              <w:rPr>
                <w:sz w:val="14"/>
              </w:rPr>
              <w:t>72.57</w:t>
            </w:r>
          </w:p>
        </w:tc>
        <w:tc>
          <w:tcPr>
            <w:tcW w:type="dxa" w:w="1650"/>
            <w:vAlign w:val="center"/>
            <w:tcMar>
              <w:top w:w="20" w:type="dxa"/>
              <w:start w:w="55" w:type="dxa"/>
              <w:bottom w:w="20" w:type="dxa"/>
              <w:end w:w="55" w:type="dxa"/>
            </w:tcMar>
          </w:tcPr>
          <w:p>
            <w:pPr>
              <w:spacing w:after="0" w:before="0" w:line="216" w:lineRule="auto"/>
            </w:pPr>
            <w:r>
              <w:rPr>
                <w:sz w:val="14"/>
              </w:rPr>
              <w:t>36.95</w:t>
            </w:r>
          </w:p>
        </w:tc>
        <w:tc>
          <w:tcPr>
            <w:tcW w:type="dxa" w:w="1700"/>
            <w:vAlign w:val="center"/>
            <w:tcMar>
              <w:top w:w="20" w:type="dxa"/>
              <w:start w:w="55" w:type="dxa"/>
              <w:bottom w:w="20" w:type="dxa"/>
              <w:end w:w="55" w:type="dxa"/>
            </w:tcMar>
          </w:tcPr>
          <w:p>
            <w:pPr>
              <w:spacing w:after="0" w:before="0" w:line="216" w:lineRule="auto"/>
            </w:pPr>
            <w:r>
              <w:rPr>
                <w:sz w:val="14"/>
              </w:rPr>
              <w:t>63.13</w:t>
            </w:r>
          </w:p>
        </w:tc>
        <w:tc>
          <w:tcPr>
            <w:tcW w:type="dxa" w:w="1710"/>
            <w:vAlign w:val="center"/>
            <w:tcMar>
              <w:top w:w="20" w:type="dxa"/>
              <w:start w:w="55" w:type="dxa"/>
              <w:bottom w:w="20" w:type="dxa"/>
              <w:end w:w="55" w:type="dxa"/>
            </w:tcMar>
          </w:tcPr>
          <w:p>
            <w:pPr>
              <w:spacing w:after="0" w:before="0" w:line="216" w:lineRule="auto"/>
            </w:pPr>
            <w:r>
              <w:rPr>
                <w:sz w:val="14"/>
              </w:rPr>
              <w:t>9.63 pp</w:t>
            </w:r>
          </w:p>
        </w:tc>
      </w:tr>
      <w:tr>
        <w:tc>
          <w:tcPr>
            <w:tcW w:type="dxa" w:w="1300"/>
            <w:vAlign w:val="center"/>
            <w:tcMar>
              <w:top w:w="20" w:type="dxa"/>
              <w:start w:w="55" w:type="dxa"/>
              <w:bottom w:w="20" w:type="dxa"/>
              <w:end w:w="55" w:type="dxa"/>
            </w:tcMar>
          </w:tcPr>
          <w:p>
            <w:pPr>
              <w:spacing w:after="0" w:before="0" w:line="216" w:lineRule="auto"/>
            </w:pPr>
            <w:r>
              <w:rPr>
                <w:sz w:val="14"/>
              </w:rPr>
              <w:t>Malaya</w:t>
              <w:br/>
              <w:t>FT512x12</w:t>
            </w:r>
          </w:p>
        </w:tc>
        <w:tc>
          <w:tcPr>
            <w:tcW w:type="dxa" w:w="1350"/>
            <w:vAlign w:val="center"/>
            <w:tcMar>
              <w:top w:w="20" w:type="dxa"/>
              <w:start w:w="55" w:type="dxa"/>
              <w:bottom w:w="20" w:type="dxa"/>
              <w:end w:w="55" w:type="dxa"/>
            </w:tcMar>
          </w:tcPr>
          <w:p>
            <w:pPr>
              <w:spacing w:after="0" w:before="0" w:line="216" w:lineRule="auto"/>
            </w:pPr>
            <w:r>
              <w:rPr>
                <w:sz w:val="14"/>
              </w:rPr>
              <w:t>Head only</w:t>
            </w:r>
          </w:p>
        </w:tc>
        <w:tc>
          <w:tcPr>
            <w:tcW w:type="dxa" w:w="1650"/>
            <w:vAlign w:val="center"/>
            <w:tcMar>
              <w:top w:w="20" w:type="dxa"/>
              <w:start w:w="55" w:type="dxa"/>
              <w:bottom w:w="20" w:type="dxa"/>
              <w:end w:w="55" w:type="dxa"/>
            </w:tcMar>
          </w:tcPr>
          <w:p>
            <w:pPr>
              <w:spacing w:after="0" w:before="0" w:line="216" w:lineRule="auto"/>
            </w:pPr>
            <w:r>
              <w:rPr>
                <w:sz w:val="14"/>
              </w:rPr>
              <w:t>56.03</w:t>
            </w:r>
          </w:p>
        </w:tc>
        <w:tc>
          <w:tcPr>
            <w:tcW w:type="dxa" w:w="1650"/>
            <w:vAlign w:val="center"/>
            <w:tcMar>
              <w:top w:w="20" w:type="dxa"/>
              <w:start w:w="55" w:type="dxa"/>
              <w:bottom w:w="20" w:type="dxa"/>
              <w:end w:w="55" w:type="dxa"/>
            </w:tcMar>
          </w:tcPr>
          <w:p>
            <w:pPr>
              <w:spacing w:after="0" w:before="0" w:line="216" w:lineRule="auto"/>
            </w:pPr>
            <w:r>
              <w:rPr>
                <w:sz w:val="14"/>
              </w:rPr>
              <w:t>11.77</w:t>
            </w:r>
          </w:p>
        </w:tc>
        <w:tc>
          <w:tcPr>
            <w:tcW w:type="dxa" w:w="1700"/>
            <w:vAlign w:val="center"/>
            <w:tcMar>
              <w:top w:w="20" w:type="dxa"/>
              <w:start w:w="55" w:type="dxa"/>
              <w:bottom w:w="20" w:type="dxa"/>
              <w:end w:w="55" w:type="dxa"/>
            </w:tcMar>
          </w:tcPr>
          <w:p>
            <w:pPr>
              <w:spacing w:after="0" w:before="0" w:line="216" w:lineRule="auto"/>
            </w:pPr>
            <w:r>
              <w:rPr>
                <w:sz w:val="14"/>
              </w:rPr>
              <w:t>15.05</w:t>
            </w:r>
          </w:p>
        </w:tc>
        <w:tc>
          <w:tcPr>
            <w:tcW w:type="dxa" w:w="1710"/>
            <w:vAlign w:val="center"/>
            <w:tcMar>
              <w:top w:w="20" w:type="dxa"/>
              <w:start w:w="55" w:type="dxa"/>
              <w:bottom w:w="20" w:type="dxa"/>
              <w:end w:w="55" w:type="dxa"/>
            </w:tcMar>
          </w:tcPr>
          <w:p>
            <w:pPr>
              <w:spacing w:after="0" w:before="0" w:line="216" w:lineRule="auto"/>
            </w:pPr>
            <w:r>
              <w:rPr>
                <w:sz w:val="14"/>
              </w:rPr>
              <w:t>3.16 pp</w:t>
            </w:r>
          </w:p>
        </w:tc>
      </w:tr>
      <w:tr>
        <w:tc>
          <w:tcPr>
            <w:tcW w:type="dxa" w:w="1300"/>
            <w:vAlign w:val="center"/>
            <w:tcMar>
              <w:top w:w="20" w:type="dxa"/>
              <w:start w:w="55" w:type="dxa"/>
              <w:bottom w:w="20" w:type="dxa"/>
              <w:end w:w="55" w:type="dxa"/>
            </w:tcMar>
          </w:tcPr>
          <w:p>
            <w:pPr>
              <w:spacing w:after="0" w:before="0" w:line="216" w:lineRule="auto"/>
            </w:pPr>
            <w:r>
              <w:rPr>
                <w:sz w:val="14"/>
              </w:rPr>
              <w:t>Malaya</w:t>
              <w:br/>
              <w:t>FT512x12</w:t>
            </w:r>
          </w:p>
        </w:tc>
        <w:tc>
          <w:tcPr>
            <w:tcW w:type="dxa" w:w="1350"/>
            <w:vAlign w:val="center"/>
            <w:tcMar>
              <w:top w:w="20" w:type="dxa"/>
              <w:start w:w="55" w:type="dxa"/>
              <w:bottom w:w="20" w:type="dxa"/>
              <w:end w:w="55" w:type="dxa"/>
            </w:tcMar>
          </w:tcPr>
          <w:p>
            <w:pPr>
              <w:spacing w:after="0" w:before="0" w:line="216" w:lineRule="auto"/>
            </w:pPr>
            <w:r>
              <w:rPr>
                <w:sz w:val="14"/>
              </w:rPr>
              <w:t>Joint cap</w:t>
            </w:r>
          </w:p>
        </w:tc>
        <w:tc>
          <w:tcPr>
            <w:tcW w:type="dxa" w:w="1650"/>
            <w:vAlign w:val="center"/>
            <w:tcMar>
              <w:top w:w="20" w:type="dxa"/>
              <w:start w:w="55" w:type="dxa"/>
              <w:bottom w:w="20" w:type="dxa"/>
              <w:end w:w="55" w:type="dxa"/>
            </w:tcMar>
          </w:tcPr>
          <w:p>
            <w:pPr>
              <w:spacing w:after="0" w:before="0" w:line="216" w:lineRule="auto"/>
            </w:pPr>
            <w:r>
              <w:rPr>
                <w:sz w:val="14"/>
              </w:rPr>
              <w:t>54.68</w:t>
            </w:r>
          </w:p>
        </w:tc>
        <w:tc>
          <w:tcPr>
            <w:tcW w:type="dxa" w:w="1650"/>
            <w:vAlign w:val="center"/>
            <w:tcMar>
              <w:top w:w="20" w:type="dxa"/>
              <w:start w:w="55" w:type="dxa"/>
              <w:bottom w:w="20" w:type="dxa"/>
              <w:end w:w="55" w:type="dxa"/>
            </w:tcMar>
          </w:tcPr>
          <w:p>
            <w:pPr>
              <w:spacing w:after="0" w:before="0" w:line="216" w:lineRule="auto"/>
            </w:pPr>
            <w:r>
              <w:rPr>
                <w:sz w:val="14"/>
              </w:rPr>
              <w:t>21.15</w:t>
            </w:r>
          </w:p>
        </w:tc>
        <w:tc>
          <w:tcPr>
            <w:tcW w:type="dxa" w:w="1700"/>
            <w:vAlign w:val="center"/>
            <w:tcMar>
              <w:top w:w="20" w:type="dxa"/>
              <w:start w:w="55" w:type="dxa"/>
              <w:bottom w:w="20" w:type="dxa"/>
              <w:end w:w="55" w:type="dxa"/>
            </w:tcMar>
          </w:tcPr>
          <w:p>
            <w:pPr>
              <w:spacing w:after="0" w:before="0" w:line="216" w:lineRule="auto"/>
            </w:pPr>
            <w:r>
              <w:rPr>
                <w:sz w:val="14"/>
              </w:rPr>
              <w:t>23.03</w:t>
            </w:r>
          </w:p>
        </w:tc>
        <w:tc>
          <w:tcPr>
            <w:tcW w:type="dxa" w:w="1710"/>
            <w:vAlign w:val="center"/>
            <w:tcMar>
              <w:top w:w="20" w:type="dxa"/>
              <w:start w:w="55" w:type="dxa"/>
              <w:bottom w:w="20" w:type="dxa"/>
              <w:end w:w="55" w:type="dxa"/>
            </w:tcMar>
          </w:tcPr>
          <w:p>
            <w:pPr>
              <w:spacing w:after="0" w:before="0" w:line="216" w:lineRule="auto"/>
            </w:pPr>
            <w:r>
              <w:rPr>
                <w:sz w:val="14"/>
              </w:rPr>
              <w:t>3.55 pp</w:t>
            </w:r>
          </w:p>
        </w:tc>
      </w:tr>
      <w:tr>
        <w:tc>
          <w:tcPr>
            <w:tcW w:type="dxa" w:w="1300"/>
            <w:vAlign w:val="center"/>
            <w:tcMar>
              <w:top w:w="20" w:type="dxa"/>
              <w:start w:w="55" w:type="dxa"/>
              <w:bottom w:w="20" w:type="dxa"/>
              <w:end w:w="55" w:type="dxa"/>
            </w:tcMar>
          </w:tcPr>
          <w:p>
            <w:pPr>
              <w:spacing w:before="0" w:after="0" w:line="216" w:lineRule="auto"/>
            </w:pPr>
            <w:r>
              <w:rPr>
                <w:sz w:val="14"/>
              </w:rPr>
              <w:t>CSE-CIC-IDS2018</w:t>
              <w:br/>
              <w:t>FT256x4</w:t>
            </w:r>
          </w:p>
        </w:tc>
        <w:tc>
          <w:tcPr>
            <w:tcW w:type="dxa" w:w="1350"/>
            <w:vAlign w:val="center"/>
            <w:tcMar>
              <w:top w:w="20" w:type="dxa"/>
              <w:start w:w="55" w:type="dxa"/>
              <w:bottom w:w="20" w:type="dxa"/>
              <w:end w:w="55" w:type="dxa"/>
            </w:tcMar>
          </w:tcPr>
          <w:p>
            <w:pPr>
              <w:spacing w:before="0" w:after="0" w:line="216" w:lineRule="auto"/>
            </w:pPr>
            <w:r>
              <w:rPr>
                <w:sz w:val="14"/>
              </w:rPr>
              <w:t>Head only</w:t>
            </w:r>
          </w:p>
        </w:tc>
        <w:tc>
          <w:tcPr>
            <w:tcW w:type="dxa" w:w="1650"/>
            <w:vAlign w:val="center"/>
            <w:tcMar>
              <w:top w:w="20" w:type="dxa"/>
              <w:start w:w="55" w:type="dxa"/>
              <w:bottom w:w="20" w:type="dxa"/>
              <w:end w:w="55" w:type="dxa"/>
            </w:tcMar>
          </w:tcPr>
          <w:p>
            <w:pPr>
              <w:spacing w:before="0" w:after="0" w:line="216" w:lineRule="auto"/>
            </w:pPr>
            <w:r>
              <w:rPr>
                <w:sz w:val="14"/>
              </w:rPr>
              <w:t>79.21</w:t>
            </w:r>
          </w:p>
        </w:tc>
        <w:tc>
          <w:tcPr>
            <w:tcW w:type="dxa" w:w="1650"/>
            <w:vAlign w:val="center"/>
            <w:tcMar>
              <w:top w:w="20" w:type="dxa"/>
              <w:start w:w="55" w:type="dxa"/>
              <w:bottom w:w="20" w:type="dxa"/>
              <w:end w:w="55" w:type="dxa"/>
            </w:tcMar>
          </w:tcPr>
          <w:p>
            <w:pPr>
              <w:spacing w:before="0" w:after="0" w:line="216" w:lineRule="auto"/>
            </w:pPr>
            <w:r>
              <w:rPr>
                <w:sz w:val="14"/>
              </w:rPr>
              <w:t>19.06</w:t>
            </w:r>
          </w:p>
        </w:tc>
        <w:tc>
          <w:tcPr>
            <w:tcW w:type="dxa" w:w="1700"/>
            <w:vAlign w:val="center"/>
            <w:tcMar>
              <w:top w:w="20" w:type="dxa"/>
              <w:start w:w="55" w:type="dxa"/>
              <w:bottom w:w="20" w:type="dxa"/>
              <w:end w:w="55" w:type="dxa"/>
            </w:tcMar>
          </w:tcPr>
          <w:p>
            <w:pPr>
              <w:spacing w:before="0" w:after="0" w:line="216" w:lineRule="auto"/>
            </w:pPr>
            <w:r>
              <w:rPr>
                <w:sz w:val="14"/>
              </w:rPr>
              <w:t>21.15</w:t>
            </w:r>
          </w:p>
        </w:tc>
        <w:tc>
          <w:tcPr>
            <w:tcW w:type="dxa" w:w="1710"/>
            <w:vAlign w:val="center"/>
            <w:tcMar>
              <w:top w:w="20" w:type="dxa"/>
              <w:start w:w="55" w:type="dxa"/>
              <w:bottom w:w="20" w:type="dxa"/>
              <w:end w:w="55" w:type="dxa"/>
            </w:tcMar>
          </w:tcPr>
          <w:p>
            <w:pPr>
              <w:spacing w:before="0" w:after="0" w:line="216" w:lineRule="auto"/>
            </w:pPr>
            <w:r>
              <w:rPr>
                <w:sz w:val="14"/>
              </w:rPr>
              <w:t>2.00 pp</w:t>
            </w:r>
          </w:p>
        </w:tc>
      </w:tr>
      <w:tr>
        <w:tc>
          <w:tcPr>
            <w:tcW w:type="dxa" w:w="1300"/>
            <w:vAlign w:val="center"/>
            <w:tcMar>
              <w:top w:w="20" w:type="dxa"/>
              <w:start w:w="55" w:type="dxa"/>
              <w:bottom w:w="20" w:type="dxa"/>
              <w:end w:w="55" w:type="dxa"/>
            </w:tcMar>
          </w:tcPr>
          <w:p>
            <w:pPr>
              <w:spacing w:before="0" w:after="0" w:line="216" w:lineRule="auto"/>
            </w:pPr>
            <w:r>
              <w:rPr>
                <w:sz w:val="14"/>
              </w:rPr>
              <w:t>CSE-CIC-IDS2018</w:t>
              <w:br/>
              <w:t>FT256x4</w:t>
            </w:r>
          </w:p>
        </w:tc>
        <w:tc>
          <w:tcPr>
            <w:tcW w:type="dxa" w:w="1350"/>
            <w:vAlign w:val="center"/>
            <w:tcMar>
              <w:top w:w="20" w:type="dxa"/>
              <w:start w:w="55" w:type="dxa"/>
              <w:bottom w:w="20" w:type="dxa"/>
              <w:end w:w="55" w:type="dxa"/>
            </w:tcMar>
          </w:tcPr>
          <w:p>
            <w:pPr>
              <w:spacing w:before="0" w:after="0" w:line="216" w:lineRule="auto"/>
            </w:pPr>
            <w:r>
              <w:rPr>
                <w:sz w:val="14"/>
              </w:rPr>
              <w:t>Joint cap</w:t>
            </w:r>
          </w:p>
        </w:tc>
        <w:tc>
          <w:tcPr>
            <w:tcW w:type="dxa" w:w="1650"/>
            <w:vAlign w:val="center"/>
            <w:tcMar>
              <w:top w:w="20" w:type="dxa"/>
              <w:start w:w="55" w:type="dxa"/>
              <w:bottom w:w="20" w:type="dxa"/>
              <w:end w:w="55" w:type="dxa"/>
            </w:tcMar>
          </w:tcPr>
          <w:p>
            <w:pPr>
              <w:spacing w:before="0" w:after="0" w:line="216" w:lineRule="auto"/>
            </w:pPr>
            <w:r>
              <w:rPr>
                <w:sz w:val="14"/>
              </w:rPr>
              <w:t>50.16</w:t>
            </w:r>
          </w:p>
        </w:tc>
        <w:tc>
          <w:tcPr>
            <w:tcW w:type="dxa" w:w="1650"/>
            <w:vAlign w:val="center"/>
            <w:tcMar>
              <w:top w:w="20" w:type="dxa"/>
              <w:start w:w="55" w:type="dxa"/>
              <w:bottom w:w="20" w:type="dxa"/>
              <w:end w:w="55" w:type="dxa"/>
            </w:tcMar>
          </w:tcPr>
          <w:p>
            <w:pPr>
              <w:spacing w:before="0" w:after="0" w:line="216" w:lineRule="auto"/>
            </w:pPr>
            <w:r>
              <w:rPr>
                <w:sz w:val="14"/>
              </w:rPr>
              <w:t>33.55</w:t>
            </w:r>
          </w:p>
        </w:tc>
        <w:tc>
          <w:tcPr>
            <w:tcW w:type="dxa" w:w="1700"/>
            <w:vAlign w:val="center"/>
            <w:tcMar>
              <w:top w:w="20" w:type="dxa"/>
              <w:start w:w="55" w:type="dxa"/>
              <w:bottom w:w="20" w:type="dxa"/>
              <w:end w:w="55" w:type="dxa"/>
            </w:tcMar>
          </w:tcPr>
          <w:p>
            <w:pPr>
              <w:spacing w:before="0" w:after="0" w:line="216" w:lineRule="auto"/>
            </w:pPr>
            <w:r>
              <w:rPr>
                <w:sz w:val="14"/>
              </w:rPr>
              <w:t>52.15</w:t>
            </w:r>
          </w:p>
        </w:tc>
        <w:tc>
          <w:tcPr>
            <w:tcW w:type="dxa" w:w="1710"/>
            <w:vAlign w:val="center"/>
            <w:tcMar>
              <w:top w:w="20" w:type="dxa"/>
              <w:start w:w="55" w:type="dxa"/>
              <w:bottom w:w="20" w:type="dxa"/>
              <w:end w:w="55" w:type="dxa"/>
            </w:tcMar>
          </w:tcPr>
          <w:p>
            <w:pPr>
              <w:spacing w:before="0" w:after="0" w:line="216" w:lineRule="auto"/>
            </w:pPr>
            <w:r>
              <w:rPr>
                <w:sz w:val="14"/>
              </w:rPr>
              <w:t>19.07 pp</w:t>
            </w:r>
          </w:p>
        </w:tc>
      </w:tr>
    </w:tbl>
    <w:p w14:paraId="001000CC" w14:textId="001000CD">
      <w:pPr>
        <w:spacing w:before="0" w:after="100" w:line="259" w:lineRule="auto"/>
        <w:jc w:val="both"/>
      </w:pPr>
      <w: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1001B1" w14:textId="001001B2">
      <w:pPr>
        <w:spacing w:after="100"/>
        <w:jc w:val="both"/>
      </w:pPr>
      <w:r>
        <w:t>The strict CSE-CIC-IDS2018 FT256x4 campaign completed five registered seeds with eight Task-0 epochs and ten epochs per later task. Head-only achieved 79.21% accuracy, 19.06% Macro-F1, 21.15% balanced accuracy, 2.00 points of forgetting, 31.70% attack recall, and 6.57% benign false-positive rate. Joint cap-3000 achieved 50.16%, 33.55%, 52.15%, 19.07 points, 91.82%, and 51.85%, respectively. Joint uncapped achieved 54.39%, 33.72%, 51.35%, 15.39 points, 84.38%, and 46.48%. Thus routing recovers minority/attack coverage but produces an operationally severe accuracy, retention, and false-positive cost on this dataset. The earlier 1+1-epoch closure remains historical and is not mixed with this result.</w:t>
      </w:r>
    </w:p>
    <w:p w14:paraId="00100129" w14:textId="001001AF">
      <w:pPr>
        <w:pStyle w:val="Heading2"/>
      </w:pPr>
      <w:r>
        <w:t>4.4 RQ1: Additive classifier comparison</w:t>
      </w:r>
    </w:p>
    <w:p w14:paraId="0010012B" w14:textId="001001EF">
      <w:pPr>
        <w:pStyle w:val="Caption"/>
        <w:keepNext/>
        <w:pageBreakBefore/>
      </w:pPr>
      <w:r>
        <w:t>Table 4. Malaya classifier comparisons. Values are mean +/- sample SD across five seeds; protocols remain separate.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2D" w14:textId="00100164">
            <w:pPr>
              <w:jc w:val="center"/>
            </w:pPr>
            <w:r>
              <w:rPr>
                <w:b/>
                <w:color w:val="0F2A43"/>
                <w:sz w:val="15"/>
              </w:rPr>
              <w:t xml:space="preserve">Model and protocol</w:t>
            </w:r>
          </w:p>
        </w:tc>
        <w:tc>
          <w:tcPr>
            <w:shd w:val="clear" w:fill="EAF0F5"/>
          </w:tcPr>
          <w:p w14:paraId="0010012F" w14:textId="00100166">
            <w:pPr>
              <w:jc w:val="center"/>
            </w:pPr>
            <w:r>
              <w:rPr>
                <w:b/>
                <w:color w:val="0F2A43"/>
                <w:sz w:val="15"/>
              </w:rPr>
              <w:t xml:space="preserve">Accuracy</w:t>
            </w:r>
          </w:p>
        </w:tc>
        <w:tc>
          <w:tcPr>
            <w:shd w:val="clear" w:fill="EAF0F5"/>
          </w:tcPr>
          <w:p w14:paraId="00100131" w14:textId="00100168">
            <w:pPr>
              <w:jc w:val="center"/>
            </w:pPr>
            <w:r>
              <w:rPr>
                <w:b/>
                <w:color w:val="0F2A43"/>
                <w:sz w:val="15"/>
              </w:rPr>
              <w:t xml:space="preserve">Macro-F1</w:t>
            </w:r>
          </w:p>
        </w:tc>
        <w:tc>
          <w:tcPr>
            <w:shd w:val="clear" w:fill="EAF0F5"/>
          </w:tcPr>
          <w:p w14:paraId="00100133" w14:textId="0010016A">
            <w:pPr>
              <w:jc w:val="center"/>
            </w:pPr>
            <w:r>
              <w:rPr>
                <w:b/>
                <w:color w:val="0F2A43"/>
                <w:sz w:val="15"/>
              </w:rPr>
              <w:t xml:space="preserve">Balanced acc.</w:t>
            </w:r>
          </w:p>
        </w:tc>
        <w:tc>
          <w:tcPr>
            <w:shd w:val="clear" w:fill="EAF0F5"/>
          </w:tcPr>
          <w:p w14:paraId="00100135" w14:textId="0010016C">
            <w:pPr>
              <w:jc w:val="center"/>
            </w:pPr>
            <w:r>
              <w:rPr>
                <w:b/>
                <w:color w:val="0F2A43"/>
                <w:sz w:val="15"/>
              </w:rPr>
              <w:t xml:space="preserve">Forgetting</w:t>
            </w:r>
          </w:p>
        </w:tc>
      </w:tr>
      <w:tr>
        <w:trPr/>
        <w:tc>
          <w:tcPr>
            <w:vAlign w:val="center"/>
          </w:tcPr>
          <w:p>
            <w:pPr>
              <w:spacing w:after="0"/>
            </w:pPr>
            <w:r>
              <w:rPr>
                <w:sz w:val="16"/>
              </w:rPr>
              <w:t>TabM-OFRA joint cap, 5 seeds</w:t>
            </w:r>
          </w:p>
        </w:tc>
        <w:tc>
          <w:tcPr>
            <w:vAlign w:val="center"/>
          </w:tcPr>
          <w:p>
            <w:pPr>
              <w:spacing w:after="0"/>
            </w:pPr>
            <w:r>
              <w:rPr>
                <w:sz w:val="16"/>
              </w:rPr>
              <w:t>57.99 +/- 3.93</w:t>
            </w:r>
          </w:p>
        </w:tc>
        <w:tc>
          <w:tcPr>
            <w:vAlign w:val="center"/>
          </w:tcPr>
          <w:p>
            <w:pPr>
              <w:spacing w:after="0"/>
            </w:pPr>
            <w:r>
              <w:rPr>
                <w:sz w:val="16"/>
              </w:rPr>
              <w:t>20.46 +/- 1.19</w:t>
            </w:r>
          </w:p>
        </w:tc>
        <w:tc>
          <w:tcPr>
            <w:vAlign w:val="center"/>
          </w:tcPr>
          <w:p>
            <w:pPr>
              <w:spacing w:after="0"/>
            </w:pPr>
            <w:r>
              <w:rPr>
                <w:sz w:val="16"/>
              </w:rPr>
              <w:t>21.60 +/- 1.70</w:t>
            </w:r>
          </w:p>
        </w:tc>
        <w:tc>
          <w:tcPr>
            <w:vAlign w:val="center"/>
          </w:tcPr>
          <w:p>
            <w:pPr>
              <w:spacing w:after="0"/>
            </w:pPr>
            <w:r>
              <w:rPr>
                <w:sz w:val="16"/>
              </w:rPr>
              <w:t>4.39 +/- 2.56 pp</w:t>
            </w:r>
          </w:p>
        </w:tc>
      </w:tr>
      <w:tr>
        <w:trPr/>
        <w:tc>
          <w:tcPr>
            <w:vAlign w:val="center"/>
          </w:tcPr>
          <w:p>
            <w:pPr>
              <w:spacing w:after="0"/>
            </w:pPr>
            <w:r>
              <w:rPr>
                <w:sz w:val="16"/>
              </w:rPr>
              <w:t>FT512-OFRA joint cap, 5 seeds</w:t>
            </w:r>
          </w:p>
        </w:tc>
        <w:tc>
          <w:tcPr>
            <w:vAlign w:val="center"/>
          </w:tcPr>
          <w:p>
            <w:pPr>
              <w:spacing w:after="0"/>
            </w:pPr>
            <w:r>
              <w:rPr>
                <w:sz w:val="16"/>
              </w:rPr>
              <w:t>54.68 +/- 2.71</w:t>
            </w:r>
          </w:p>
        </w:tc>
        <w:tc>
          <w:tcPr>
            <w:vAlign w:val="center"/>
          </w:tcPr>
          <w:p>
            <w:pPr>
              <w:spacing w:after="0"/>
            </w:pPr>
            <w:r>
              <w:rPr>
                <w:sz w:val="16"/>
              </w:rPr>
              <w:t>21.15 +/- 3.37</w:t>
            </w:r>
          </w:p>
        </w:tc>
        <w:tc>
          <w:tcPr>
            <w:vAlign w:val="center"/>
          </w:tcPr>
          <w:p>
            <w:pPr>
              <w:spacing w:after="0"/>
            </w:pPr>
            <w:r>
              <w:rPr>
                <w:sz w:val="16"/>
              </w:rPr>
              <w:t>23.03 +/- 3.42</w:t>
            </w:r>
          </w:p>
        </w:tc>
        <w:tc>
          <w:tcPr>
            <w:vAlign w:val="center"/>
          </w:tcPr>
          <w:p>
            <w:pPr>
              <w:spacing w:after="0"/>
            </w:pPr>
            <w:r>
              <w:rPr>
                <w:sz w:val="16"/>
              </w:rPr>
              <w:t>3.55 +/- 0.77 pp</w:t>
            </w:r>
          </w:p>
        </w:tc>
      </w:tr>
      <w:tr>
        <w:trPr/>
        <w:tc>
          <w:tcPr>
            <w:vAlign w:val="center"/>
          </w:tcPr>
          <w:p>
            <w:pPr>
              <w:spacing w:after="0"/>
            </w:pPr>
            <w:r>
              <w:rPr>
                <w:sz w:val="16"/>
              </w:rPr>
              <w:t>CatBoost cumulative, 5 seeds</w:t>
            </w:r>
          </w:p>
        </w:tc>
        <w:tc>
          <w:tcPr>
            <w:vAlign w:val="center"/>
          </w:tcPr>
          <w:p>
            <w:pPr>
              <w:spacing w:after="0"/>
            </w:pPr>
            <w:r>
              <w:rPr>
                <w:sz w:val="16"/>
              </w:rPr>
              <w:t>66.50 +/- 0.44</w:t>
            </w:r>
          </w:p>
        </w:tc>
        <w:tc>
          <w:tcPr>
            <w:vAlign w:val="center"/>
          </w:tcPr>
          <w:p>
            <w:pPr>
              <w:spacing w:after="0"/>
            </w:pPr>
            <w:r>
              <w:rPr>
                <w:sz w:val="16"/>
              </w:rPr>
              <w:t>34.76 +/- 0.69</w:t>
            </w:r>
          </w:p>
        </w:tc>
        <w:tc>
          <w:tcPr>
            <w:vAlign w:val="center"/>
          </w:tcPr>
          <w:p>
            <w:pPr>
              <w:spacing w:after="0"/>
            </w:pPr>
            <w:r>
              <w:rPr>
                <w:sz w:val="16"/>
              </w:rPr>
              <w:t>39.10 +/- 0.73</w:t>
            </w:r>
          </w:p>
        </w:tc>
        <w:tc>
          <w:tcPr>
            <w:vAlign w:val="center"/>
          </w:tcPr>
          <w:p>
            <w:pPr>
              <w:spacing w:after="0"/>
            </w:pPr>
            <w:r>
              <w:rPr>
                <w:sz w:val="16"/>
              </w:rPr>
              <w:t>15.34 +/- 0.73 pp</w:t>
            </w:r>
          </w:p>
        </w:tc>
      </w:tr>
      <w:tr>
        <w:trPr/>
        <w:tc>
          <w:tcPr>
            <w:vAlign w:val="center"/>
          </w:tcPr>
          <w:p>
            <w:pPr>
              <w:spacing w:after="0"/>
            </w:pPr>
            <w:r>
              <w:rPr>
                <w:sz w:val="16"/>
              </w:rPr>
              <w:t>TabM cumulative, 5 seeds</w:t>
            </w:r>
          </w:p>
        </w:tc>
        <w:tc>
          <w:tcPr>
            <w:vAlign w:val="center"/>
          </w:tcPr>
          <w:p>
            <w:pPr>
              <w:spacing w:after="0"/>
            </w:pPr>
            <w:r>
              <w:rPr>
                <w:sz w:val="16"/>
              </w:rPr>
              <w:t>65.01 +/- 0.96</w:t>
            </w:r>
          </w:p>
        </w:tc>
        <w:tc>
          <w:tcPr>
            <w:vAlign w:val="center"/>
          </w:tcPr>
          <w:p>
            <w:pPr>
              <w:spacing w:after="0"/>
            </w:pPr>
            <w:r>
              <w:rPr>
                <w:sz w:val="16"/>
              </w:rPr>
              <w:t>32.66 +/- 1.31</w:t>
            </w:r>
          </w:p>
        </w:tc>
        <w:tc>
          <w:tcPr>
            <w:vAlign w:val="center"/>
          </w:tcPr>
          <w:p>
            <w:pPr>
              <w:spacing w:after="0"/>
            </w:pPr>
            <w:r>
              <w:rPr>
                <w:sz w:val="16"/>
              </w:rPr>
              <w:t>34.41 +/- 1.51</w:t>
            </w:r>
          </w:p>
        </w:tc>
        <w:tc>
          <w:tcPr>
            <w:vAlign w:val="center"/>
          </w:tcPr>
          <w:p>
            <w:pPr>
              <w:spacing w:after="0"/>
            </w:pPr>
            <w:r>
              <w:rPr>
                <w:sz w:val="16"/>
              </w:rPr>
              <w:t>9.43 +/- 1.80 pp</w:t>
            </w:r>
          </w:p>
        </w:tc>
      </w:tr>
    </w:tbl>
    <w:p w14:paraId="0010015F" w14:textId="00100160">
      <w:pPr/>
      <w: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1000CE" w14:textId="001001B0">
      <w:pPr>
        <w:pStyle w:val="Heading2"/>
        <w:keepNext/>
      </w:pPr>
      <w:r>
        <w:t xml:space="preserve">4.5 RQ3: ETG governance outcomes</w:t>
      </w:r>
    </w:p>
    <w:p w14:paraId="001000D0" w14:textId="001000D1">
      <w:pPr>
        <w:jc w:val="center"/>
      </w:pPr>
      <w:r>
        <w:drawing>
          <wp:inline xmlns:a="http://schemas.openxmlformats.org/drawingml/2006/main" xmlns:pic="http://schemas.openxmlformats.org/drawingml/2006/picture">
            <wp:extent cx="5669280" cy="2090547"/>
            <wp:docPr id="3" name="Picture 3"/>
            <wp:cNvGraphicFramePr>
              <a:graphicFrameLocks noChangeAspect="1"/>
            </wp:cNvGraphicFramePr>
            <a:graphic>
              <a:graphicData uri="http://schemas.openxmlformats.org/drawingml/2006/picture">
                <pic:pic>
                  <pic:nvPicPr>
                    <pic:cNvPr id="0" name="etg_summary.jpg"/>
                    <pic:cNvPicPr/>
                  </pic:nvPicPr>
                  <pic:blipFill>
                    <a:blip r:embed="rId13"/>
                    <a:stretch>
                      <a:fillRect/>
                    </a:stretch>
                  </pic:blipFill>
                  <pic:spPr>
                    <a:xfrm>
                      <a:off x="0" y="0"/>
                      <a:ext cx="5669280" cy="2090547"/>
                    </a:xfrm>
                    <a:prstGeom prst="rect"/>
                  </pic:spPr>
                </pic:pic>
              </a:graphicData>
            </a:graphic>
          </wp:inline>
        </w:drawing>
      </w:r>
    </w:p>
    <w:p w14:paraId="001000D2" w14:textId="001000D3">
      <w:pPr>
        <w:spacing w:before="80" w:after="120"/>
        <w:jc w:val="center"/>
      </w:pPr>
      <w:r>
        <w:rPr>
          <w:rFonts w:ascii="Arial" w:hAnsi="Arial"/>
          <w:b w:val="0"/>
          <w:i/>
          <w:color w:val="5A646E"/>
          <w:sz w:val="17"/>
        </w:rPr>
        <w:t>Figure 3. Malaya seed-1 ETG evidence. Counts are governance outcomes, not production incidents or completed human reviews.</w:t>
      </w:r>
    </w:p>
    <w:p w14:paraId="001000D4" w14:textId="001000D5">
      <w:pPr>
        <w:spacing w:before="0" w:after="100" w:line="259" w:lineRule="auto"/>
        <w:jc w:val="both"/>
      </w:pPr>
      <w:r>
        <w:rPr>
          <w:rFonts w:ascii="Arial" w:hAnsi="Arial"/>
          <w:b w:val="0"/>
          <w:i w:val="0"/>
          <w:sz w:val="20"/>
        </w:rPr>
        <w:t>ETG records six certified admissions and four refused admissions. Four transitions are escalated, one strict recertification succeeds, and two strict-recertification attempts fail. Final states include six UNEXPLAINABLE, three CERTIFIED_STABLE, and one DRIFTED class record. These outcomes demonstrate execution of the registered state machine on actual joint-cap explanation evidence. They do not quantify analyst benefit, false-alarm reduction, production remediation, or causal improvement of later OFRA checkpoints.</w:t>
      </w:r>
    </w:p>
    <w:p>
      <w:pPr>
        <w:pStyle w:val="Heading2"/>
      </w:pPr>
      <w:r>
        <w:t>4.6 Exploratory open-set and labelled-head pilot</w:t>
      </w:r>
    </w:p>
    <w:p>
      <w:r>
        <w:t>The separate seed-42 O1 pilot used FTP-Patator as an unseen class before its declared labelled increment. Thresholds were fitted on 11,647 training-only known-class calibration rows; the test set was not used for threshold selection. Confidence-only, centroid-distance-only, conservative joint, and empirical-joint rejection all produced 0% unknown recall. The best AUROC was 0.5303, the OSCR-style AUC was 0.4699, and the primary candidate buffer contained 509 known rows and no FTP-Patator rows. The registered gate therefore failed as an unknown-discovery mechanism.</w:t>
      </w:r>
    </w:p>
    <w:p>
      <w:r>
        <w:t>After FTP-Patator labels were supplied at the legitimate task boundary, the ordinary supervised OFRA update achieved 82.30% new-class recall. Old-class accuracy changed from 87.28% to 87.01% (-0.27 percentage points). The evaluator never creates a semantic head automatically. This single-seed result supports labelled adaptation, not autonomous zero-day discovery, and remains an expected-contract reconstruction rather than an unchanged ReplayIDS reproduction.</w:t>
      </w:r>
    </w:p>
    <w:p>
      <w:pPr>
        <w:pStyle w:val="Caption"/>
        <w:keepNext/>
        <w:pageBreakBefore/>
        <w:ind w:left="144" w:firstLine="0"/>
      </w:pPr>
      <w:r>
        <w:t>Table 5. Seed-42 O1 open-set and post-label adaptation diagnostic.</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D9EAF2"/>
          </w:tcPr>
          <w:p>
            <w:pPr>
              <w:spacing w:after="0"/>
              <w:jc w:val="left"/>
            </w:pPr>
            <w:r>
              <w:rPr>
                <w:b/>
                <w:sz w:val="16"/>
              </w:rPr>
              <w:t>Stage or metric</w:t>
            </w:r>
          </w:p>
        </w:tc>
        <w:tc>
          <w:tcPr>
            <w:tcW w:type="dxa" w:w="4968"/>
            <w:vAlign w:val="center"/>
            <w:shd w:fill="D9EAF2"/>
          </w:tcPr>
          <w:p>
            <w:pPr>
              <w:spacing w:after="0"/>
              <w:jc w:val="center"/>
            </w:pPr>
            <w:r>
              <w:rPr>
                <w:b/>
                <w:sz w:val="16"/>
              </w:rPr>
              <w:t>Result</w:t>
            </w:r>
          </w:p>
        </w:tc>
      </w:tr>
      <w:tr>
        <w:tc>
          <w:tcPr>
            <w:tcW w:type="dxa" w:w="4968"/>
            <w:vAlign w:val="center"/>
          </w:tcPr>
          <w:p>
            <w:pPr>
              <w:spacing w:after="0"/>
              <w:jc w:val="left"/>
            </w:pPr>
            <w:r>
              <w:rPr>
                <w:b w:val="0"/>
                <w:sz w:val="16"/>
              </w:rPr>
              <w:t>Held-out class / test rows</w:t>
            </w:r>
          </w:p>
        </w:tc>
        <w:tc>
          <w:tcPr>
            <w:tcW w:type="dxa" w:w="4968"/>
            <w:vAlign w:val="center"/>
          </w:tcPr>
          <w:p>
            <w:pPr>
              <w:spacing w:after="0"/>
              <w:jc w:val="center"/>
            </w:pPr>
            <w:r>
              <w:rPr>
                <w:b w:val="0"/>
                <w:sz w:val="16"/>
              </w:rPr>
              <w:t>FTP-Patator / 1,588</w:t>
            </w:r>
          </w:p>
        </w:tc>
      </w:tr>
      <w:tr>
        <w:tc>
          <w:tcPr>
            <w:tcW w:type="dxa" w:w="4968"/>
            <w:vAlign w:val="center"/>
          </w:tcPr>
          <w:p>
            <w:pPr>
              <w:spacing w:after="0"/>
              <w:jc w:val="left"/>
            </w:pPr>
            <w:r>
              <w:rPr>
                <w:b w:val="0"/>
                <w:sz w:val="16"/>
              </w:rPr>
              <w:t>Pre-update known accuracy</w:t>
            </w:r>
          </w:p>
        </w:tc>
        <w:tc>
          <w:tcPr>
            <w:tcW w:type="dxa" w:w="4968"/>
            <w:vAlign w:val="center"/>
          </w:tcPr>
          <w:p>
            <w:pPr>
              <w:spacing w:after="0"/>
              <w:jc w:val="center"/>
            </w:pPr>
            <w:r>
              <w:rPr>
                <w:b w:val="0"/>
                <w:sz w:val="16"/>
              </w:rPr>
              <w:t>87.28% (226,135 rows)</w:t>
            </w:r>
          </w:p>
        </w:tc>
      </w:tr>
      <w:tr>
        <w:tc>
          <w:tcPr>
            <w:tcW w:type="dxa" w:w="4968"/>
            <w:vAlign w:val="center"/>
          </w:tcPr>
          <w:p>
            <w:pPr>
              <w:spacing w:after="0"/>
              <w:jc w:val="left"/>
            </w:pPr>
            <w:r>
              <w:rPr>
                <w:b w:val="0"/>
                <w:sz w:val="16"/>
              </w:rPr>
              <w:t>Unknown recall, all four gates</w:t>
            </w:r>
          </w:p>
        </w:tc>
        <w:tc>
          <w:tcPr>
            <w:tcW w:type="dxa" w:w="4968"/>
            <w:vAlign w:val="center"/>
          </w:tcPr>
          <w:p>
            <w:pPr>
              <w:spacing w:after="0"/>
              <w:jc w:val="center"/>
            </w:pPr>
            <w:r>
              <w:rPr>
                <w:b w:val="0"/>
                <w:sz w:val="16"/>
              </w:rPr>
              <w:t>0.00%</w:t>
            </w:r>
          </w:p>
        </w:tc>
      </w:tr>
      <w:tr>
        <w:tc>
          <w:tcPr>
            <w:tcW w:type="dxa" w:w="4968"/>
            <w:vAlign w:val="center"/>
          </w:tcPr>
          <w:p>
            <w:pPr>
              <w:spacing w:after="0"/>
              <w:jc w:val="left"/>
            </w:pPr>
            <w:r>
              <w:rPr>
                <w:b w:val="0"/>
                <w:sz w:val="16"/>
              </w:rPr>
              <w:t>Best AUROC / OSCR-style AUC</w:t>
            </w:r>
          </w:p>
        </w:tc>
        <w:tc>
          <w:tcPr>
            <w:tcW w:type="dxa" w:w="4968"/>
            <w:vAlign w:val="center"/>
          </w:tcPr>
          <w:p>
            <w:pPr>
              <w:spacing w:after="0"/>
              <w:jc w:val="center"/>
            </w:pPr>
            <w:r>
              <w:rPr>
                <w:b w:val="0"/>
                <w:sz w:val="16"/>
              </w:rPr>
              <w:t>0.5303 / 0.4699</w:t>
            </w:r>
          </w:p>
        </w:tc>
      </w:tr>
      <w:tr>
        <w:tc>
          <w:tcPr>
            <w:tcW w:type="dxa" w:w="4968"/>
            <w:vAlign w:val="center"/>
          </w:tcPr>
          <w:p>
            <w:pPr>
              <w:spacing w:after="0"/>
              <w:jc w:val="left"/>
            </w:pPr>
            <w:r>
              <w:rPr>
                <w:b w:val="0"/>
                <w:sz w:val="16"/>
              </w:rPr>
              <w:t>Post-label new-class recall</w:t>
            </w:r>
          </w:p>
        </w:tc>
        <w:tc>
          <w:tcPr>
            <w:tcW w:type="dxa" w:w="4968"/>
            <w:vAlign w:val="center"/>
          </w:tcPr>
          <w:p>
            <w:pPr>
              <w:spacing w:after="0"/>
              <w:jc w:val="center"/>
            </w:pPr>
            <w:r>
              <w:rPr>
                <w:b w:val="0"/>
                <w:sz w:val="16"/>
              </w:rPr>
              <w:t>82.30%</w:t>
            </w:r>
          </w:p>
        </w:tc>
      </w:tr>
      <w:tr>
        <w:tc>
          <w:tcPr>
            <w:tcW w:type="dxa" w:w="4968"/>
            <w:vAlign w:val="center"/>
          </w:tcPr>
          <w:p>
            <w:pPr>
              <w:spacing w:after="0"/>
              <w:jc w:val="left"/>
            </w:pPr>
            <w:r>
              <w:rPr>
                <w:b w:val="0"/>
                <w:sz w:val="16"/>
              </w:rPr>
              <w:t>Old-class accuracy change</w:t>
            </w:r>
          </w:p>
        </w:tc>
        <w:tc>
          <w:tcPr>
            <w:tcW w:type="dxa" w:w="4968"/>
            <w:vAlign w:val="center"/>
          </w:tcPr>
          <w:p>
            <w:pPr>
              <w:spacing w:after="0"/>
              <w:jc w:val="center"/>
            </w:pPr>
            <w:r>
              <w:rPr>
                <w:b w:val="0"/>
                <w:sz w:val="16"/>
              </w:rPr>
              <w:t>-0.27 percentage points</w:t>
            </w:r>
          </w:p>
        </w:tc>
      </w:tr>
    </w:tbl>
    <w:p>
      <w:pPr>
        <w:pStyle w:val="Heading2"/>
      </w:pPr>
      <w:r>
        <w:t>4.7 Paired checkpoint-selection result</w:t>
      </w:r>
    </w:p>
    <w:p>
      <w:r>
        <w:t>The training-only rule changes the operating trade-off but does not establish a stable improvement. Relative to last-epoch selection, final accuracy increases from 85.51% to 87.52% and Macro-F1 from 54.40% to 56.34%, while average task accuracy decreases from 79.78% to 77.88%, forgetting increases from 3.52% to 5.18%, and attack recall decreases from 85.73% to 83.76%. Benign FPR decreases from 13.10% to 10.44%. Every paired 95% confidence interval includes zero; the Holm-adjusted p-value for the two registered primary outcomes, Macro-F1 and forgetting, is 0.755. The candidate is therefore retained as an inconclusive ablation, and last-epoch selection remains the primary configuration.</w:t>
      </w:r>
    </w:p>
    <w:p>
      <w:pPr>
        <w:pStyle w:val="Caption"/>
      </w:pPr>
      <w:r>
        <w:t>Figure 4. Five-seed checkpoint-selection trade-off on the ReplayIDS-aligned D2 contract. Lower is better for forgetting and benign FPR.</w:t>
      </w:r>
    </w:p>
    <w:p>
      <w:pPr>
        <w:spacing w:before="60" w:after="60"/>
        <w:jc w:val="center"/>
      </w:pPr>
      <w:r>
        <w:drawing>
          <wp:inline>
            <wp:extent cx="5897880" cy="2995017"/>
            <wp:docPr id="5" name="Picture 5"/>
            <wp:cNvGraphicFramePr>
              <a:graphicFrameLocks noChangeAspect="1"/>
            </wp:cNvGraphicFramePr>
            <a:graphic>
              <a:graphicData uri="http://schemas.openxmlformats.org/drawingml/2006/picture">
                <pic:pic>
                  <pic:nvPicPr>
                    <pic:cNvPr id="0" name="checkpoint_selection_tradeoff.png"/>
                    <pic:cNvPicPr/>
                  </pic:nvPicPr>
                  <pic:blipFill>
                    <a:blip r:embed="rId15"/>
                    <a:stretch>
                      <a:fillRect/>
                    </a:stretch>
                  </pic:blipFill>
                  <pic:spPr>
                    <a:xfrm>
                      <a:off x="0" y="0"/>
                      <a:ext cx="5897880" cy="2995017"/>
                    </a:xfrm>
                    <a:prstGeom prst="rect"/>
                  </pic:spPr>
                </pic:pic>
              </a:graphicData>
            </a:graphic>
          </wp:inline>
        </w:drawing>
      </w:r>
    </w:p>
    <w:p>
      <w:pPr>
        <w:pStyle w:val="Caption"/>
        <w:keepNext/>
        <w:pageBreakBefore w:val="0"/>
      </w:pPr>
      <w:r>
        <w:t>Table 6. Per-class official joint-cap-3,000 results. Class-wise accuracy is recall; values are five-seed mean +/- sample SD on one fixed test split.</w:t>
      </w:r>
    </w:p>
    <w:tbl>
      <w:tblPr>
        <w:tblStyle w:val="TableGrid"/>
        <w:tblW w:type="dxa" w:w="9936"/>
        <w:tblLayout w:type="fixed"/>
        <w:tblLook w:firstColumn="1" w:firstRow="1" w:lastColumn="0" w:lastRow="0" w:noHBand="0" w:noVBand="1" w:val="04A0"/>
        <w:tblInd w:type="dxa" w:w="120"/>
      </w:tblPr>
      <w:tblGrid>
        <w:gridCol w:w="2200"/>
        <w:gridCol w:w="850"/>
        <w:gridCol w:w="1721"/>
        <w:gridCol w:w="1721"/>
        <w:gridCol w:w="1722"/>
        <w:gridCol w:w="1722"/>
      </w:tblGrid>
      <w:tr>
        <w:tc>
          <w:tcPr>
            <w:tcW w:type="dxa" w:w="2200"/>
            <w:tcMar>
              <w:top w:w="20" w:type="dxa"/>
              <w:start w:w="70" w:type="dxa"/>
              <w:bottom w:w="20" w:type="dxa"/>
              <w:end w:w="70" w:type="dxa"/>
            </w:tcMar>
            <w:vAlign w:val="center"/>
            <w:shd w:fill="D9EAF2"/>
          </w:tcPr>
          <w:p>
            <w:pPr>
              <w:spacing w:before="0" w:after="0" w:line="216" w:lineRule="auto"/>
              <w:jc w:val="left"/>
            </w:pPr>
            <w:r>
              <w:rPr>
                <w:rFonts w:ascii="Arial" w:hAnsi="Arial"/>
                <w:b/>
                <w:sz w:val="13"/>
              </w:rPr>
              <w:t>Class</w:t>
            </w:r>
          </w:p>
        </w:tc>
        <w:tc>
          <w:tcPr>
            <w:tcW w:type="dxa" w:w="850"/>
            <w:tcMar>
              <w:top w:w="20" w:type="dxa"/>
              <w:start w:w="70" w:type="dxa"/>
              <w:bottom w:w="20" w:type="dxa"/>
              <w:end w:w="70" w:type="dxa"/>
            </w:tcMar>
            <w:vAlign w:val="center"/>
            <w:shd w:fill="D9EAF2"/>
          </w:tcPr>
          <w:p>
            <w:pPr>
              <w:spacing w:before="0" w:after="0" w:line="216" w:lineRule="auto"/>
              <w:jc w:val="center"/>
            </w:pPr>
            <w:r>
              <w:rPr>
                <w:rFonts w:ascii="Arial" w:hAnsi="Arial"/>
                <w:b/>
                <w:sz w:val="13"/>
              </w:rPr>
              <w:t>Support</w:t>
            </w:r>
          </w:p>
        </w:tc>
        <w:tc>
          <w:tcPr>
            <w:tcW w:type="dxa" w:w="1721"/>
            <w:tcMar>
              <w:top w:w="20" w:type="dxa"/>
              <w:start w:w="70" w:type="dxa"/>
              <w:bottom w:w="20" w:type="dxa"/>
              <w:end w:w="70" w:type="dxa"/>
            </w:tcMar>
            <w:vAlign w:val="center"/>
            <w:shd w:fill="D9EAF2"/>
          </w:tcPr>
          <w:p>
            <w:pPr>
              <w:spacing w:before="0" w:after="0" w:line="216" w:lineRule="auto"/>
              <w:jc w:val="center"/>
            </w:pPr>
            <w:r>
              <w:rPr>
                <w:rFonts w:ascii="Arial" w:hAnsi="Arial"/>
                <w:b/>
                <w:sz w:val="13"/>
              </w:rPr>
              <w:t>Last recall</w:t>
            </w:r>
          </w:p>
        </w:tc>
        <w:tc>
          <w:tcPr>
            <w:tcW w:type="dxa" w:w="1721"/>
            <w:tcMar>
              <w:top w:w="20" w:type="dxa"/>
              <w:start w:w="70" w:type="dxa"/>
              <w:bottom w:w="20" w:type="dxa"/>
              <w:end w:w="70" w:type="dxa"/>
            </w:tcMar>
            <w:vAlign w:val="center"/>
            <w:shd w:fill="D9EAF2"/>
          </w:tcPr>
          <w:p>
            <w:pPr>
              <w:spacing w:before="0" w:after="0" w:line="216" w:lineRule="auto"/>
              <w:jc w:val="center"/>
            </w:pPr>
            <w:r>
              <w:rPr>
                <w:rFonts w:ascii="Arial" w:hAnsi="Arial"/>
                <w:b/>
                <w:sz w:val="13"/>
              </w:rPr>
              <w:t>Cal. recall</w:t>
            </w:r>
          </w:p>
        </w:tc>
        <w:tc>
          <w:tcPr>
            <w:tcW w:type="dxa" w:w="1722"/>
            <w:tcMar>
              <w:top w:w="20" w:type="dxa"/>
              <w:start w:w="70" w:type="dxa"/>
              <w:bottom w:w="20" w:type="dxa"/>
              <w:end w:w="70" w:type="dxa"/>
            </w:tcMar>
            <w:vAlign w:val="center"/>
            <w:shd w:fill="D9EAF2"/>
          </w:tcPr>
          <w:p>
            <w:pPr>
              <w:spacing w:before="0" w:after="0" w:line="216" w:lineRule="auto"/>
              <w:jc w:val="center"/>
            </w:pPr>
            <w:r>
              <w:rPr>
                <w:rFonts w:ascii="Arial" w:hAnsi="Arial"/>
                <w:b/>
                <w:sz w:val="13"/>
              </w:rPr>
              <w:t>Last F1</w:t>
            </w:r>
          </w:p>
        </w:tc>
        <w:tc>
          <w:tcPr>
            <w:tcW w:type="dxa" w:w="1722"/>
            <w:tcMar>
              <w:top w:w="20" w:type="dxa"/>
              <w:start w:w="70" w:type="dxa"/>
              <w:bottom w:w="20" w:type="dxa"/>
              <w:end w:w="70" w:type="dxa"/>
            </w:tcMar>
            <w:vAlign w:val="center"/>
            <w:shd w:fill="D9EAF2"/>
          </w:tcPr>
          <w:p>
            <w:pPr>
              <w:spacing w:before="0" w:after="0" w:line="216" w:lineRule="auto"/>
              <w:jc w:val="center"/>
            </w:pPr>
            <w:r>
              <w:rPr>
                <w:rFonts w:ascii="Arial" w:hAnsi="Arial"/>
                <w:b/>
                <w:sz w:val="13"/>
              </w:rPr>
              <w:t>Cal. F1</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Benign</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174,421</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86.9% +/- 8.3%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89.6% +/- 5.0%</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90.7% +/- 4.4%</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92.1% +/- 2.8%</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GoldenEye</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2,059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97.8% +/- 0.9%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94.7% +/- 4.8%</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90.2% +/- 7.3%</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92.5% +/- 2.0%</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Hulk</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46,215</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81.0% +/- 13.7%</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81.1% +/- 18.1%</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80.6% +/- 8.2%</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82.7% +/- 7.5%</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Slowhttptest</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1,100</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75.0% +/- 14.3%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79.5% +/- 5.8%</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54.6% +/- 7.7%</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53.8% +/- 8.0%</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slowloris</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1,159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69.0% +/- 21.2%</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74.2% +/- 11.0%</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48.3% +/- 16.5%</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49.6% +/- 10.5%</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FTP-Patator</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1,588</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69.0% +/- 44.3%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70.1% +/- 24.9%</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30.9% +/- 28.5%</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51.5% +/- 19.9%</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Heartbleed</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2</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60.0% +/- 54.8%</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60.0% +/- 54.8%</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9.4% +/- 13.3%</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7.6% +/- 10.4%</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SSH-Patator</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1,179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82.3% +/- 23.3%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69.0% +/- 38.7%</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30.4% +/- 14.7%</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21.0% +/- 16.6%</w:t>
            </w:r>
          </w:p>
        </w:tc>
      </w:tr>
    </w:tbl>
    <w:p>
      <w:r>
        <w:t>The per-class record explains why aggregate gains are not sufficient. Heartbleed has only two official test rows, so its mean and standard deviation are not a stable population estimate. FTP-Patator F1 improves under calibration, whereas SSH-Patator recall and F1 decline. The class-specific trade-offs reinforce the decision not to promote the candidate.</w:t>
      </w:r>
    </w:p>
    <w:p w14:paraId="001000D6" w14:textId="001000D7">
      <w:pPr>
        <w:pStyle w:val="Heading1"/>
        <w:keepNext/>
      </w:pPr>
      <w:r>
        <w:t>5. Discussion</w:t>
      </w:r>
    </w:p>
    <w:p w14:paraId="001000D8" w14:textId="001000D9">
      <w:pPr>
        <w:pStyle w:val="Heading2"/>
        <w:keepNext/>
      </w:pPr>
      <w:r>
        <w:t>5.1 When is the trade-off operationally worthwhile?</w:t>
      </w:r>
    </w:p>
    <w:p w14:paraId="001000DA" w14:textId="001000DB">
      <w:pPr>
        <w:spacing w:before="0" w:after="100" w:line="259" w:lineRule="auto"/>
        <w:jc w:val="both"/>
      </w:pPr>
      <w: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100193" w14:textId="00100194">
      <w:pPr>
        <w:pStyle w:val="Heading2"/>
      </w:pPr>
      <w:r>
        <w:rPr/>
        <w:t xml:space="preserve">5.2 Classifier capacity and class imbalance</w:t>
      </w:r>
    </w:p>
    <w:p w14:paraId="00100195" w14:textId="00100196">
      <w:pPr>
        <w:pStyle w:val="Normal"/>
      </w:pPr>
      <w:r>
        <w:rPr/>
        <w:t xml:space="preserve">The new comparisons separate two questions that were previously conflated. TabM-OFRA asks whether a different differentiable encoder can improve the existing OFRA pipeline without changing its router, heads, or memory rules. The cumulative models ask how much performance is available when all seen-class rows are retained and a fresh multiclass classifier is trained. TabM-OFRA improves aggregate accuracy but not class-balanced metrics, whereas cumulative CatBoost improves all final classification metrics while showing greater checkpoint forgetting. Together with the per-class recall audit, this indicates that model capacity alone is not the main bottleneck; class imbalance and the combination of binary heads, routing, and bounded replay remain material.</w:t>
      </w:r>
    </w:p>
    <w:p w14:paraId="001000DC" w14:textId="00100119">
      <w:pPr>
        <w:pStyle w:val="Heading2"/>
        <w:keepNext/>
      </w:pPr>
      <w:r>
        <w:t xml:space="preserve">5.3 Meaning of the integrated evidence chain</w:t>
      </w:r>
    </w:p>
    <w:p w14:paraId="001000DE" w14:textId="001000DF">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t xml:space="preserve">5.4 Attribution dependence</w:t>
      </w:r>
    </w:p>
    <w:p w14:paraId="001000E2" w14:textId="001001B3">
      <w:pPr>
        <w:spacing w:before="0" w:after="100" w:line="259" w:lineRule="auto"/>
        <w:jc w:val="both"/>
      </w:pPr>
      <w:r>
        <w:rPr>
          <w:rFonts w:ascii="Arial" w:hAnsi="Arial"/>
          <w:b w:val="0"/>
          <w:i w:val="0"/>
          <w:sz w:val="20"/>
        </w:rPr>
        <w:t xml:space="preserve">The completed source-bound pilot confirms that ETG states inherit material attribution-method dependence. Agreement must therefore be reported at several levels rather than reduced to one feature-overlap number. Expected Gradients remains the registered operational explainer, but governance conclusions should be treated as method-conditioned; a future deployment should require method consensus, uncertainty-aware admission, or external calibration. The failed Integrated-Gradients completeness check further shows that a differentiable attribution method cannot be assumed valid for the complete piecewise routed score.</w:t>
      </w:r>
    </w:p>
    <w:p w14:paraId="001000E4" w14:textId="001000E5">
      <w:pPr>
        <w:pStyle w:val="Heading1"/>
        <w:keepNext/>
      </w:pPr>
      <w:r>
        <w:t>6. Limitations and Threats to Validity</w:t>
      </w:r>
    </w:p>
    <w:p w14:paraId="001000E6" w14:textId="001001B4">
      <w:pPr>
        <w:spacing w:before="0" w:after="100" w:line="259" w:lineRule="auto"/>
        <w:jc w:val="both"/>
      </w:pPr>
      <w:r>
        <w:t>First, strict five-seed prediction evidence is complete for all five datasets, but model capacity differs between Malaya and the four FT256x4 datasets. Second, source-bound SHAP and ETG evidence remains limited to Malaya seed 1; additional seeds have not yet passed the complete source-bound workflow. Third, attribution dependence is bounded by a three-method single-seed pilot, and Integrated Gradients failed its completeness diagnostic. Fourth, silent-drift thresholds are study-defined operating rules and have not been externally calibrated. Fifth, ETG actions are simulated and no analyst study or deployed feedback loop has been conducted.</w:t>
      </w:r>
    </w:p>
    <w:p w14:paraId="001000E8" w14:textId="001001B5">
      <w:pPr>
        <w:spacing w:before="0" w:after="100" w:line="259" w:lineRule="auto"/>
        <w:jc w:val="both"/>
      </w:pPr>
      <w:r>
        <w:t>Sixth, the current formal preprocessing uses Task-0-only numerical statistics and categorical vocabularies; the legacy 122/194-feature schema exposure was closed by strict cache rebuilding and affected five-seed reruns. Seventh, Malaya is not an intrusion-detection dataset, and its application labels cannot support attack-recall or benign false-positive claims. Eighth, Malaya is strongly imbalanced and several minority recalls remain low even after routing. Ninth, cumulative CatBoost and TabM diagnostics are not matched continual-learning baselines. Tenth, complete runtime, explanation latency, energy, analyst burden, and protocol-matched external-baseline tests are not yet available across the full dataset suite. Eleventh, the FTP-Patator open-set result is a single-seed, single-held-out-class diagnostic; its 0% unknown recall invalidates the current gate but does not establish that all open-set methods will fail. Twelfth, the paired checkpoint-selection experiment uses five seeds on one fixed split; it does not establish cross-split generalization, and the Heartbleed calibration fallback prevents a fully uniform class rule.</w:t>
      </w:r>
    </w:p>
    <w:p w14:paraId="001000EA" w14:textId="001000EB">
      <w:pPr>
        <w:pStyle w:val="Heading1"/>
        <w:keepNext/>
      </w:pPr>
      <w:r>
        <w:t>7. Conclusion</w:t>
      </w:r>
    </w:p>
    <w:p w14:paraId="001000EC" w14:textId="001001B6">
      <w:pPr>
        <w:spacing w:before="0" w:after="100" w:line="259" w:lineRule="auto"/>
        <w:jc w:val="both"/>
      </w:pPr>
      <w:r>
        <w:t>This revision provides a bounded evaluation of OFRA prediction, additive classifier diagnostics, explanation stability, and post-hoc ETG governance. Strict five-seed prediction evidence across five independently processed datasets shows that routing effects are dataset-dependent. CSE-CIC-IDS2018 exposes the strongest failure mode: routing improves Macro-F1 and attack recall but incurs high false positives, forgetting, and accuracy loss. A source-bound Malaya seed-1 analysis finds 12 silent explanation-drift events among 17 eligible transitions and executes ETG on the same routed-score evidence. The work supports a reproducible offline audit pipeline and an explicit trade-off analysis, not an online adaptive loop or universal superiority claim. The exploratory O1 pilot further shows that the current confidence-and-distance gate cannot discover FTP-Patator, while a subsequent labelled increment can learn it with limited old-class accuracy loss. A paired five-seed checkpoint-selection ablation is statistically inconclusive and leaves last-epoch selection as the primary setting.</w:t>
      </w:r>
    </w:p>
    <w:p w14:paraId="001000EE" w14:textId="001000EF">
      <w:pPr>
        <w:pStyle w:val="Heading1"/>
        <w:keepNext/>
      </w:pPr>
      <w:r>
        <w:t>Declarations</w:t>
      </w:r>
    </w:p>
    <w:p w14:paraId="001000F0" w14:textId="001000F1">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14:paraId="001000F2" w14:textId="001000F3">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14:paraId="001000F4" w14:textId="001000F5">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F8" w14:textId="001000F9">
      <w:pPr>
        <w:pStyle w:val="Heading1"/>
        <w:keepNext/>
      </w:pPr>
      <w:r>
        <w:t>References</w:t>
      </w:r>
    </w:p>
    <w:p w14:paraId="001000FA" w14:textId="001000FB">
      <w:pPr>
        <w:spacing w:before="0" w:after="0" w:line="216" w:lineRule="auto"/>
        <w:ind w:star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0" w:line="216" w:lineRule="auto"/>
        <w:ind w:start="288" w:hanging="288"/>
        <w:jc w:val="left"/>
      </w:pPr>
      <w:r>
        <w:rPr>
          <w:rFonts w:ascii="Arial" w:hAnsi="Arial"/>
          <w:b w:val="0"/>
          <w:i w:val="0"/>
          <w:sz w:val="16"/>
        </w:rPr>
        <w:t>French, R. M. (1999). Catastrophic forgetting in connectionist networks. Trends in Cognitive Sciences, 3(4), 128-135. https://doi.org/10.1016/S1364-6613(99)01294-2</w:t>
      </w:r>
    </w:p>
    <w:p w14:paraId="001000FE" w14:textId="001000FF">
      <w:pPr>
        <w:spacing w:before="0" w:after="0" w:line="216" w:lineRule="auto"/>
        <w:ind w:star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0" w:line="216" w:lineRule="auto" w:before="0"/>
        <w:ind w:start="288" w:hanging="288"/>
      </w:pPr>
      <w:r>
        <w:rPr>
          <w:sz w:val="16"/>
        </w:rPr>
        <w:t xml:space="preserve">Gorishniy, Y., Kotelnikov, A., and Babenko, A. (2025). TabM: Advancing tabular deep learning with parameter-efficient ensembling. International Conference on Learning Representations. https://arxiv.org/abs/2410.24210</w:t>
      </w:r>
    </w:p>
    <w:p w14:paraId="00100100" w14:textId="00100101">
      <w:pPr>
        <w:spacing w:before="0" w:after="0" w:line="216" w:lineRule="auto"/>
        <w:ind w:star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0" w:line="216" w:lineRule="auto"/>
        <w:ind w:star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14:paraId="00100104" w14:textId="00100105">
      <w:pPr>
        <w:spacing w:before="0" w:after="0" w:line="216" w:lineRule="auto"/>
        <w:ind w:start="288" w:hanging="288"/>
        <w:jc w:val="left"/>
      </w:pPr>
      <w:r>
        <w:rPr>
          <w:rFonts w:ascii="Arial" w:hAnsi="Arial"/>
          <w:b w:val="0"/>
          <w:i w:val="0"/>
          <w:sz w:val="16"/>
        </w:rPr>
        <w:t>Lundberg, S. M., and Lee, S.-I. (2017). A unified approach to interpreting model predictions. Advances in Neural Information Processing Systems, 30.</w:t>
      </w:r>
    </w:p>
    <w:p w14:paraId="00100106" w14:textId="00100107">
      <w:pPr>
        <w:spacing w:before="0" w:after="0" w:line="216" w:lineRule="auto"/>
        <w:ind w:star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0" w:line="216" w:lineRule="auto"/>
        <w:ind w:star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0" w:line="216" w:lineRule="auto" w:before="0"/>
        <w:ind w:start="288" w:hanging="288"/>
      </w:pPr>
      <w:r>
        <w:rPr>
          <w:sz w:val="16"/>
        </w:rPr>
        <w:t xml:space="preserve">Prokhorenkova, L., Gusev, G., Vorobev, A., Dorogush, A. V., and Gulin, A. (2018). CatBoost: Unbiased boosting with categorical features. Advances in Neural Information Processing Systems, 31.</w:t>
      </w:r>
    </w:p>
    <w:p w14:paraId="0010010A" w14:textId="0010010B">
      <w:pPr>
        <w:spacing w:before="0" w:after="0" w:line="216" w:lineRule="auto"/>
        <w:ind w:star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14:paraId="0010010C" w14:textId="0010010D">
      <w:pPr>
        <w:spacing w:before="0" w:after="0" w:line="216" w:lineRule="auto"/>
        <w:ind w:star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A0">
    <w:pPr>
      <w:pStyle w:val="Footer"/>
      <w:jc w:val="center"/>
    </w:pPr>
    <w:r>
      <w:t xml:space="preserve">WU LIQIANG | Research manuscript v2.9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9F">
    <w:pPr>
      <w:pStyle w:val="Header"/>
      <w:jc w:val="right"/>
    </w:pPr>
    <w:r>
      <w:t>OFRA + ETG | Evidence-aligned manuscript | 1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prediction with an offline ETG evidence ledger; current five-seed evidence</dc:subject>
  <dc:creator>Wu Liqiang</dc:creator>
  <cp:keywords>continual learning; network intrusion detection; explanation stability; SHAP; OFRA; ETG</cp:keywords>
  <cp:lastModifiedBy>Wu Liqiang</cp:lastModifiedBy>
  <cp:revision>1</cp:revision>
  <dcterms:created xsi:type="dcterms:W3CDTF">2013-12-23T23:15:00Z</dcterms:created>
  <dcterms:modified xsi:type="dcterms:W3CDTF">2026-08-26T00:00:00Z</dcterms:modified>
  <cp:category/>
</cp:coreProperties>
</file>