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NSL-KDD, UNSW-NB15, CIC-IDS-2017,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and a no-look-ahead audit confirms Task-0-only numerical scaling while identifying bounded future-category schema exposure in NSL-KDD and UNSW-NB15. The evidence supports a reproducible offline audit pipeline and dataset-dependent trade-offs, not an online feedback loop or universal superiority.</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 xml:space="preserve">Dataset-specific preprocessing removes identifiers, normalises labels, converts features to finite numerical arrays, fixes feature and class order, and constructs class-by-split shards. NSL-KDD retains its official train/test files and produces 122 features; UNSW-NB15 likewise retains its official files and produces 194 features.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 xml:space="preserve">The code/data no-look-ahead audit confirms that numerical standardisation reads only Task-0 training shards, freezes before pretraining, and rejects later updates. It also finds a bounded transductive categorical-schema limitation: relative to Task-0-only vocabularies, NSL-KDD has six future-only one-hot columns affecting 115 of 12,703 later-task rows (0.905%), and UNSW-NB15 has eight affecting 712 of 79,341 rows (0.897%). This is neither official-test leakage nor future-label training, but the affected preprocessing contracts are not strictly no-look-ahead.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RQ2: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t>4.2 RQ2: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4.3 RQ1: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pPr>
              <w:spacing w:after="0"/>
            </w:pPr>
            <w:r>
              <w:rPr>
                <w:sz w:val="16"/>
              </w:rPr>
              <w:t>Dataset / model</w:t>
            </w:r>
          </w:p>
        </w:tc>
        <w:tc>
          <w:tcPr>
            <w:tcW w:w="1350" w:type="dxa"/>
            <w:shd w:val="clear" w:fill="EAF0F5"/>
            <w:tcMar>
              <w:top w:w="80" w:type="dxa"/>
              <w:start w:w="120" w:type="dxa"/>
              <w:bottom w:w="80" w:type="dxa"/>
              <w:end w:w="120" w:type="dxa"/>
            </w:tcMar>
            <w:vAlign w:val="center"/>
          </w:tcPr>
          <w:p>
            <w:pPr>
              <w:spacing w:after="0"/>
            </w:pPr>
            <w:r>
              <w:rPr>
                <w:sz w:val="16"/>
              </w:rPr>
              <w:t>Arm</w:t>
            </w:r>
          </w:p>
        </w:tc>
        <w:tc>
          <w:tcPr>
            <w:tcW w:w="1650" w:type="dxa"/>
            <w:shd w:val="clear" w:fill="EAF0F5"/>
            <w:tcMar>
              <w:top w:w="80" w:type="dxa"/>
              <w:start w:w="120" w:type="dxa"/>
              <w:bottom w:w="80" w:type="dxa"/>
              <w:end w:w="120" w:type="dxa"/>
            </w:tcMar>
            <w:vAlign w:val="center"/>
          </w:tcPr>
          <w:p>
            <w:pPr>
              <w:spacing w:after="0"/>
            </w:pPr>
            <w:r>
              <w:rPr>
                <w:sz w:val="16"/>
              </w:rPr>
              <w:t>Accuracy</w:t>
            </w:r>
          </w:p>
        </w:tc>
        <w:tc>
          <w:tcPr>
            <w:tcW w:w="1650" w:type="dxa"/>
            <w:shd w:val="clear" w:fill="EAF0F5"/>
            <w:tcMar>
              <w:top w:w="80" w:type="dxa"/>
              <w:start w:w="120" w:type="dxa"/>
              <w:bottom w:w="80" w:type="dxa"/>
              <w:end w:w="120" w:type="dxa"/>
            </w:tcMar>
            <w:vAlign w:val="center"/>
          </w:tcPr>
          <w:p>
            <w:pPr>
              <w:spacing w:after="0"/>
            </w:pPr>
            <w:r>
              <w:rPr>
                <w:sz w:val="16"/>
              </w:rPr>
              <w:t>Macro-F1</w:t>
            </w:r>
          </w:p>
        </w:tc>
        <w:tc>
          <w:tcPr>
            <w:tcW w:w="1700" w:type="dxa"/>
            <w:shd w:val="clear" w:fill="EAF0F5"/>
            <w:tcMar>
              <w:top w:w="80" w:type="dxa"/>
              <w:start w:w="120" w:type="dxa"/>
              <w:bottom w:w="80" w:type="dxa"/>
              <w:end w:w="120" w:type="dxa"/>
            </w:tcMar>
            <w:vAlign w:val="center"/>
          </w:tcPr>
          <w:p>
            <w:pPr>
              <w:spacing w:after="0"/>
            </w:pPr>
            <w:r>
              <w:rPr>
                <w:sz w:val="16"/>
              </w:rPr>
              <w:t>Balanced acc.</w:t>
            </w:r>
          </w:p>
        </w:tc>
        <w:tc>
          <w:tcPr>
            <w:tcW w:w="1710" w:type="dxa"/>
            <w:shd w:val="clear" w:fill="EAF0F5"/>
            <w:tcMar>
              <w:top w:w="80" w:type="dxa"/>
              <w:start w:w="120" w:type="dxa"/>
              <w:bottom w:w="80" w:type="dxa"/>
              <w:end w:w="120" w:type="dxa"/>
            </w:tcMar>
            <w:vAlign w:val="center"/>
          </w:tcPr>
          <w:p>
            <w:pPr>
              <w:spacing w:after="0"/>
            </w:pPr>
            <w:r>
              <w:rPr>
                <w:sz w:val="16"/>
              </w:rPr>
              <w:t>Forgetting</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56.29</w:t>
            </w:r>
          </w:p>
        </w:tc>
        <w:tc>
          <w:tcPr>
            <w:tcW w:w="1650" w:type="dxa"/>
            <w:tcMar>
              <w:top w:w="80" w:type="dxa"/>
              <w:start w:w="120" w:type="dxa"/>
              <w:bottom w:w="80" w:type="dxa"/>
              <w:end w:w="120" w:type="dxa"/>
            </w:tcMar>
            <w:vAlign w:val="center"/>
          </w:tcPr>
          <w:p>
            <w:pPr>
              <w:spacing w:after="0"/>
            </w:pPr>
            <w:r>
              <w:rPr>
                <w:sz w:val="16"/>
              </w:rPr>
              <w:t>31.08</w:t>
            </w:r>
          </w:p>
        </w:tc>
        <w:tc>
          <w:tcPr>
            <w:tcW w:w="1700" w:type="dxa"/>
            <w:tcMar>
              <w:top w:w="80" w:type="dxa"/>
              <w:start w:w="120" w:type="dxa"/>
              <w:bottom w:w="80" w:type="dxa"/>
              <w:end w:w="120" w:type="dxa"/>
            </w:tcMar>
            <w:vAlign w:val="center"/>
          </w:tcPr>
          <w:p>
            <w:pPr>
              <w:spacing w:after="0"/>
            </w:pPr>
            <w:r>
              <w:rPr>
                <w:sz w:val="16"/>
              </w:rPr>
              <w:t>36.48</w:t>
            </w:r>
          </w:p>
        </w:tc>
        <w:tc>
          <w:tcPr>
            <w:tcW w:w="1710" w:type="dxa"/>
            <w:tcMar>
              <w:top w:w="80" w:type="dxa"/>
              <w:start w:w="120" w:type="dxa"/>
              <w:bottom w:w="80" w:type="dxa"/>
              <w:end w:w="120" w:type="dxa"/>
            </w:tcMar>
            <w:vAlign w:val="center"/>
          </w:tcPr>
          <w:p>
            <w:pPr>
              <w:spacing w:after="0"/>
            </w:pPr>
            <w:r>
              <w:rPr>
                <w:sz w:val="16"/>
              </w:rPr>
              <w:t>8.14 pp</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71.56</w:t>
            </w:r>
          </w:p>
        </w:tc>
        <w:tc>
          <w:tcPr>
            <w:tcW w:w="1650" w:type="dxa"/>
            <w:tcMar>
              <w:top w:w="80" w:type="dxa"/>
              <w:start w:w="120" w:type="dxa"/>
              <w:bottom w:w="80" w:type="dxa"/>
              <w:end w:w="120" w:type="dxa"/>
            </w:tcMar>
            <w:vAlign w:val="center"/>
          </w:tcPr>
          <w:p>
            <w:pPr>
              <w:spacing w:after="0"/>
            </w:pPr>
            <w:r>
              <w:rPr>
                <w:sz w:val="16"/>
              </w:rPr>
              <w:t>41.46</w:t>
            </w:r>
          </w:p>
        </w:tc>
        <w:tc>
          <w:tcPr>
            <w:tcW w:w="1700" w:type="dxa"/>
            <w:tcMar>
              <w:top w:w="80" w:type="dxa"/>
              <w:start w:w="120" w:type="dxa"/>
              <w:bottom w:w="80" w:type="dxa"/>
              <w:end w:w="120" w:type="dxa"/>
            </w:tcMar>
            <w:vAlign w:val="center"/>
          </w:tcPr>
          <w:p>
            <w:pPr>
              <w:spacing w:after="0"/>
            </w:pPr>
            <w:r>
              <w:rPr>
                <w:sz w:val="16"/>
              </w:rPr>
              <w:t>42.25</w:t>
            </w:r>
          </w:p>
        </w:tc>
        <w:tc>
          <w:tcPr>
            <w:tcW w:w="1710" w:type="dxa"/>
            <w:tcMar>
              <w:top w:w="80" w:type="dxa"/>
              <w:start w:w="120" w:type="dxa"/>
              <w:bottom w:w="80" w:type="dxa"/>
              <w:end w:w="120" w:type="dxa"/>
            </w:tcMar>
            <w:vAlign w:val="center"/>
          </w:tcPr>
          <w:p>
            <w:pPr>
              <w:spacing w:after="0"/>
            </w:pPr>
            <w:r>
              <w:rPr>
                <w:sz w:val="16"/>
              </w:rPr>
              <w:t>1.60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68.78</w:t>
            </w:r>
          </w:p>
        </w:tc>
        <w:tc>
          <w:tcPr>
            <w:tcW w:w="1650" w:type="dxa"/>
            <w:tcMar>
              <w:top w:w="80" w:type="dxa"/>
              <w:start w:w="120" w:type="dxa"/>
              <w:bottom w:w="80" w:type="dxa"/>
              <w:end w:w="120" w:type="dxa"/>
            </w:tcMar>
            <w:vAlign w:val="center"/>
          </w:tcPr>
          <w:p>
            <w:pPr>
              <w:spacing w:after="0"/>
            </w:pPr>
            <w:r>
              <w:rPr>
                <w:sz w:val="16"/>
              </w:rPr>
              <w:t>21.16</w:t>
            </w:r>
          </w:p>
        </w:tc>
        <w:tc>
          <w:tcPr>
            <w:tcW w:w="1700" w:type="dxa"/>
            <w:tcMar>
              <w:top w:w="80" w:type="dxa"/>
              <w:start w:w="120" w:type="dxa"/>
              <w:bottom w:w="80" w:type="dxa"/>
              <w:end w:w="120" w:type="dxa"/>
            </w:tcMar>
            <w:vAlign w:val="center"/>
          </w:tcPr>
          <w:p>
            <w:pPr>
              <w:spacing w:after="0"/>
            </w:pPr>
            <w:r>
              <w:rPr>
                <w:sz w:val="16"/>
              </w:rPr>
              <w:t>23.52</w:t>
            </w:r>
          </w:p>
        </w:tc>
        <w:tc>
          <w:tcPr>
            <w:tcW w:w="1710" w:type="dxa"/>
            <w:tcMar>
              <w:top w:w="80" w:type="dxa"/>
              <w:start w:w="120" w:type="dxa"/>
              <w:bottom w:w="80" w:type="dxa"/>
              <w:end w:w="120" w:type="dxa"/>
            </w:tcMar>
            <w:vAlign w:val="center"/>
          </w:tcPr>
          <w:p>
            <w:pPr>
              <w:spacing w:after="0"/>
            </w:pPr>
            <w:r>
              <w:rPr>
                <w:sz w:val="16"/>
              </w:rPr>
              <w:t>2.68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61.95</w:t>
            </w:r>
          </w:p>
        </w:tc>
        <w:tc>
          <w:tcPr>
            <w:tcW w:w="1650" w:type="dxa"/>
            <w:tcMar>
              <w:top w:w="80" w:type="dxa"/>
              <w:start w:w="120" w:type="dxa"/>
              <w:bottom w:w="80" w:type="dxa"/>
              <w:end w:w="120" w:type="dxa"/>
            </w:tcMar>
            <w:vAlign w:val="center"/>
          </w:tcPr>
          <w:p>
            <w:pPr>
              <w:spacing w:after="0"/>
            </w:pPr>
            <w:r>
              <w:rPr>
                <w:sz w:val="16"/>
              </w:rPr>
              <w:t>23.50</w:t>
            </w:r>
          </w:p>
        </w:tc>
        <w:tc>
          <w:tcPr>
            <w:tcW w:w="1700" w:type="dxa"/>
            <w:tcMar>
              <w:top w:w="80" w:type="dxa"/>
              <w:start w:w="120" w:type="dxa"/>
              <w:bottom w:w="80" w:type="dxa"/>
              <w:end w:w="120" w:type="dxa"/>
            </w:tcMar>
            <w:vAlign w:val="center"/>
          </w:tcPr>
          <w:p>
            <w:pPr>
              <w:spacing w:after="0"/>
            </w:pPr>
            <w:r>
              <w:rPr>
                <w:sz w:val="16"/>
              </w:rPr>
              <w:t>28.45</w:t>
            </w:r>
          </w:p>
        </w:tc>
        <w:tc>
          <w:tcPr>
            <w:tcW w:w="1710" w:type="dxa"/>
            <w:tcMar>
              <w:top w:w="80" w:type="dxa"/>
              <w:start w:w="120" w:type="dxa"/>
              <w:bottom w:w="80" w:type="dxa"/>
              <w:end w:w="120" w:type="dxa"/>
            </w:tcMar>
            <w:vAlign w:val="center"/>
          </w:tcPr>
          <w:p>
            <w:pPr>
              <w:spacing w:after="0"/>
            </w:pPr>
            <w:r>
              <w:rPr>
                <w:sz w:val="16"/>
              </w:rPr>
              <w:t>8.97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Head only</w:t>
            </w:r>
          </w:p>
        </w:tc>
        <w:tc>
          <w:tcPr>
            <w:tcW w:type="dxa" w:w="1650"/>
            <w:vAlign w:val="center"/>
          </w:tcPr>
          <w:p>
            <w:pPr>
              <w:spacing w:after="0"/>
            </w:pPr>
            <w:r>
              <w:rPr>
                <w:sz w:val="16"/>
              </w:rPr>
              <w:t>64.59</w:t>
            </w:r>
          </w:p>
        </w:tc>
        <w:tc>
          <w:tcPr>
            <w:tcW w:type="dxa" w:w="1650"/>
            <w:vAlign w:val="center"/>
          </w:tcPr>
          <w:p>
            <w:pPr>
              <w:spacing w:after="0"/>
            </w:pPr>
            <w:r>
              <w:rPr>
                <w:sz w:val="16"/>
              </w:rPr>
              <w:t>21.25</w:t>
            </w:r>
          </w:p>
        </w:tc>
        <w:tc>
          <w:tcPr>
            <w:tcW w:type="dxa" w:w="1700"/>
            <w:vAlign w:val="center"/>
          </w:tcPr>
          <w:p>
            <w:pPr>
              <w:spacing w:after="0"/>
            </w:pPr>
            <w:r>
              <w:rPr>
                <w:sz w:val="16"/>
              </w:rPr>
              <w:t>25.91</w:t>
            </w:r>
          </w:p>
        </w:tc>
        <w:tc>
          <w:tcPr>
            <w:tcW w:type="dxa" w:w="1710"/>
            <w:vAlign w:val="center"/>
          </w:tcPr>
          <w:p>
            <w:pPr>
              <w:spacing w:after="0"/>
            </w:pPr>
            <w:r>
              <w:rPr>
                <w:sz w:val="16"/>
              </w:rPr>
              <w:t>9.04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Joint cap</w:t>
            </w:r>
          </w:p>
        </w:tc>
        <w:tc>
          <w:tcPr>
            <w:tcW w:type="dxa" w:w="1650"/>
            <w:vAlign w:val="center"/>
          </w:tcPr>
          <w:p>
            <w:pPr>
              <w:spacing w:after="0"/>
            </w:pPr>
            <w:r>
              <w:rPr>
                <w:sz w:val="16"/>
              </w:rPr>
              <w:t>72.57</w:t>
            </w:r>
          </w:p>
        </w:tc>
        <w:tc>
          <w:tcPr>
            <w:tcW w:type="dxa" w:w="1650"/>
            <w:vAlign w:val="center"/>
          </w:tcPr>
          <w:p>
            <w:pPr>
              <w:spacing w:after="0"/>
            </w:pPr>
            <w:r>
              <w:rPr>
                <w:sz w:val="16"/>
              </w:rPr>
              <w:t>36.95</w:t>
            </w:r>
          </w:p>
        </w:tc>
        <w:tc>
          <w:tcPr>
            <w:tcW w:type="dxa" w:w="1700"/>
            <w:vAlign w:val="center"/>
          </w:tcPr>
          <w:p>
            <w:pPr>
              <w:spacing w:after="0"/>
            </w:pPr>
            <w:r>
              <w:rPr>
                <w:sz w:val="16"/>
              </w:rPr>
              <w:t>63.13</w:t>
            </w:r>
          </w:p>
        </w:tc>
        <w:tc>
          <w:tcPr>
            <w:tcW w:type="dxa" w:w="1710"/>
            <w:vAlign w:val="center"/>
          </w:tcPr>
          <w:p>
            <w:pPr>
              <w:spacing w:after="0"/>
            </w:pPr>
            <w:r>
              <w:rPr>
                <w:sz w:val="16"/>
              </w:rPr>
              <w:t>9.63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Head only</w:t>
            </w:r>
          </w:p>
        </w:tc>
        <w:tc>
          <w:tcPr>
            <w:tcW w:type="dxa" w:w="1650"/>
            <w:vAlign w:val="center"/>
          </w:tcPr>
          <w:p>
            <w:pPr>
              <w:spacing w:after="0"/>
            </w:pPr>
            <w:r>
              <w:rPr>
                <w:sz w:val="16"/>
              </w:rPr>
              <w:t>56.03</w:t>
            </w:r>
          </w:p>
        </w:tc>
        <w:tc>
          <w:tcPr>
            <w:tcW w:type="dxa" w:w="1650"/>
            <w:vAlign w:val="center"/>
          </w:tcPr>
          <w:p>
            <w:pPr>
              <w:spacing w:after="0"/>
            </w:pPr>
            <w:r>
              <w:rPr>
                <w:sz w:val="16"/>
              </w:rPr>
              <w:t>11.77</w:t>
            </w:r>
          </w:p>
        </w:tc>
        <w:tc>
          <w:tcPr>
            <w:tcW w:type="dxa" w:w="1700"/>
            <w:vAlign w:val="center"/>
          </w:tcPr>
          <w:p>
            <w:pPr>
              <w:spacing w:after="0"/>
            </w:pPr>
            <w:r>
              <w:rPr>
                <w:sz w:val="16"/>
              </w:rPr>
              <w:t>15.05</w:t>
            </w:r>
          </w:p>
        </w:tc>
        <w:tc>
          <w:tcPr>
            <w:tcW w:type="dxa" w:w="1710"/>
            <w:vAlign w:val="center"/>
          </w:tcPr>
          <w:p>
            <w:pPr>
              <w:spacing w:after="0"/>
            </w:pPr>
            <w:r>
              <w:rPr>
                <w:sz w:val="16"/>
              </w:rPr>
              <w:t>3.16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Joint cap</w:t>
            </w:r>
          </w:p>
        </w:tc>
        <w:tc>
          <w:tcPr>
            <w:tcW w:type="dxa" w:w="1650"/>
            <w:vAlign w:val="center"/>
          </w:tcPr>
          <w:p>
            <w:pPr>
              <w:spacing w:after="0"/>
            </w:pPr>
            <w:r>
              <w:rPr>
                <w:sz w:val="16"/>
              </w:rPr>
              <w:t>54.68</w:t>
            </w:r>
          </w:p>
        </w:tc>
        <w:tc>
          <w:tcPr>
            <w:tcW w:type="dxa" w:w="1650"/>
            <w:vAlign w:val="center"/>
          </w:tcPr>
          <w:p>
            <w:pPr>
              <w:spacing w:after="0"/>
            </w:pPr>
            <w:r>
              <w:rPr>
                <w:sz w:val="16"/>
              </w:rPr>
              <w:t>21.15</w:t>
            </w:r>
          </w:p>
        </w:tc>
        <w:tc>
          <w:tcPr>
            <w:tcW w:type="dxa" w:w="1700"/>
            <w:vAlign w:val="center"/>
          </w:tcPr>
          <w:p>
            <w:pPr>
              <w:spacing w:after="0"/>
            </w:pPr>
            <w:r>
              <w:rPr>
                <w:sz w:val="16"/>
              </w:rPr>
              <w:t>23.03</w:t>
            </w:r>
          </w:p>
        </w:tc>
        <w:tc>
          <w:tcPr>
            <w:tcW w:type="dxa" w:w="1710"/>
            <w:vAlign w:val="center"/>
          </w:tcPr>
          <w:p>
            <w:pPr>
              <w:spacing w:after="0"/>
            </w:pPr>
            <w:r>
              <w:rPr>
                <w:sz w:val="16"/>
              </w:rPr>
              <w:t>3.55 pp</w:t>
            </w:r>
          </w:p>
        </w:tc>
      </w:tr>
      <w:tr>
        <w:tc>
          <w:tcPr>
            <w:tcW w:type="dxa" w:w="1300"/>
            <w:vAlign w:val="center"/>
          </w:tcPr>
          <w:p>
            <w:r>
              <w:t>CSE-CIC-IDS2018</w:t>
              <w:br/>
              <w:t>FT256x4</w:t>
            </w:r>
          </w:p>
        </w:tc>
        <w:tc>
          <w:tcPr>
            <w:tcW w:type="dxa" w:w="1350"/>
            <w:vAlign w:val="center"/>
          </w:tcPr>
          <w:p>
            <w:r>
              <w:t>Head only</w:t>
            </w:r>
          </w:p>
        </w:tc>
        <w:tc>
          <w:tcPr>
            <w:tcW w:type="dxa" w:w="1650"/>
            <w:vAlign w:val="center"/>
          </w:tcPr>
          <w:p>
            <w:r>
              <w:t>79.21</w:t>
            </w:r>
          </w:p>
        </w:tc>
        <w:tc>
          <w:tcPr>
            <w:tcW w:type="dxa" w:w="1650"/>
            <w:vAlign w:val="center"/>
          </w:tcPr>
          <w:p>
            <w:r>
              <w:t>19.06</w:t>
            </w:r>
          </w:p>
        </w:tc>
        <w:tc>
          <w:tcPr>
            <w:tcW w:type="dxa" w:w="1700"/>
            <w:vAlign w:val="center"/>
          </w:tcPr>
          <w:p>
            <w:r>
              <w:t>21.15</w:t>
            </w:r>
          </w:p>
        </w:tc>
        <w:tc>
          <w:tcPr>
            <w:tcW w:type="dxa" w:w="1710"/>
            <w:vAlign w:val="center"/>
          </w:tcPr>
          <w:p>
            <w:r>
              <w:t>2.00 pp</w:t>
            </w:r>
          </w:p>
        </w:tc>
      </w:tr>
      <w:tr>
        <w:tc>
          <w:tcPr>
            <w:tcW w:type="dxa" w:w="1300"/>
            <w:vAlign w:val="center"/>
          </w:tcPr>
          <w:p>
            <w:r>
              <w:t>CSE-CIC-IDS2018</w:t>
              <w:br/>
              <w:t>FT256x4</w:t>
            </w:r>
          </w:p>
        </w:tc>
        <w:tc>
          <w:tcPr>
            <w:tcW w:type="dxa" w:w="1350"/>
            <w:vAlign w:val="center"/>
          </w:tcPr>
          <w:p>
            <w:r>
              <w:t>Joint cap</w:t>
            </w:r>
          </w:p>
        </w:tc>
        <w:tc>
          <w:tcPr>
            <w:tcW w:type="dxa" w:w="1650"/>
            <w:vAlign w:val="center"/>
          </w:tcPr>
          <w:p>
            <w:r>
              <w:t>50.16</w:t>
            </w:r>
          </w:p>
        </w:tc>
        <w:tc>
          <w:tcPr>
            <w:tcW w:type="dxa" w:w="1650"/>
            <w:vAlign w:val="center"/>
          </w:tcPr>
          <w:p>
            <w:r>
              <w:t>33.55</w:t>
            </w:r>
          </w:p>
        </w:tc>
        <w:tc>
          <w:tcPr>
            <w:tcW w:type="dxa" w:w="1700"/>
            <w:vAlign w:val="center"/>
          </w:tcPr>
          <w:p>
            <w:r>
              <w:t>52.15</w:t>
            </w:r>
          </w:p>
        </w:tc>
        <w:tc>
          <w:tcPr>
            <w:tcW w:type="dxa" w:w="1710"/>
            <w:vAlign w:val="center"/>
          </w:tcPr>
          <w:p>
            <w: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pPr>
      <w:r>
        <w:t>4.4 RQ1: Additive classifier comparison</w:t>
      </w:r>
    </w:p>
    <w:p w14:paraId="0010012B" w14:textId="001001EF">
      <w:pPr>
        <w:pStyle w:val="Caption"/>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all five datasets, but model capacity differs between Malaya and the four FT256x4 datasets. Second, source-bound SHAP and ETG evidence remains limited to Malaya seed 1; additional seeds have not yet passed the complete source-bound workflow. Third, attribution dependence is bounded by a three-method single-seed pilot,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numerical Task-0-only scaling passes the no-look-ahead audit, but NSL-KDD and UNSW-NB15 categorical schemas contain bounded future-category information affecting about 0.9% of later-task rows; strict vocabulary rebuilding and rerunning remain open.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five independently processed datasets shows that routing effects are dataset-dependent. CSE-CIC-IDS2018 exposes the strongest failure mode: routing improves Macro-F1 and attack recall but incurs high false positives, forgetting, and accuracy loss. A source-bound Malaya seed-1 analysis finds 12 silent explanation-drift events among 17 eligible transitions and executes ETG on the same routed-score evidence. The work supports a reproducible offline audit pipeline and an explicit trade-off analysis, not an online adaptive loop or universal superiority claim.</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b w:val="0"/>
        <w:i w:val="0"/>
        <w:color w:val="5A646E"/>
        <w:sz w:val="16"/>
      </w:rPr>
      <w:t xml:space="preserve">WU LIQIANG | Research manuscript v2.6 | Page </w:t>
    </w:r>
    <w:r/>
    <w:r/>
    <w:r/>
    <w:r>
      <w:t>1</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rPr>
        <w:rFonts w:ascii="Arial" w:hAnsi="Arial"/>
        <w:b w:val="0"/>
        <w:i w:val="0"/>
        <w:color w:val="5A646E"/>
        <w:sz w:val="16"/>
      </w:rPr>
      <w:t>OFRA + ETG | Supervisor revision | 24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cp:coreProperties>
</file>