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STP概要设计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模块层次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2220" w:type="dxa"/>
        <w:tblInd w:w="1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业务处理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通信层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层级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业务处理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数据处理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包数据解析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数据预处理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Can组包;根据协议组包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通信层(数据链路层)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接发can总线数据;接收队列，发送队列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3979545"/>
            <wp:effectExtent l="0" t="0" r="14605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DataProcess数据类函数接口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OnDataProcess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数据处理函数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OnRecvDataProcess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接收数据处理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Data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接收Can数据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UdpCan</w:t>
      </w:r>
      <w:r>
        <w:rPr>
          <w:rFonts w:hint="default"/>
          <w:b/>
          <w:lang w:val="en-US" w:eastAsia="zh-CN"/>
        </w:rPr>
        <w:t>Data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OnSendDataProcess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发送数据处理</w:t>
      </w:r>
    </w:p>
    <w:p>
      <w:pPr>
        <w:pStyle w:val="4"/>
        <w:bidi w:val="0"/>
        <w:ind w:left="720" w:leftChars="0" w:hanging="7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OnSendCanData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发送Can数据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OnSendUdpCanData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CanData Can数据类函数接口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DataPreProc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接收Can数据预处理接口</w:t>
      </w:r>
    </w:p>
    <w:p>
      <w:pPr>
        <w:pStyle w:val="3"/>
        <w:bidi w:val="0"/>
        <w:ind w:left="575" w:leftChars="0" w:hanging="57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UdpCanData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b/>
          <w:lang w:val="en-US" w:eastAsia="zh-CN"/>
        </w:rPr>
        <w:t>OnRecv</w:t>
      </w:r>
      <w:r>
        <w:rPr>
          <w:rFonts w:hint="eastAsia"/>
          <w:b/>
          <w:lang w:val="en-US" w:eastAsia="zh-CN"/>
        </w:rPr>
        <w:t>UdpCan</w:t>
      </w:r>
      <w:r>
        <w:rPr>
          <w:rFonts w:hint="default"/>
          <w:b/>
          <w:lang w:val="en-US" w:eastAsia="zh-CN"/>
        </w:rPr>
        <w:t>DataPreProc</w:t>
      </w:r>
    </w:p>
    <w:p>
      <w:pPr>
        <w:pStyle w:val="3"/>
        <w:numPr>
          <w:ilvl w:val="0"/>
          <w:numId w:val="3"/>
        </w:numPr>
        <w:tabs>
          <w:tab w:val="left" w:pos="332"/>
        </w:tabs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数据</w:t>
      </w:r>
      <w:r>
        <w:rPr>
          <w:rFonts w:hint="eastAsia"/>
          <w:b/>
          <w:lang w:val="en-US" w:eastAsia="zh-CN"/>
        </w:rPr>
        <w:t>预处理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SysDataPreProc</w:t>
      </w:r>
      <w:r>
        <w:rPr>
          <w:rFonts w:hint="eastAsia"/>
          <w:lang w:val="en-US" w:eastAsia="zh-CN"/>
        </w:rPr>
        <w:t>类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GetDataTran</w:t>
      </w:r>
    </w:p>
    <w:p>
      <w:pPr>
        <w:pStyle w:val="4"/>
        <w:bidi w:val="0"/>
        <w:ind w:left="720" w:leftChars="0" w:hanging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Can</w:t>
      </w:r>
      <w:r>
        <w:rPr>
          <w:rFonts w:hint="default"/>
          <w:b/>
          <w:lang w:val="en-US" w:eastAsia="zh-CN"/>
        </w:rPr>
        <w:t>SendDataTran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CanDataParser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UdpCanDataParser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</w:t>
      </w:r>
      <w:r>
        <w:rPr>
          <w:rFonts w:hint="eastAsia"/>
          <w:b/>
          <w:lang w:val="en-US" w:eastAsia="zh-CN"/>
        </w:rPr>
        <w:t>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</w:t>
      </w:r>
      <w:r>
        <w:rPr>
          <w:rFonts w:hint="eastAsia"/>
          <w:b/>
          <w:lang w:val="en-US" w:eastAsia="zh-CN"/>
        </w:rPr>
        <w:t>处理</w:t>
      </w:r>
      <w:r>
        <w:rPr>
          <w:rFonts w:hint="eastAsia"/>
          <w:sz w:val="32"/>
          <w:szCs w:val="32"/>
          <w:lang w:val="en-US" w:eastAsia="zh-CN"/>
        </w:rPr>
        <w:t>模块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UI设计模块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UI设计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调度终端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调车终端主界面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77970"/>
            <wp:effectExtent l="0" t="0" r="57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系统栏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指示灯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站场显示窗口</w:t>
      </w:r>
    </w:p>
    <w:p>
      <w:pPr>
        <w:pStyle w:val="5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</w:t>
      </w:r>
      <w:r>
        <w:rPr>
          <w:rFonts w:hint="eastAsia"/>
          <w:b/>
          <w:lang w:val="en-US" w:eastAsia="zh-CN"/>
        </w:rPr>
        <w:t>工具</w:t>
      </w:r>
      <w:r>
        <w:rPr>
          <w:rFonts w:hint="eastAsia"/>
          <w:sz w:val="32"/>
          <w:szCs w:val="32"/>
          <w:lang w:val="en-US" w:eastAsia="zh-CN"/>
        </w:rPr>
        <w:t>条</w:t>
      </w:r>
    </w:p>
    <w:p>
      <w:pPr>
        <w:pStyle w:val="5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作业单</w:t>
      </w:r>
      <w:r>
        <w:rPr>
          <w:rFonts w:hint="eastAsia"/>
          <w:b/>
          <w:lang w:val="en-US" w:eastAsia="zh-CN"/>
        </w:rPr>
        <w:t>显示</w:t>
      </w:r>
      <w:r>
        <w:rPr>
          <w:rFonts w:hint="eastAsia"/>
          <w:sz w:val="32"/>
          <w:szCs w:val="32"/>
          <w:lang w:val="en-US" w:eastAsia="zh-CN"/>
        </w:rPr>
        <w:t>窗口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19860"/>
            <wp:effectExtent l="0" t="0" r="444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系统启动后的操作步骤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取得操作权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回应机车</w:t>
      </w:r>
      <w:r>
        <w:rPr>
          <w:rFonts w:hint="eastAsia"/>
          <w:b/>
          <w:sz w:val="32"/>
          <w:szCs w:val="32"/>
          <w:lang w:val="en-US" w:eastAsia="zh-CN"/>
        </w:rPr>
        <w:t>请求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p>
      <w:pPr>
        <w:pStyle w:val="5"/>
        <w:bidi w:val="0"/>
        <w:ind w:left="864" w:hanging="86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取消操作权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调车作业中的主要操作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初始股道确认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2857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压信号作业确认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越站调车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发生与签收</w:t>
      </w:r>
      <w:r>
        <w:rPr>
          <w:rFonts w:hint="eastAsia"/>
          <w:b/>
          <w:sz w:val="32"/>
          <w:szCs w:val="32"/>
          <w:lang w:val="en-US" w:eastAsia="zh-CN"/>
        </w:rPr>
        <w:t>作业</w:t>
      </w:r>
      <w:r>
        <w:rPr>
          <w:rFonts w:hint="eastAsia"/>
          <w:lang w:val="en-US" w:eastAsia="zh-CN"/>
        </w:rPr>
        <w:t>单</w:t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机车监控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78280"/>
            <wp:effectExtent l="0" t="0" r="952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hanging="86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作业单编辑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338705"/>
            <wp:effectExtent l="0" t="0" r="317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64" w:hanging="86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b/>
          <w:sz w:val="32"/>
          <w:szCs w:val="32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FB1E5"/>
    <w:multiLevelType w:val="singleLevel"/>
    <w:tmpl w:val="884FB1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93B99D4"/>
    <w:multiLevelType w:val="singleLevel"/>
    <w:tmpl w:val="B93B99D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239CBB01"/>
    <w:multiLevelType w:val="multilevel"/>
    <w:tmpl w:val="239CBB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78A3"/>
    <w:rsid w:val="0709548A"/>
    <w:rsid w:val="07E54821"/>
    <w:rsid w:val="07FA32B3"/>
    <w:rsid w:val="0B515BFD"/>
    <w:rsid w:val="0ED77D69"/>
    <w:rsid w:val="10D724A0"/>
    <w:rsid w:val="13C8094A"/>
    <w:rsid w:val="13F21047"/>
    <w:rsid w:val="14692B89"/>
    <w:rsid w:val="152D78EF"/>
    <w:rsid w:val="16F4106A"/>
    <w:rsid w:val="19D17038"/>
    <w:rsid w:val="1C1F2C50"/>
    <w:rsid w:val="1C201490"/>
    <w:rsid w:val="1DA70EAC"/>
    <w:rsid w:val="1E2C7A5C"/>
    <w:rsid w:val="201C354E"/>
    <w:rsid w:val="20B905F6"/>
    <w:rsid w:val="20EC37FA"/>
    <w:rsid w:val="21C66EAC"/>
    <w:rsid w:val="24566C54"/>
    <w:rsid w:val="270402B5"/>
    <w:rsid w:val="27A1654A"/>
    <w:rsid w:val="2A433BB3"/>
    <w:rsid w:val="2A8F4F37"/>
    <w:rsid w:val="2AC4351E"/>
    <w:rsid w:val="2C183BA3"/>
    <w:rsid w:val="31C564B6"/>
    <w:rsid w:val="338D730F"/>
    <w:rsid w:val="357C0215"/>
    <w:rsid w:val="3C4A4034"/>
    <w:rsid w:val="3D100C9F"/>
    <w:rsid w:val="3D8135AF"/>
    <w:rsid w:val="40A31116"/>
    <w:rsid w:val="40B202FC"/>
    <w:rsid w:val="42632B8A"/>
    <w:rsid w:val="43597AD1"/>
    <w:rsid w:val="440266B3"/>
    <w:rsid w:val="47B423A3"/>
    <w:rsid w:val="49602CF4"/>
    <w:rsid w:val="4AED1FF0"/>
    <w:rsid w:val="4B385D0D"/>
    <w:rsid w:val="4B851183"/>
    <w:rsid w:val="4C6B03A5"/>
    <w:rsid w:val="4C923878"/>
    <w:rsid w:val="4DA241ED"/>
    <w:rsid w:val="4DAE3ECE"/>
    <w:rsid w:val="51570212"/>
    <w:rsid w:val="550C75A8"/>
    <w:rsid w:val="55FD36BC"/>
    <w:rsid w:val="582103F4"/>
    <w:rsid w:val="5E73564E"/>
    <w:rsid w:val="5EA67790"/>
    <w:rsid w:val="5F3A303E"/>
    <w:rsid w:val="66573E98"/>
    <w:rsid w:val="7150378E"/>
    <w:rsid w:val="71CE51C5"/>
    <w:rsid w:val="722A1E42"/>
    <w:rsid w:val="761D0920"/>
    <w:rsid w:val="763271C8"/>
    <w:rsid w:val="76B82E48"/>
    <w:rsid w:val="79DA1E0F"/>
    <w:rsid w:val="7A71386E"/>
    <w:rsid w:val="7BE86731"/>
    <w:rsid w:val="7C95394D"/>
    <w:rsid w:val="7EC11535"/>
    <w:rsid w:val="7F3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2021-08-10T02:52:00Z</dcterms:created>
  <dc:creator>Administrator</dc:creator>
  <cp:lastModifiedBy>Administrator</cp:lastModifiedBy>
  <dcterms:modified xsi:type="dcterms:W3CDTF">2021-09-02T01:05:39Z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