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道路巡检反光板检测系统算法理论创新报告"/>
      <w:r>
        <w:t xml:space="preserve">道路巡检反光板检测系统算法理论创新报告</w:t>
      </w:r>
      <w:bookmarkEnd w:id="20"/>
    </w:p>
    <w:p>
      <w:pPr>
        <w:pStyle w:val="Heading2"/>
      </w:pPr>
      <w:bookmarkStart w:id="21" w:name="目录"/>
      <w:r>
        <w:t xml:space="preserve">目录</w:t>
      </w:r>
      <w:bookmarkEnd w:id="21"/>
    </w:p>
    <w:p>
      <w:pPr>
        <w:numPr>
          <w:ilvl w:val="0"/>
          <w:numId w:val="1001"/>
        </w:numPr>
        <w:pStyle w:val="Compact"/>
      </w:pPr>
      <w:hyperlink w:anchor="Xb006d64b0b1d73f18c606723422d85cca23017d">
        <w:r>
          <w:rPr>
            <w:rStyle w:val="Hyperlink"/>
          </w:rPr>
          <w:t xml:space="preserve">1 绪论</w:t>
        </w:r>
      </w:hyperlink>
    </w:p>
    <w:p>
      <w:pPr>
        <w:numPr>
          <w:ilvl w:val="1"/>
          <w:numId w:val="1002"/>
        </w:numPr>
        <w:pStyle w:val="Compact"/>
      </w:pPr>
      <w:hyperlink w:anchor="X8937dabc5ce3e80c7ed9121b0956503b5e6a27c">
        <w:r>
          <w:rPr>
            <w:rStyle w:val="Hyperlink"/>
          </w:rPr>
          <w:t xml:space="preserve">1.1 研究背景</w:t>
        </w:r>
      </w:hyperlink>
    </w:p>
    <w:p>
      <w:pPr>
        <w:numPr>
          <w:ilvl w:val="1"/>
          <w:numId w:val="1002"/>
        </w:numPr>
        <w:pStyle w:val="Compact"/>
      </w:pPr>
      <w:hyperlink w:anchor="Xe2693c33f760de0006d1aa8dbe3c2395da1791d">
        <w:r>
          <w:rPr>
            <w:rStyle w:val="Hyperlink"/>
          </w:rPr>
          <w:t xml:space="preserve">1.2 研究内容</w:t>
        </w:r>
      </w:hyperlink>
    </w:p>
    <w:p>
      <w:pPr>
        <w:numPr>
          <w:ilvl w:val="1"/>
          <w:numId w:val="1002"/>
        </w:numPr>
        <w:pStyle w:val="Compact"/>
      </w:pPr>
      <w:hyperlink w:anchor="Xbb15541885130204a202004fe4ab691a817af22">
        <w:r>
          <w:rPr>
            <w:rStyle w:val="Hyperlink"/>
          </w:rPr>
          <w:t xml:space="preserve">1.3 研究方法</w:t>
        </w:r>
      </w:hyperlink>
    </w:p>
    <w:p>
      <w:pPr>
        <w:numPr>
          <w:ilvl w:val="1"/>
          <w:numId w:val="1002"/>
        </w:numPr>
        <w:pStyle w:val="Compact"/>
      </w:pPr>
      <w:hyperlink w:anchor="X12c3ff1ba4ae0ef999ac63d8bec76ecfd9db737">
        <w:r>
          <w:rPr>
            <w:rStyle w:val="Hyperlink"/>
          </w:rPr>
          <w:t xml:space="preserve">1.4 技术突破点</w:t>
        </w:r>
      </w:hyperlink>
    </w:p>
    <w:p>
      <w:pPr>
        <w:numPr>
          <w:ilvl w:val="1"/>
          <w:numId w:val="1002"/>
        </w:numPr>
        <w:pStyle w:val="Compact"/>
      </w:pPr>
      <w:hyperlink w:anchor="X40aed8e41177eaaa610b3649c76ac75fdb450fe">
        <w:r>
          <w:rPr>
            <w:rStyle w:val="Hyperlink"/>
          </w:rPr>
          <w:t xml:space="preserve">1.5 验证与分析</w:t>
        </w:r>
      </w:hyperlink>
    </w:p>
    <w:p>
      <w:pPr>
        <w:numPr>
          <w:ilvl w:val="1"/>
          <w:numId w:val="1002"/>
        </w:numPr>
        <w:pStyle w:val="Compact"/>
      </w:pPr>
      <w:hyperlink w:anchor="Xc1dbcc139c1655c4ef4160a8e9412d1bc54b88f">
        <w:r>
          <w:rPr>
            <w:rStyle w:val="Hyperlink"/>
          </w:rPr>
          <w:t xml:space="preserve">1.6 性能提升情况</w:t>
        </w:r>
      </w:hyperlink>
    </w:p>
    <w:p>
      <w:pPr>
        <w:numPr>
          <w:ilvl w:val="1"/>
          <w:numId w:val="1002"/>
        </w:numPr>
        <w:pStyle w:val="Compact"/>
      </w:pPr>
      <w:hyperlink w:anchor="Xd0a67b37c48bae4c8eecb3deeb85139d2ae95ff">
        <w:r>
          <w:rPr>
            <w:rStyle w:val="Hyperlink"/>
          </w:rPr>
          <w:t xml:space="preserve">1.7 应用场景</w:t>
        </w:r>
      </w:hyperlink>
    </w:p>
    <w:p>
      <w:pPr>
        <w:numPr>
          <w:ilvl w:val="0"/>
          <w:numId w:val="1001"/>
        </w:numPr>
        <w:pStyle w:val="Compact"/>
      </w:pPr>
      <w:hyperlink w:anchor="二-技术方案正文">
        <w:r>
          <w:rPr>
            <w:rStyle w:val="Hyperlink"/>
          </w:rPr>
          <w:t xml:space="preserve">二、 技术方案正文</w:t>
        </w:r>
      </w:hyperlink>
    </w:p>
    <w:p>
      <w:pPr>
        <w:numPr>
          <w:ilvl w:val="1"/>
          <w:numId w:val="1003"/>
        </w:numPr>
        <w:pStyle w:val="Compact"/>
      </w:pPr>
      <w:hyperlink w:anchor="Xc620d300bc5b3a203673687cd968b7a1a55844a">
        <w:r>
          <w:rPr>
            <w:rStyle w:val="Hyperlink"/>
          </w:rPr>
          <w:t xml:space="preserve">2.1 项目背景</w:t>
        </w:r>
      </w:hyperlink>
    </w:p>
    <w:p>
      <w:pPr>
        <w:numPr>
          <w:ilvl w:val="1"/>
          <w:numId w:val="1003"/>
        </w:numPr>
        <w:pStyle w:val="Compact"/>
      </w:pPr>
      <w:hyperlink w:anchor="X3bcae7f730faa8f4f9ba9cd404eb282e7612c86">
        <w:r>
          <w:rPr>
            <w:rStyle w:val="Hyperlink"/>
          </w:rPr>
          <w:t xml:space="preserve">2.2 研究内容</w:t>
        </w:r>
      </w:hyperlink>
    </w:p>
    <w:p>
      <w:pPr>
        <w:numPr>
          <w:ilvl w:val="1"/>
          <w:numId w:val="1003"/>
        </w:numPr>
        <w:pStyle w:val="Compact"/>
      </w:pPr>
      <w:hyperlink w:anchor="X9eb4742c37a1d965e6174f11fd25b0ef2d9bd8b">
        <w:r>
          <w:rPr>
            <w:rStyle w:val="Hyperlink"/>
          </w:rPr>
          <w:t xml:space="preserve">2.3 研究方法</w:t>
        </w:r>
      </w:hyperlink>
    </w:p>
    <w:p>
      <w:pPr>
        <w:numPr>
          <w:ilvl w:val="1"/>
          <w:numId w:val="1003"/>
        </w:numPr>
        <w:pStyle w:val="Compact"/>
      </w:pPr>
      <w:hyperlink w:anchor="X66cdb175fc872dec8273b28d489ff1dbfbf3d03">
        <w:r>
          <w:rPr>
            <w:rStyle w:val="Hyperlink"/>
          </w:rPr>
          <w:t xml:space="preserve">2.4 技术路线</w:t>
        </w:r>
      </w:hyperlink>
    </w:p>
    <w:p>
      <w:pPr>
        <w:numPr>
          <w:ilvl w:val="1"/>
          <w:numId w:val="1003"/>
        </w:numPr>
        <w:pStyle w:val="Compact"/>
      </w:pPr>
      <w:hyperlink w:anchor="Xe0c2c18a770ddb16f1a7bb735aa74c780f1e08a">
        <w:r>
          <w:rPr>
            <w:rStyle w:val="Hyperlink"/>
          </w:rPr>
          <w:t xml:space="preserve">2.5 实验设计</w:t>
        </w:r>
      </w:hyperlink>
    </w:p>
    <w:p>
      <w:pPr>
        <w:numPr>
          <w:ilvl w:val="0"/>
          <w:numId w:val="1001"/>
        </w:numPr>
        <w:pStyle w:val="Compact"/>
      </w:pPr>
      <w:hyperlink w:anchor="三-项目研究结论及展望">
        <w:r>
          <w:rPr>
            <w:rStyle w:val="Hyperlink"/>
          </w:rPr>
          <w:t xml:space="preserve">三、 项目研究结论及展望</w:t>
        </w:r>
      </w:hyperlink>
    </w:p>
    <w:p>
      <w:pPr>
        <w:numPr>
          <w:ilvl w:val="1"/>
          <w:numId w:val="1004"/>
        </w:numPr>
        <w:pStyle w:val="Compact"/>
      </w:pPr>
      <w:hyperlink w:anchor="Xd895da95f7fe2f0571fc1cc3bbb1e388fad5ec3">
        <w:r>
          <w:rPr>
            <w:rStyle w:val="Hyperlink"/>
          </w:rPr>
          <w:t xml:space="preserve">3.1 研究结论</w:t>
        </w:r>
      </w:hyperlink>
    </w:p>
    <w:p>
      <w:pPr>
        <w:numPr>
          <w:ilvl w:val="1"/>
          <w:numId w:val="1004"/>
        </w:numPr>
        <w:pStyle w:val="Compact"/>
      </w:pPr>
      <w:hyperlink w:anchor="X933fbd0598d048944b109189bdd31f9f00f8018">
        <w:r>
          <w:rPr>
            <w:rStyle w:val="Hyperlink"/>
          </w:rPr>
          <w:t xml:space="preserve">3.2 创新成果</w:t>
        </w:r>
      </w:hyperlink>
    </w:p>
    <w:p>
      <w:pPr>
        <w:numPr>
          <w:ilvl w:val="1"/>
          <w:numId w:val="1004"/>
        </w:numPr>
        <w:pStyle w:val="Compact"/>
      </w:pPr>
      <w:hyperlink w:anchor="X09bb4efa4df4769f7d27886848fc6ab7cf3bd8d">
        <w:r>
          <w:rPr>
            <w:rStyle w:val="Hyperlink"/>
          </w:rPr>
          <w:t xml:space="preserve">3.3 下一步研究展望</w:t>
        </w:r>
      </w:hyperlink>
    </w:p>
    <w:p>
      <w:r>
        <w:pict>
          <v:rect style="width:0;height:1.5pt" o:hralign="center" o:hrstd="t" o:hr="t"/>
        </w:pict>
      </w:r>
    </w:p>
    <w:p>
      <w:pPr>
        <w:pStyle w:val="Heading2"/>
      </w:pPr>
      <w:bookmarkStart w:id="22" w:name="绪论"/>
      <w:r>
        <w:t xml:space="preserve">1 绪论</w:t>
      </w:r>
      <w:bookmarkEnd w:id="22"/>
    </w:p>
    <w:p>
      <w:pPr>
        <w:pStyle w:val="Heading3"/>
      </w:pPr>
      <w:bookmarkStart w:id="23" w:name="研究背景"/>
      <w:r>
        <w:t xml:space="preserve">1.1 研究背景</w:t>
      </w:r>
      <w:bookmarkEnd w:id="23"/>
    </w:p>
    <w:p>
      <w:pPr>
        <w:pStyle w:val="FirstParagraph"/>
      </w:pPr>
      <w:r>
        <w:t xml:space="preserve">在交通基础设施的自动化运营维护（Automated Infrastructure Operations and Maintenance）中，道路反光板（Road Reflector）的缺失与损坏检测是确保行车安全的关键任务。传统的深度神经网络（Deep Neural Networks）虽然在理想数据集上表现优异，但在面对高噪声、恶劣天气（如雨雾、反光）或分布外（Out-of-Distribution, OOD）样本时，由于 Softmax 激活函数的数学特性，容易产生</w:t>
      </w:r>
      <w:r>
        <w:t xml:space="preserve">“</w:t>
      </w:r>
      <w:r>
        <w:t xml:space="preserve">盲目自信</w:t>
      </w:r>
      <w:r>
        <w:t xml:space="preserve">”</w:t>
      </w:r>
      <w:r>
        <w:t xml:space="preserve">（Blind Overconfidence）的现象。这种对错误预测给出极高置信度的缺陷，极易在实际自动巡检中引发安全漏检。</w:t>
      </w:r>
    </w:p>
    <w:p>
      <w:pPr>
        <w:pStyle w:val="Heading3"/>
      </w:pPr>
      <w:bookmarkStart w:id="24" w:name="研究内容"/>
      <w:r>
        <w:t xml:space="preserve">1.2 研究内容</w:t>
      </w:r>
      <w:bookmarkEnd w:id="24"/>
    </w:p>
    <w:p>
      <w:pPr>
        <w:pStyle w:val="FirstParagraph"/>
      </w:pPr>
      <w:r>
        <w:t xml:space="preserve">本研究旨在通过引入证据深度学习（Evidential Deep Learning, EDL）理论，对经典的 SegFormer 语义分割（Semantic Segmentation）框架进行深度重构。研究内容主要包括：重构解码头的概率映射机制，将传统的无约束实数预测（Logits）转换为第二类概率——狄利克雷分布（Dirichlet Distribution）的证据参数；重构并修正多类狄利克雷损失函数（Dirichlet Loss），引入严格符合数学定义的 Kullback-Leibler (KL) 散度正则化约束；构建小样本高噪声的闭环对比实验，量化分析新算法在分割精度、概率校准度及不确定性估计方面的优势。</w:t>
      </w:r>
    </w:p>
    <w:p>
      <w:pPr>
        <w:pStyle w:val="Heading3"/>
      </w:pPr>
      <w:bookmarkStart w:id="25" w:name="研究方法"/>
      <w:r>
        <w:t xml:space="preserve">1.3 研究方法</w:t>
      </w:r>
      <w:bookmarkEnd w:id="25"/>
    </w:p>
    <w:p>
      <w:pPr>
        <w:pStyle w:val="FirstParagraph"/>
      </w:pPr>
      <w:r>
        <w:t xml:space="preserve">本研究采用理论推导与工程验证相结合的方法。首先，从贝叶斯概率框架出发，将传统的单点概率估计（Point Estimation）提升为概率分布的分布（Distribution of Distributions）估计。其次，在 MMSegmentation 框架下实现自定义解码头</w:t>
      </w:r>
      <w:r>
        <w:t xml:space="preserve"> </w:t>
      </w:r>
      <w:r>
        <w:rPr>
          <w:rStyle w:val="VerbatimChar"/>
        </w:rPr>
        <w:t xml:space="preserve">EvidentialHead</w:t>
      </w:r>
      <w:r>
        <w:t xml:space="preserve"> </w:t>
      </w:r>
      <w:r>
        <w:t xml:space="preserve">与自定义损失函数</w:t>
      </w:r>
      <w:r>
        <w:t xml:space="preserve"> </w:t>
      </w:r>
      <w:r>
        <w:rPr>
          <w:rStyle w:val="VerbatimChar"/>
        </w:rPr>
        <w:t xml:space="preserve">DirichletLoss</w:t>
      </w:r>
      <w:r>
        <w:t xml:space="preserve"> </w:t>
      </w:r>
      <w:r>
        <w:t xml:space="preserve">的数学级重构，确保梯度反向传播的数值稳定性。最后，通过构造高混叠的小样本模拟数据集，对重构后的 EDL 算法与标准 Softmax 算法进行全指标定量对比评估。</w:t>
      </w:r>
    </w:p>
    <w:p>
      <w:pPr>
        <w:pStyle w:val="Heading3"/>
      </w:pPr>
      <w:bookmarkStart w:id="26" w:name="技术突破点"/>
      <w:r>
        <w:t xml:space="preserve">1.4 技术突破点</w:t>
      </w:r>
      <w:bookmarkEnd w:id="26"/>
    </w:p>
    <w:p>
      <w:pPr>
        <w:pStyle w:val="FirstParagraph"/>
      </w:pPr>
      <w:r>
        <w:t xml:space="preserve">本研究在算法理论与工程实现上取得了以下关键突破：</w:t>
      </w:r>
      <w:r>
        <w:t xml:space="preserve"> </w:t>
      </w:r>
      <w:r>
        <w:t xml:space="preserve">- 纠正了传统 EDL 在工程实现中采用简化平方和近似 KL 散度的偏差，实现了精确的多维狄利克雷分布 KL 散度闭式解。</w:t>
      </w:r>
      <w:r>
        <w:t xml:space="preserve"> </w:t>
      </w:r>
      <w:r>
        <w:t xml:space="preserve">- 引入了针对狄利克雷不确定性的线性退火控制机制，有效解决了小样本在训练初期由于先验分布约束过强导致的梯度发散问题。</w:t>
      </w:r>
      <w:r>
        <w:t xml:space="preserve"> </w:t>
      </w:r>
      <w:r>
        <w:t xml:space="preserve">- 重新定义并规范了期望校准误差（Expected Calibration Error, ECE）在语义分割像素评估中的区间闭合性与 Class-wise ECE 的物理意义。</w:t>
      </w:r>
    </w:p>
    <w:p>
      <w:pPr>
        <w:pStyle w:val="Heading3"/>
      </w:pPr>
      <w:bookmarkStart w:id="27" w:name="验证与分析"/>
      <w:r>
        <w:t xml:space="preserve">1.5 验证与分析</w:t>
      </w:r>
      <w:bookmarkEnd w:id="27"/>
    </w:p>
    <w:p>
      <w:pPr>
        <w:pStyle w:val="FirstParagraph"/>
      </w:pPr>
      <w:r>
        <w:t xml:space="preserve">通过在沙箱环境中进行 3 类（背景、正常反光板、缺失反光板）小样本高噪声场景的端到端对比测试，实验结果表明：</w:t>
      </w:r>
      <w:r>
        <w:t xml:space="preserve"> </w:t>
      </w:r>
      <w:r>
        <w:t xml:space="preserve">- 修复并重构后的 EDL 算法成功将全局 ECE 降低了</w:t>
      </w:r>
      <w:r>
        <w:t xml:space="preserve"> </w:t>
      </w:r>
      <w:r>
        <w:rPr>
          <w:b/>
        </w:rPr>
        <w:t xml:space="preserve">51.4%</w:t>
      </w:r>
      <w:r>
        <w:t xml:space="preserve">，概率输出与实际分类准确率表现出极高的对齐性。</w:t>
      </w:r>
      <w:r>
        <w:t xml:space="preserve"> </w:t>
      </w:r>
      <w:r>
        <w:t xml:space="preserve">- mIoU 提升了</w:t>
      </w:r>
      <w:r>
        <w:t xml:space="preserve"> </w:t>
      </w:r>
      <w:r>
        <w:rPr>
          <w:b/>
        </w:rPr>
        <w:t xml:space="preserve">3.39%</w:t>
      </w:r>
      <w:r>
        <w:t xml:space="preserve">，证明基于证据的边界正则化约束能够有效抑制小样本条件下的噪声干扰，提升模型的特征表征能力。</w:t>
      </w:r>
    </w:p>
    <w:p>
      <w:pPr>
        <w:pStyle w:val="Heading3"/>
      </w:pPr>
      <w:bookmarkStart w:id="28" w:name="性能提升情况"/>
      <w:r>
        <w:t xml:space="preserve">1.6 性能提升情况</w:t>
      </w:r>
      <w:bookmarkEnd w:id="28"/>
    </w:p>
    <w:p>
      <w:pPr>
        <w:pStyle w:val="FirstParagraph"/>
      </w:pPr>
      <w:r>
        <w:t xml:space="preserve">重构后的系统在多项关键测评指标上取得了显著提升，具体数值对比参见下表：</w:t>
      </w:r>
    </w:p>
    <w:tbl>
      <w:tblPr>
        <w:tblStyle w:val="Table"/>
        <w:tblW w:type="pct" w:w="0.0"/>
        <w:tblLook w:firstRow="1"/>
      </w:tblPr>
      <w:tblGrid/>
      <w:tr>
        <w:trPr>
          <w:cnfStyle w:firstRow="1"/>
        </w:trPr>
        <w:tc>
          <w:tcPr>
            <w:tcBorders>
              <w:bottom w:val="single"/>
            </w:tcBorders>
            <w:vAlign w:val="bottom"/>
          </w:tcPr>
          <w:p>
            <w:pPr>
              <w:pStyle w:val="Compact"/>
              <w:jc w:val="left"/>
            </w:pPr>
            <w:r>
              <w:t xml:space="preserve">测评指标</w:t>
            </w:r>
          </w:p>
        </w:tc>
        <w:tc>
          <w:tcPr>
            <w:tcBorders>
              <w:bottom w:val="single"/>
            </w:tcBorders>
            <w:vAlign w:val="bottom"/>
          </w:tcPr>
          <w:p>
            <w:pPr>
              <w:pStyle w:val="Compact"/>
              <w:jc w:val="left"/>
            </w:pPr>
            <w:r>
              <w:t xml:space="preserve">英文术语</w:t>
            </w:r>
          </w:p>
        </w:tc>
        <w:tc>
          <w:tcPr>
            <w:tcBorders>
              <w:bottom w:val="single"/>
            </w:tcBorders>
            <w:vAlign w:val="bottom"/>
          </w:tcPr>
          <w:p>
            <w:pPr>
              <w:pStyle w:val="Compact"/>
              <w:jc w:val="center"/>
            </w:pPr>
            <w:r>
              <w:t xml:space="preserve">传统 Softmax 算法</w:t>
            </w:r>
          </w:p>
        </w:tc>
        <w:tc>
          <w:tcPr>
            <w:tcBorders>
              <w:bottom w:val="single"/>
            </w:tcBorders>
            <w:vAlign w:val="bottom"/>
          </w:tcPr>
          <w:p>
            <w:pPr>
              <w:pStyle w:val="Compact"/>
              <w:jc w:val="center"/>
            </w:pPr>
            <w:r>
              <w:t xml:space="preserve">重构后 EDL 算法</w:t>
            </w:r>
          </w:p>
        </w:tc>
        <w:tc>
          <w:tcPr>
            <w:tcBorders>
              <w:bottom w:val="single"/>
            </w:tcBorders>
            <w:vAlign w:val="bottom"/>
          </w:tcPr>
          <w:p>
            <w:pPr>
              <w:pStyle w:val="Compact"/>
              <w:jc w:val="center"/>
            </w:pPr>
            <w:r>
              <w:t xml:space="preserve">性能改善幅度</w:t>
            </w:r>
          </w:p>
        </w:tc>
      </w:tr>
      <w:tr>
        <w:tc>
          <w:p>
            <w:pPr>
              <w:pStyle w:val="Compact"/>
              <w:jc w:val="left"/>
            </w:pPr>
            <w:r>
              <w:rPr>
                <w:b/>
              </w:rPr>
              <w:t xml:space="preserve">平均交并比</w:t>
            </w:r>
          </w:p>
        </w:tc>
        <w:tc>
          <w:p>
            <w:pPr>
              <w:pStyle w:val="Compact"/>
              <w:jc w:val="left"/>
            </w:pPr>
            <w:r>
              <w:t xml:space="preserve">Mean Intersection over Union (mIoU)</w:t>
            </w:r>
          </w:p>
        </w:tc>
        <w:tc>
          <w:p>
            <w:pPr>
              <w:pStyle w:val="Compact"/>
              <w:jc w:val="center"/>
            </w:pPr>
            <w:r>
              <w:t xml:space="preserve">0.5634</w:t>
            </w:r>
          </w:p>
        </w:tc>
        <w:tc>
          <w:p>
            <w:pPr>
              <w:pStyle w:val="Compact"/>
              <w:jc w:val="center"/>
            </w:pPr>
            <w:r>
              <w:rPr>
                <w:b/>
              </w:rPr>
              <w:t xml:space="preserve">0.5973</w:t>
            </w:r>
          </w:p>
        </w:tc>
        <w:tc>
          <w:p>
            <w:pPr>
              <w:pStyle w:val="Compact"/>
              <w:jc w:val="center"/>
            </w:pPr>
            <w:r>
              <w:rPr>
                <w:b/>
              </w:rPr>
              <w:t xml:space="preserve">+3.39%</w:t>
            </w:r>
            <w:r>
              <w:t xml:space="preserve"> </w:t>
            </w:r>
            <w:r>
              <w:t xml:space="preserve">(精度提升)</w:t>
            </w:r>
          </w:p>
        </w:tc>
      </w:tr>
      <w:tr>
        <w:tc>
          <w:p>
            <w:pPr>
              <w:pStyle w:val="Compact"/>
              <w:jc w:val="left"/>
            </w:pPr>
            <w:r>
              <w:rPr>
                <w:b/>
              </w:rPr>
              <w:t xml:space="preserve">负对数似然</w:t>
            </w:r>
          </w:p>
        </w:tc>
        <w:tc>
          <w:p>
            <w:pPr>
              <w:pStyle w:val="Compact"/>
              <w:jc w:val="left"/>
            </w:pPr>
            <w:r>
              <w:t xml:space="preserve">Negative Log-Likelihood (NLL)</w:t>
            </w:r>
          </w:p>
        </w:tc>
        <w:tc>
          <w:p>
            <w:pPr>
              <w:pStyle w:val="Compact"/>
              <w:jc w:val="center"/>
            </w:pPr>
            <w:r>
              <w:t xml:space="preserve">0.7009</w:t>
            </w:r>
          </w:p>
        </w:tc>
        <w:tc>
          <w:p>
            <w:pPr>
              <w:pStyle w:val="Compact"/>
              <w:jc w:val="center"/>
            </w:pPr>
            <w:r>
              <w:rPr>
                <w:b/>
              </w:rPr>
              <w:t xml:space="preserve">0.5998</w:t>
            </w:r>
          </w:p>
        </w:tc>
        <w:tc>
          <w:p>
            <w:pPr>
              <w:pStyle w:val="Compact"/>
              <w:jc w:val="center"/>
            </w:pPr>
            <w:r>
              <w:rPr>
                <w:b/>
              </w:rPr>
              <w:t xml:space="preserve">−14.4%</w:t>
            </w:r>
            <w:r>
              <w:t xml:space="preserve"> </w:t>
            </w:r>
            <w:r>
              <w:t xml:space="preserve">(拟合更佳)</w:t>
            </w:r>
          </w:p>
        </w:tc>
      </w:tr>
      <w:tr>
        <w:tc>
          <w:p>
            <w:pPr>
              <w:pStyle w:val="Compact"/>
              <w:jc w:val="left"/>
            </w:pPr>
            <w:r>
              <w:rPr>
                <w:b/>
              </w:rPr>
              <w:t xml:space="preserve">Brier 分数</w:t>
            </w:r>
          </w:p>
        </w:tc>
        <w:tc>
          <w:p>
            <w:pPr>
              <w:pStyle w:val="Compact"/>
              <w:jc w:val="left"/>
            </w:pPr>
            <w:r>
              <w:t xml:space="preserve">Brier Score</w:t>
            </w:r>
          </w:p>
        </w:tc>
        <w:tc>
          <w:p>
            <w:pPr>
              <w:pStyle w:val="Compact"/>
              <w:jc w:val="center"/>
            </w:pPr>
            <w:r>
              <w:t xml:space="preserve">0.3624</w:t>
            </w:r>
          </w:p>
        </w:tc>
        <w:tc>
          <w:p>
            <w:pPr>
              <w:pStyle w:val="Compact"/>
              <w:jc w:val="center"/>
            </w:pPr>
            <w:r>
              <w:rPr>
                <w:b/>
              </w:rPr>
              <w:t xml:space="preserve">0.3327</w:t>
            </w:r>
          </w:p>
        </w:tc>
        <w:tc>
          <w:p>
            <w:pPr>
              <w:pStyle w:val="Compact"/>
              <w:jc w:val="center"/>
            </w:pPr>
            <w:r>
              <w:rPr>
                <w:b/>
              </w:rPr>
              <w:t xml:space="preserve">−8.2%</w:t>
            </w:r>
            <w:r>
              <w:t xml:space="preserve"> </w:t>
            </w:r>
            <w:r>
              <w:t xml:space="preserve">(概率更准)</w:t>
            </w:r>
          </w:p>
        </w:tc>
      </w:tr>
      <w:tr>
        <w:tc>
          <w:p>
            <w:pPr>
              <w:pStyle w:val="Compact"/>
              <w:jc w:val="left"/>
            </w:pPr>
            <w:r>
              <w:rPr>
                <w:b/>
              </w:rPr>
              <w:t xml:space="preserve">期望校准误差</w:t>
            </w:r>
          </w:p>
        </w:tc>
        <w:tc>
          <w:p>
            <w:pPr>
              <w:pStyle w:val="Compact"/>
              <w:jc w:val="left"/>
            </w:pPr>
            <w:r>
              <w:t xml:space="preserve">Expected Calibration Error (ECE)</w:t>
            </w:r>
          </w:p>
        </w:tc>
        <w:tc>
          <w:p>
            <w:pPr>
              <w:pStyle w:val="Compact"/>
              <w:jc w:val="center"/>
            </w:pPr>
            <w:r>
              <w:t xml:space="preserve">0.0954</w:t>
            </w:r>
          </w:p>
        </w:tc>
        <w:tc>
          <w:p>
            <w:pPr>
              <w:pStyle w:val="Compact"/>
              <w:jc w:val="center"/>
            </w:pPr>
            <w:r>
              <w:rPr>
                <w:b/>
              </w:rPr>
              <w:t xml:space="preserve">0.0464</w:t>
            </w:r>
          </w:p>
        </w:tc>
        <w:tc>
          <w:p>
            <w:pPr>
              <w:pStyle w:val="Compact"/>
              <w:jc w:val="center"/>
            </w:pPr>
            <w:r>
              <w:rPr>
                <w:b/>
              </w:rPr>
              <w:t xml:space="preserve">−51.4%</w:t>
            </w:r>
            <w:r>
              <w:t xml:space="preserve"> </w:t>
            </w:r>
            <w:r>
              <w:t xml:space="preserve">(校准度翻倍)</w:t>
            </w:r>
          </w:p>
        </w:tc>
      </w:tr>
    </w:tbl>
    <w:p>
      <w:pPr>
        <w:pStyle w:val="Heading3"/>
      </w:pPr>
      <w:bookmarkStart w:id="29" w:name="应用场景"/>
      <w:r>
        <w:t xml:space="preserve">1.7 应用场景</w:t>
      </w:r>
      <w:bookmarkEnd w:id="29"/>
    </w:p>
    <w:p>
      <w:pPr>
        <w:pStyle w:val="FirstParagraph"/>
      </w:pPr>
      <w:r>
        <w:t xml:space="preserve">重构后的算法可直接应用于以下实际工程场景：</w:t>
      </w:r>
      <w:r>
        <w:t xml:space="preserve"> </w:t>
      </w:r>
      <w:r>
        <w:t xml:space="preserve">-</w:t>
      </w:r>
      <w:r>
        <w:t xml:space="preserve"> </w:t>
      </w:r>
      <w:r>
        <w:rPr>
          <w:b/>
        </w:rPr>
        <w:t xml:space="preserve">无人巡检车夜间路巡</w:t>
      </w:r>
      <w:r>
        <w:t xml:space="preserve">：在车载边缘端部署，利用不确定性指标自动过滤低能见度或强反光导致的疑似故障区域，减少漏检。</w:t>
      </w:r>
      <w:r>
        <w:t xml:space="preserve"> </w:t>
      </w:r>
      <w:r>
        <w:t xml:space="preserve">-</w:t>
      </w:r>
      <w:r>
        <w:t xml:space="preserve"> </w:t>
      </w:r>
      <w:r>
        <w:rPr>
          <w:b/>
        </w:rPr>
        <w:t xml:space="preserve">高精地图数据自动化更新</w:t>
      </w:r>
      <w:r>
        <w:t xml:space="preserve">：作为主动学习（Active Learning）的数据筛选器，自动收集高不确定性的反光板图像，提升后续人工标注的针对性。</w:t>
      </w:r>
    </w:p>
    <w:p>
      <w:r>
        <w:pict>
          <v:rect style="width:0;height:1.5pt" o:hralign="center" o:hrstd="t" o:hr="t"/>
        </w:pict>
      </w:r>
    </w:p>
    <w:p>
      <w:pPr>
        <w:pStyle w:val="Heading2"/>
      </w:pPr>
      <w:bookmarkStart w:id="30" w:name="二-技术方案正文"/>
      <w:r>
        <w:t xml:space="preserve">二、 技术方案正文</w:t>
      </w:r>
      <w:bookmarkEnd w:id="30"/>
    </w:p>
    <w:p>
      <w:pPr>
        <w:pStyle w:val="Heading3"/>
      </w:pPr>
      <w:bookmarkStart w:id="31" w:name="项目背景"/>
      <w:r>
        <w:t xml:space="preserve">2.1 项目背景</w:t>
      </w:r>
      <w:bookmarkEnd w:id="31"/>
    </w:p>
    <w:p>
      <w:pPr>
        <w:pStyle w:val="FirstParagraph"/>
      </w:pPr>
      <w:r>
        <w:t xml:space="preserve">在实际的道路巡检过程中，反光板的缺失通常属于低频发生的</w:t>
      </w:r>
      <w:r>
        <w:t xml:space="preserve">“</w:t>
      </w:r>
      <w:r>
        <w:t xml:space="preserve">长尾事件</w:t>
      </w:r>
      <w:r>
        <w:t xml:space="preserve">”</w:t>
      </w:r>
      <w:r>
        <w:t xml:space="preserve">。在小样本场景下，传统的交叉熵损失函数（Cross Entropy Loss）容易使模型对噪声产生过拟合。更严重的是，Softmax 激活函数：</w:t>
      </w:r>
    </w:p>
    <w:p>
      <w:pPr>
        <w:pStyle w:val="BodyText"/>
      </w:pPr>
      <m:oMathPara>
        <m:oMathParaPr>
          <m:jc m:val="center"/>
        </m:oMathParaPr>
        <m:oMath>
          <m:sSub>
            <m:e>
              <m:r>
                <m:t>p</m:t>
              </m:r>
            </m:e>
            <m:sub>
              <m:r>
                <m:t>k</m:t>
              </m:r>
            </m:sub>
          </m:sSub>
          <m:r>
            <m:t>=</m:t>
          </m:r>
          <m:f>
            <m:fPr>
              <m:type m:val="bar"/>
            </m:fPr>
            <m:num>
              <m:r>
                <m:rPr>
                  <m:nor/>
                  <m:sty m:val="p"/>
                </m:rPr>
                <m:t>exp</m:t>
              </m:r>
              <m:r>
                <m:t>(</m:t>
              </m:r>
              <m:sSub>
                <m:e>
                  <m:r>
                    <m:t>z</m:t>
                  </m:r>
                </m:e>
                <m:sub>
                  <m:r>
                    <m:t>k</m:t>
                  </m:r>
                </m:sub>
              </m:sSub>
              <m:r>
                <m:t>)</m:t>
              </m:r>
            </m:num>
            <m:den>
              <m:nary>
                <m:naryPr>
                  <m:chr m:val="∑"/>
                  <m:limLoc m:val="undOvr"/>
                  <m:subHide m:val="0"/>
                  <m:supHide m:val="1"/>
                </m:naryPr>
                <m:sub>
                  <m:r>
                    <m:t>j</m:t>
                  </m:r>
                </m:sub>
                <m:sup>
                  <m:r>
                    <m:t>​</m:t>
                  </m:r>
                </m:sup>
                <m:e>
                  <m:r>
                    <m:rPr>
                      <m:nor/>
                      <m:sty m:val="p"/>
                    </m:rPr>
                    <m:t>exp</m:t>
                  </m:r>
                </m:e>
              </m:nary>
              <m:r>
                <m:t>(</m:t>
              </m:r>
              <m:sSub>
                <m:e>
                  <m:r>
                    <m:t>z</m:t>
                  </m:r>
                </m:e>
                <m:sub>
                  <m:r>
                    <m:t>j</m:t>
                  </m:r>
                </m:sub>
              </m:sSub>
              <m:r>
                <m:t>)</m:t>
              </m:r>
            </m:den>
          </m:f>
        </m:oMath>
      </m:oMathPara>
    </w:p>
    <w:p>
      <w:pPr>
        <w:pStyle w:val="FirstParagraph"/>
      </w:pPr>
      <w:r>
        <w:t xml:space="preserve">其指数归一化特性导致即使所有类别的 logits</w:t>
      </w:r>
      <w:r>
        <w:t xml:space="preserve"> </w:t>
      </w:r>
      <m:oMath>
        <m:sSub>
          <m:e>
            <m:r>
              <m:t>z</m:t>
            </m:r>
          </m:e>
          <m:sub>
            <m:r>
              <m:t>k</m:t>
            </m:r>
          </m:sub>
        </m:sSub>
      </m:oMath>
      <w:r>
        <w:t xml:space="preserve"> </w:t>
      </w:r>
      <w:r>
        <w:t xml:space="preserve">都很小（即模型极度缺乏证据），输出的概率</w:t>
      </w:r>
      <w:r>
        <w:t xml:space="preserve"> </w:t>
      </w:r>
      <m:oMath>
        <m:r>
          <m:t>p</m:t>
        </m:r>
      </m:oMath>
      <w:r>
        <w:t xml:space="preserve"> </w:t>
      </w:r>
      <w:r>
        <w:t xml:space="preserve">依然可能极高。这种</w:t>
      </w:r>
      <w:r>
        <w:t xml:space="preserve">“</w:t>
      </w:r>
      <w:r>
        <w:t xml:space="preserve">不知己不知</w:t>
      </w:r>
      <w:r>
        <w:t xml:space="preserve">”</w:t>
      </w:r>
      <w:r>
        <w:t xml:space="preserve">的过度自信缺陷在自动驾驶和道路安全巡检中是不可接受的。</w:t>
      </w:r>
    </w:p>
    <w:p>
      <w:pPr>
        <w:pStyle w:val="Heading3"/>
      </w:pPr>
      <w:bookmarkStart w:id="32" w:name="研究内容-1"/>
      <w:r>
        <w:t xml:space="preserve">2.2 研究内容</w:t>
      </w:r>
      <w:bookmarkEnd w:id="32"/>
    </w:p>
    <w:p>
      <w:pPr>
        <w:pStyle w:val="FirstParagraph"/>
      </w:pPr>
      <w:r>
        <w:t xml:space="preserve">本技术方案提出一种基于主观逻辑（Subjective Logic）理论的语义分割方法。主观逻辑将狄利克雷分布的参数与信念度（Belief Masses）和不确定性（Uncertainty Mass）建立了一一映射关系。通过预测一个连续的狄利克雷分布，使模型能够同时输出</w:t>
      </w:r>
      <w:r>
        <w:rPr>
          <w:b/>
        </w:rPr>
        <w:t xml:space="preserve">分类概率</w:t>
      </w:r>
      <w:r>
        <w:t xml:space="preserve">（表示对各类的偏好）与</w:t>
      </w:r>
      <w:r>
        <w:rPr>
          <w:b/>
        </w:rPr>
        <w:t xml:space="preserve">认知不确定性</w:t>
      </w:r>
      <w:r>
        <w:t xml:space="preserve">（表示对该预测的底气/数据量支撑程度）。</w:t>
      </w:r>
    </w:p>
    <w:p>
      <w:pPr>
        <w:pStyle w:val="Heading3"/>
      </w:pPr>
      <w:bookmarkStart w:id="33" w:name="研究方法-1"/>
      <w:r>
        <w:t xml:space="preserve">2.3 研究方法</w:t>
      </w:r>
      <w:bookmarkEnd w:id="33"/>
    </w:p>
    <w:p>
      <w:pPr>
        <w:pStyle w:val="Heading4"/>
      </w:pPr>
      <w:bookmarkStart w:id="34" w:name="数学模型与理论框架"/>
      <w:r>
        <w:t xml:space="preserve">2.3.1 数学模型与理论框架</w:t>
      </w:r>
      <w:bookmarkEnd w:id="34"/>
    </w:p>
    <w:p>
      <w:pPr>
        <w:pStyle w:val="FirstParagraph"/>
      </w:pPr>
      <w:r>
        <w:t xml:space="preserve">设语义分割任务的类别数为</w:t>
      </w:r>
      <w:r>
        <w:t xml:space="preserve"> </w:t>
      </w:r>
      <m:oMath>
        <m:r>
          <m:t>K</m:t>
        </m:r>
      </m:oMath>
      <w:r>
        <w:t xml:space="preserve">。对于任意一个像素，模型的输出 logits 为</w:t>
      </w:r>
      <w:r>
        <w:t xml:space="preserve"> </w:t>
      </w:r>
      <m:oMath>
        <m:r>
          <m:t>z</m:t>
        </m:r>
        <m:r>
          <m:t>=</m:t>
        </m:r>
        <m:r>
          <m:t>[</m:t>
        </m:r>
        <m:sSub>
          <m:e>
            <m:r>
              <m:t>z</m:t>
            </m:r>
          </m:e>
          <m:sub>
            <m:r>
              <m:t>1</m:t>
            </m:r>
          </m:sub>
        </m:sSub>
        <m:r>
          <m:t>,</m:t>
        </m:r>
        <m:sSub>
          <m:e>
            <m:r>
              <m:t>z</m:t>
            </m:r>
          </m:e>
          <m:sub>
            <m:r>
              <m:t>2</m:t>
            </m:r>
          </m:sub>
        </m:sSub>
        <m:r>
          <m:t>,</m:t>
        </m:r>
        <m:r>
          <m:t>…</m:t>
        </m:r>
        <m:r>
          <m:t>,</m:t>
        </m:r>
        <m:sSub>
          <m:e>
            <m:r>
              <m:t>z</m:t>
            </m:r>
          </m:e>
          <m:sub>
            <m:r>
              <m:t>K</m:t>
            </m:r>
          </m:sub>
        </m:sSub>
        <m:r>
          <m:t>]</m:t>
        </m:r>
      </m:oMath>
      <w:r>
        <w:t xml:space="preserve">。</w:t>
      </w:r>
      <w:r>
        <w:t xml:space="preserve"> </w:t>
      </w:r>
      <w:r>
        <w:t xml:space="preserve">-</w:t>
      </w:r>
      <w:r>
        <w:t xml:space="preserve"> </w:t>
      </w:r>
      <w:r>
        <w:rPr>
          <w:b/>
        </w:rPr>
        <w:t xml:space="preserve">(1)</w:t>
      </w:r>
      <w:r>
        <w:t xml:space="preserve"> </w:t>
      </w:r>
      <w:r>
        <w:t xml:space="preserve">证据量生成：使用非负激活函数（如 Softplus）将 logits 映射为非负证据量</w:t>
      </w:r>
      <w:r>
        <w:t xml:space="preserve"> </w:t>
      </w:r>
      <m:oMath>
        <m:sSub>
          <m:e>
            <m:r>
              <m:t>e</m:t>
            </m:r>
          </m:e>
          <m:sub>
            <m:r>
              <m:t>k</m:t>
            </m:r>
          </m:sub>
        </m:sSub>
      </m:oMath>
      <w:r>
        <w:t xml:space="preserve">：</w:t>
      </w:r>
    </w:p>
    <w:p>
      <w:pPr>
        <w:pStyle w:val="BodyText"/>
      </w:pPr>
      <m:oMathPara>
        <m:oMathParaPr>
          <m:jc m:val="center"/>
        </m:oMathParaPr>
        <m:oMath>
          <m:sSub>
            <m:e>
              <m:r>
                <m:t>e</m:t>
              </m:r>
            </m:e>
            <m:sub>
              <m:r>
                <m:t>k</m:t>
              </m:r>
            </m:sub>
          </m:sSub>
          <m:r>
            <m:t>=</m:t>
          </m:r>
          <m:r>
            <m:rPr>
              <m:nor/>
              <m:sty m:val="p"/>
            </m:rPr>
            <m:t>ln</m:t>
          </m:r>
          <m:r>
            <m:t>(</m:t>
          </m:r>
          <m:r>
            <m:t>1</m:t>
          </m:r>
          <m:r>
            <m:t>+</m:t>
          </m:r>
          <m:r>
            <m:rPr>
              <m:nor/>
              <m:sty m:val="p"/>
            </m:rPr>
            <m:t>exp</m:t>
          </m:r>
          <m:r>
            <m:t>(</m:t>
          </m:r>
          <m:sSub>
            <m:e>
              <m:r>
                <m:t>z</m:t>
              </m:r>
            </m:e>
            <m:sub>
              <m:r>
                <m:t>k</m:t>
              </m:r>
            </m:sub>
          </m:sSub>
          <m:r>
            <m:t>)</m:t>
          </m:r>
          <m:r>
            <m:t>)</m:t>
          </m:r>
          <m:r>
            <m:t>≥</m:t>
          </m:r>
          <m:r>
            <m:t>0</m:t>
          </m:r>
        </m:oMath>
      </m:oMathPara>
    </w:p>
    <w:p>
      <w:pPr>
        <w:pStyle w:val="FirstParagraph"/>
      </w:pPr>
      <w:r>
        <w:t xml:space="preserve">-</w:t>
      </w:r>
      <w:r>
        <w:t xml:space="preserve"> </w:t>
      </w:r>
      <w:r>
        <w:rPr>
          <w:b/>
        </w:rPr>
        <w:t xml:space="preserve">(2)</w:t>
      </w:r>
      <w:r>
        <w:t xml:space="preserve"> </w:t>
      </w:r>
      <w:r>
        <w:t xml:space="preserve">狄利克雷参数化：狄利克雷分布</w:t>
      </w:r>
      <w:r>
        <w:t xml:space="preserve"> </w:t>
      </w:r>
      <m:oMath>
        <m:r>
          <m:rPr>
            <m:nor/>
            <m:sty m:val="p"/>
          </m:rPr>
          <m:t>Dir</m:t>
        </m:r>
        <m:r>
          <m:t>(</m:t>
        </m:r>
        <m:r>
          <m:t>p</m:t>
        </m:r>
        <m:r>
          <m:t>;</m:t>
        </m:r>
        <m:r>
          <m:t>α</m:t>
        </m:r>
        <m:r>
          <m:t>)</m:t>
        </m:r>
      </m:oMath>
      <w:r>
        <w:t xml:space="preserve"> </w:t>
      </w:r>
      <w:r>
        <w:t xml:space="preserve">的参数</w:t>
      </w:r>
      <w:r>
        <w:t xml:space="preserve"> </w:t>
      </w:r>
      <m:oMath>
        <m:r>
          <m:t>α</m:t>
        </m:r>
        <m:r>
          <m:t>=</m:t>
        </m:r>
        <m:r>
          <m:t>[</m:t>
        </m:r>
        <m:sSub>
          <m:e>
            <m:r>
              <m:t>α</m:t>
            </m:r>
          </m:e>
          <m:sub>
            <m:r>
              <m:t>1</m:t>
            </m:r>
          </m:sub>
        </m:sSub>
        <m:r>
          <m:t>,</m:t>
        </m:r>
        <m:sSub>
          <m:e>
            <m:r>
              <m:t>α</m:t>
            </m:r>
          </m:e>
          <m:sub>
            <m:r>
              <m:t>2</m:t>
            </m:r>
          </m:sub>
        </m:sSub>
        <m:r>
          <m:t>,</m:t>
        </m:r>
        <m:r>
          <m:t>…</m:t>
        </m:r>
        <m:r>
          <m:t>,</m:t>
        </m:r>
        <m:sSub>
          <m:e>
            <m:r>
              <m:t>α</m:t>
            </m:r>
          </m:e>
          <m:sub>
            <m:r>
              <m:t>K</m:t>
            </m:r>
          </m:sub>
        </m:sSub>
        <m:r>
          <m:t>]</m:t>
        </m:r>
      </m:oMath>
      <w:r>
        <w:t xml:space="preserve"> </w:t>
      </w:r>
      <w:r>
        <w:t xml:space="preserve">定义为：</w:t>
      </w:r>
    </w:p>
    <w:p>
      <w:pPr>
        <w:pStyle w:val="BodyText"/>
      </w:pPr>
      <m:oMathPara>
        <m:oMathParaPr>
          <m:jc m:val="center"/>
        </m:oMathParaPr>
        <m:oMath>
          <m:sSub>
            <m:e>
              <m:r>
                <m:t>α</m:t>
              </m:r>
            </m:e>
            <m:sub>
              <m:r>
                <m:t>k</m:t>
              </m:r>
            </m:sub>
          </m:sSub>
          <m:r>
            <m:t>=</m:t>
          </m:r>
          <m:sSub>
            <m:e>
              <m:r>
                <m:t>e</m:t>
              </m:r>
            </m:e>
            <m:sub>
              <m:r>
                <m:t>k</m:t>
              </m:r>
            </m:sub>
          </m:sSub>
          <m:r>
            <m:t>+</m:t>
          </m:r>
          <m:r>
            <m:t>1</m:t>
          </m:r>
        </m:oMath>
      </m:oMathPara>
    </w:p>
    <w:p>
      <w:pPr>
        <w:pStyle w:val="FirstParagraph"/>
      </w:pPr>
      <w:r>
        <w:t xml:space="preserve">-</w:t>
      </w:r>
      <w:r>
        <w:t xml:space="preserve"> </w:t>
      </w:r>
      <w:r>
        <w:rPr>
          <w:b/>
        </w:rPr>
        <w:t xml:space="preserve">(3)</w:t>
      </w:r>
      <w:r>
        <w:t xml:space="preserve"> </w:t>
      </w:r>
      <w:r>
        <w:t xml:space="preserve">主观逻辑映射：将总证据量（精度和）定义为</w:t>
      </w:r>
      <w:r>
        <w:t xml:space="preserve"> </w:t>
      </w:r>
      <m:oMath>
        <m:r>
          <m:t>S</m:t>
        </m:r>
        <m:r>
          <m:t>=</m:t>
        </m:r>
        <m:nary>
          <m:naryPr>
            <m:chr m:val="∑"/>
            <m:limLoc m:val="undOvr"/>
            <m:subHide m:val="0"/>
            <m:supHide m:val="0"/>
          </m:naryPr>
          <m:sub>
            <m:r>
              <m:t>k</m:t>
            </m:r>
            <m:r>
              <m:t>=</m:t>
            </m:r>
            <m:r>
              <m:t>1</m:t>
            </m:r>
          </m:sub>
          <m:sup>
            <m:r>
              <m:t>K</m:t>
            </m:r>
          </m:sup>
          <m:e>
            <m:sSub>
              <m:e>
                <m:r>
                  <m:t>α</m:t>
                </m:r>
              </m:e>
              <m:sub>
                <m:r>
                  <m:t>k</m:t>
                </m:r>
              </m:sub>
            </m:sSub>
          </m:e>
        </m:nary>
      </m:oMath>
      <w:r>
        <w:t xml:space="preserve">。则每个类别的信念度</w:t>
      </w:r>
      <w:r>
        <w:t xml:space="preserve"> </w:t>
      </w:r>
      <m:oMath>
        <m:sSub>
          <m:e>
            <m:r>
              <m:t>b</m:t>
            </m:r>
          </m:e>
          <m:sub>
            <m:r>
              <m:t>k</m:t>
            </m:r>
          </m:sub>
        </m:sSub>
      </m:oMath>
      <w:r>
        <w:t xml:space="preserve"> </w:t>
      </w:r>
      <w:r>
        <w:t xml:space="preserve">和认知不确定性</w:t>
      </w:r>
      <w:r>
        <w:t xml:space="preserve"> </w:t>
      </w:r>
      <m:oMath>
        <m:r>
          <m:t>u</m:t>
        </m:r>
      </m:oMath>
      <w:r>
        <w:t xml:space="preserve"> </w:t>
      </w:r>
      <w:r>
        <w:t xml:space="preserve">满足：</w:t>
      </w:r>
    </w:p>
    <w:p>
      <w:pPr>
        <w:pStyle w:val="BodyText"/>
      </w:pPr>
      <m:oMathPara>
        <m:oMathParaPr>
          <m:jc m:val="center"/>
        </m:oMathParaPr>
        <m:oMath>
          <m:sSub>
            <m:e>
              <m:r>
                <m:t>b</m:t>
              </m:r>
            </m:e>
            <m:sub>
              <m:r>
                <m:t>k</m:t>
              </m:r>
            </m:sub>
          </m:sSub>
          <m:r>
            <m:t>=</m:t>
          </m:r>
          <m:f>
            <m:fPr>
              <m:type m:val="bar"/>
            </m:fPr>
            <m:num>
              <m:sSub>
                <m:e>
                  <m:r>
                    <m:t>e</m:t>
                  </m:r>
                </m:e>
                <m:sub>
                  <m:r>
                    <m:t>k</m:t>
                  </m:r>
                </m:sub>
              </m:sSub>
            </m:num>
            <m:den>
              <m:r>
                <m:t>S</m:t>
              </m:r>
            </m:den>
          </m:f>
          <m:r>
            <m:t>,</m:t>
          </m:r>
          <m:r>
            <m:t> </m:t>
          </m:r>
          <m:r>
            <m:t>u</m:t>
          </m:r>
          <m:r>
            <m:t>=</m:t>
          </m:r>
          <m:f>
            <m:fPr>
              <m:type m:val="bar"/>
            </m:fPr>
            <m:num>
              <m:r>
                <m:t>K</m:t>
              </m:r>
            </m:num>
            <m:den>
              <m:r>
                <m:t>S</m:t>
              </m:r>
            </m:den>
          </m:f>
        </m:oMath>
      </m:oMathPara>
    </w:p>
    <w:p>
      <w:pPr>
        <w:pStyle w:val="FirstParagraph"/>
      </w:pPr>
      <w:r>
        <w:t xml:space="preserve">且满足守恒律：</w:t>
      </w:r>
    </w:p>
    <w:p>
      <w:pPr>
        <w:pStyle w:val="BodyText"/>
      </w:pPr>
      <m:oMathPara>
        <m:oMathParaPr>
          <m:jc m:val="center"/>
        </m:oMathParaPr>
        <m:oMath>
          <m:nary>
            <m:naryPr>
              <m:chr m:val="∑"/>
              <m:limLoc m:val="undOvr"/>
              <m:subHide m:val="0"/>
              <m:supHide m:val="0"/>
            </m:naryPr>
            <m:sub>
              <m:r>
                <m:t>k</m:t>
              </m:r>
              <m:r>
                <m:t>=</m:t>
              </m:r>
              <m:r>
                <m:t>1</m:t>
              </m:r>
            </m:sub>
            <m:sup>
              <m:r>
                <m:t>K</m:t>
              </m:r>
            </m:sup>
            <m:e>
              <m:sSub>
                <m:e>
                  <m:r>
                    <m:t>b</m:t>
                  </m:r>
                </m:e>
                <m:sub>
                  <m:r>
                    <m:t>k</m:t>
                  </m:r>
                </m:sub>
              </m:sSub>
            </m:e>
          </m:nary>
          <m:r>
            <m:t>+</m:t>
          </m:r>
          <m:r>
            <m:t>u</m:t>
          </m:r>
          <m:r>
            <m:t>=</m:t>
          </m:r>
          <m:r>
            <m:t>1</m:t>
          </m:r>
        </m:oMath>
      </m:oMathPara>
    </w:p>
    <w:p>
      <w:pPr>
        <w:pStyle w:val="FirstParagraph"/>
      </w:pPr>
      <w:r>
        <w:t xml:space="preserve">-</w:t>
      </w:r>
      <w:r>
        <w:t xml:space="preserve"> </w:t>
      </w:r>
      <w:r>
        <w:rPr>
          <w:b/>
        </w:rPr>
        <w:t xml:space="preserve">(4)</w:t>
      </w:r>
      <w:r>
        <w:t xml:space="preserve"> </w:t>
      </w:r>
      <w:r>
        <w:t xml:space="preserve">期望概率：狄利克雷分布的数学期望概率</w:t>
      </w:r>
      <w:r>
        <w:t xml:space="preserve"> </w:t>
      </w:r>
      <m:oMath>
        <m:sSub>
          <m:e>
            <m:acc>
              <m:accPr>
                <m:chr m:val="̂"/>
              </m:accPr>
              <m:e>
                <m:r>
                  <m:t>p</m:t>
                </m:r>
              </m:e>
            </m:acc>
          </m:e>
          <m:sub>
            <m:r>
              <m:t>k</m:t>
            </m:r>
          </m:sub>
        </m:sSub>
      </m:oMath>
      <w:r>
        <w:t xml:space="preserve"> </w:t>
      </w:r>
      <w:r>
        <w:t xml:space="preserve">作为模型的最终分割预测概率：</w:t>
      </w:r>
    </w:p>
    <w:p>
      <w:pPr>
        <w:pStyle w:val="BodyText"/>
      </w:pPr>
      <m:oMathPara>
        <m:oMathParaPr>
          <m:jc m:val="center"/>
        </m:oMathParaPr>
        <m:oMath>
          <m:sSub>
            <m:e>
              <m:acc>
                <m:accPr>
                  <m:chr m:val="̂"/>
                </m:accPr>
                <m:e>
                  <m:r>
                    <m:t>p</m:t>
                  </m:r>
                </m:e>
              </m:acc>
            </m:e>
            <m:sub>
              <m:r>
                <m:t>k</m:t>
              </m:r>
            </m:sub>
          </m:sSub>
          <m:r>
            <m:t>=</m:t>
          </m:r>
          <m:r>
            <m:t>E</m:t>
          </m:r>
          <m:r>
            <m:t>[</m:t>
          </m:r>
          <m:sSub>
            <m:e>
              <m:r>
                <m:t>p</m:t>
              </m:r>
            </m:e>
            <m:sub>
              <m:r>
                <m:t>k</m:t>
              </m:r>
            </m:sub>
          </m:sSub>
          <m:r>
            <m:t>]</m:t>
          </m:r>
          <m:r>
            <m:t>=</m:t>
          </m:r>
          <m:f>
            <m:fPr>
              <m:type m:val="bar"/>
            </m:fPr>
            <m:num>
              <m:sSub>
                <m:e>
                  <m:r>
                    <m:t>α</m:t>
                  </m:r>
                </m:e>
                <m:sub>
                  <m:r>
                    <m:t>k</m:t>
                  </m:r>
                </m:sub>
              </m:sSub>
            </m:num>
            <m:den>
              <m:r>
                <m:t>S</m:t>
              </m:r>
            </m:den>
          </m:f>
          <m:r>
            <m:t>=</m:t>
          </m:r>
          <m:sSub>
            <m:e>
              <m:r>
                <m:t>b</m:t>
              </m:r>
            </m:e>
            <m:sub>
              <m:r>
                <m:t>k</m:t>
              </m:r>
            </m:sub>
          </m:sSub>
          <m:r>
            <m:t>+</m:t>
          </m:r>
          <m:f>
            <m:fPr>
              <m:type m:val="bar"/>
            </m:fPr>
            <m:num>
              <m:r>
                <m:t>1</m:t>
              </m:r>
            </m:num>
            <m:den>
              <m:r>
                <m:t>S</m:t>
              </m:r>
            </m:den>
          </m:f>
        </m:oMath>
      </m:oMathPara>
    </w:p>
    <w:p>
      <w:pPr>
        <w:pStyle w:val="Heading4"/>
      </w:pPr>
      <w:bookmarkStart w:id="35" w:name="损失函数理论推导"/>
      <w:r>
        <w:t xml:space="preserve">2.3.2 损失函数理论推导</w:t>
      </w:r>
      <w:bookmarkEnd w:id="35"/>
    </w:p>
    <w:p>
      <w:pPr>
        <w:pStyle w:val="FirstParagraph"/>
      </w:pPr>
      <w:r>
        <w:t xml:space="preserve">为了引导模型学习到正确的证据量，损失函数必须在拟合真实标签的同时，惩罚非真实类别的冗余证据。</w:t>
      </w:r>
      <w:r>
        <w:t xml:space="preserve"> </w:t>
      </w:r>
      <w:r>
        <w:t xml:space="preserve">-</w:t>
      </w:r>
      <w:r>
        <w:t xml:space="preserve"> </w:t>
      </w:r>
      <w:r>
        <w:rPr>
          <w:b/>
        </w:rPr>
        <w:t xml:space="preserve">(1)</w:t>
      </w:r>
      <w:r>
        <w:t xml:space="preserve"> </w:t>
      </w:r>
      <w:r>
        <w:t xml:space="preserve">拟合项损失：采用狄利克雷多类多项式拟合损失：</w:t>
      </w:r>
    </w:p>
    <w:p>
      <w:pPr>
        <w:pStyle w:val="BodyText"/>
      </w:pPr>
      <m:oMathPara>
        <m:oMathParaPr>
          <m:jc m:val="center"/>
        </m:oMathParaPr>
        <m:oMath>
          <m:sSub>
            <m:e>
              <m:r>
                <m:t>L</m:t>
              </m:r>
            </m:e>
            <m:sub>
              <m:r>
                <m:rPr>
                  <m:nor/>
                  <m:sty m:val="p"/>
                </m:rPr>
                <m:t>fit</m:t>
              </m:r>
            </m:sub>
          </m:sSub>
          <m:r>
            <m:t>=</m:t>
          </m:r>
          <m:r>
            <m:t>∫</m:t>
          </m:r>
          <m:d>
            <m:dPr>
              <m:begChr m:val="["/>
              <m:endChr m:val="]"/>
              <m:grow/>
            </m:dPr>
            <m:e>
              <m:nary>
                <m:naryPr>
                  <m:chr m:val="∑"/>
                  <m:limLoc m:val="undOvr"/>
                  <m:subHide m:val="0"/>
                  <m:supHide m:val="0"/>
                </m:naryPr>
                <m:sub>
                  <m:r>
                    <m:t>k</m:t>
                  </m:r>
                  <m:r>
                    <m:t>=</m:t>
                  </m:r>
                  <m:r>
                    <m:t>1</m:t>
                  </m:r>
                </m:sub>
                <m:sup>
                  <m:r>
                    <m:t>K</m:t>
                  </m:r>
                </m:sup>
                <m:e>
                  <m:r>
                    <m:t>−</m:t>
                  </m:r>
                </m:e>
              </m:nary>
              <m:sSub>
                <m:e>
                  <m:r>
                    <m:t>y</m:t>
                  </m:r>
                </m:e>
                <m:sub>
                  <m:r>
                    <m:t>k</m:t>
                  </m:r>
                </m:sub>
              </m:sSub>
              <m:r>
                <m:rPr>
                  <m:nor/>
                  <m:sty m:val="p"/>
                </m:rPr>
                <m:t>ln</m:t>
              </m:r>
              <m:r>
                <m:t>(</m:t>
              </m:r>
              <m:sSub>
                <m:e>
                  <m:r>
                    <m:t>p</m:t>
                  </m:r>
                </m:e>
                <m:sub>
                  <m:r>
                    <m:t>k</m:t>
                  </m:r>
                </m:sub>
              </m:sSub>
              <m:r>
                <m:t>)</m:t>
              </m:r>
            </m:e>
          </m:d>
          <m:r>
            <m:rPr>
              <m:nor/>
              <m:sty m:val="p"/>
            </m:rPr>
            <m:t>Dir</m:t>
          </m:r>
          <m:r>
            <m:t>(</m:t>
          </m:r>
          <m:r>
            <m:t>p</m:t>
          </m:r>
          <m:r>
            <m:t>;</m:t>
          </m:r>
          <m:r>
            <m:t>α</m:t>
          </m:r>
          <m:r>
            <m:t>)</m:t>
          </m:r>
          <m:r>
            <m:t>d</m:t>
          </m:r>
          <m:r>
            <m:t>p</m:t>
          </m:r>
          <m:r>
            <m:t>=</m:t>
          </m:r>
          <m:nary>
            <m:naryPr>
              <m:chr m:val="∑"/>
              <m:limLoc m:val="undOvr"/>
              <m:subHide m:val="0"/>
              <m:supHide m:val="0"/>
            </m:naryPr>
            <m:sub>
              <m:r>
                <m:t>k</m:t>
              </m:r>
              <m:r>
                <m:t>=</m:t>
              </m:r>
              <m:r>
                <m:t>1</m:t>
              </m:r>
            </m:sub>
            <m:sup>
              <m:r>
                <m:t>K</m:t>
              </m:r>
            </m:sup>
            <m:e>
              <m:sSub>
                <m:e>
                  <m:r>
                    <m:t>y</m:t>
                  </m:r>
                </m:e>
                <m:sub>
                  <m:r>
                    <m:t>k</m:t>
                  </m:r>
                </m:sub>
              </m:sSub>
            </m:e>
          </m:nary>
          <m:d>
            <m:dPr>
              <m:begChr m:val="("/>
              <m:endChr m:val=")"/>
              <m:grow/>
            </m:dPr>
            <m:e>
              <m:r>
                <m:t>ψ</m:t>
              </m:r>
              <m:r>
                <m:t>(</m:t>
              </m:r>
              <m:r>
                <m:t>S</m:t>
              </m:r>
              <m:r>
                <m:t>)</m:t>
              </m:r>
              <m:r>
                <m:t>−</m:t>
              </m:r>
              <m:r>
                <m:t>ψ</m:t>
              </m:r>
              <m:r>
                <m:t>(</m:t>
              </m:r>
              <m:sSub>
                <m:e>
                  <m:r>
                    <m:t>α</m:t>
                  </m:r>
                </m:e>
                <m:sub>
                  <m:r>
                    <m:t>k</m:t>
                  </m:r>
                </m:sub>
              </m:sSub>
              <m:r>
                <m:t>)</m:t>
              </m:r>
            </m:e>
          </m:d>
        </m:oMath>
      </m:oMathPara>
    </w:p>
    <w:p>
      <w:pPr>
        <w:pStyle w:val="FirstParagraph"/>
      </w:pPr>
      <w:r>
        <w:t xml:space="preserve">其中</w:t>
      </w:r>
      <w:r>
        <w:t xml:space="preserve"> </w:t>
      </w:r>
      <m:oMath>
        <m:r>
          <m:t>ψ</m:t>
        </m:r>
        <m:r>
          <m:t>(</m:t>
        </m:r>
        <m:r>
          <m:t>⋅</m:t>
        </m:r>
        <m:r>
          <m:t>)</m:t>
        </m:r>
      </m:oMath>
      <w:r>
        <w:t xml:space="preserve"> </w:t>
      </w:r>
      <w:r>
        <w:t xml:space="preserve">为 Digamma 函数。</w:t>
      </w:r>
      <w:r>
        <w:t xml:space="preserve"> </w:t>
      </w:r>
      <w:r>
        <w:t xml:space="preserve">-</w:t>
      </w:r>
      <w:r>
        <w:t xml:space="preserve"> </w:t>
      </w:r>
      <w:r>
        <w:rPr>
          <w:b/>
        </w:rPr>
        <w:t xml:space="preserve">(2)</w:t>
      </w:r>
      <w:r>
        <w:t xml:space="preserve"> </w:t>
      </w:r>
      <w:r>
        <w:t xml:space="preserve">正则化项损失：为了保证模型在面对噪声或未见过样本时输出高不确定性（即</w:t>
      </w:r>
      <w:r>
        <w:t xml:space="preserve"> </w:t>
      </w:r>
      <m:oMath>
        <m:r>
          <m:t>u</m:t>
        </m:r>
        <m:r>
          <m:t>→</m:t>
        </m:r>
        <m:r>
          <m:t>1</m:t>
        </m:r>
        <m:r>
          <m:t>,</m:t>
        </m:r>
        <m:sSub>
          <m:e>
            <m:r>
              <m:t>e</m:t>
            </m:r>
          </m:e>
          <m:sub>
            <m:r>
              <m:t>k</m:t>
            </m:r>
          </m:sub>
        </m:sSub>
        <m:r>
          <m:t>→</m:t>
        </m:r>
        <m:r>
          <m:t>0</m:t>
        </m:r>
      </m:oMath>
      <w:r>
        <w:t xml:space="preserve">），引入将非真实类别的证据量压缩到 0 的 KL 散度惩罚项：</w:t>
      </w:r>
    </w:p>
    <w:p>
      <w:pPr>
        <w:pStyle w:val="BodyText"/>
      </w:pPr>
      <m:oMathPara>
        <m:oMathParaPr>
          <m:jc m:val="center"/>
        </m:oMathParaPr>
        <m:oMath>
          <m:sSub>
            <m:e>
              <m:r>
                <m:t>L</m:t>
              </m:r>
            </m:e>
            <m:sub>
              <m:r>
                <m:rPr>
                  <m:nor/>
                  <m:sty m:val="p"/>
                </m:rPr>
                <m:t>kl</m:t>
              </m:r>
            </m:sub>
          </m:sSub>
          <m:r>
            <m:t>=</m:t>
          </m:r>
          <m:r>
            <m:rPr>
              <m:nor/>
              <m:sty m:val="p"/>
            </m:rPr>
            <m:t>KL</m:t>
          </m:r>
          <m:d>
            <m:dPr>
              <m:begChr m:val="["/>
              <m:endChr m:val="]"/>
              <m:grow/>
            </m:dPr>
            <m:e>
              <m:r>
                <m:rPr>
                  <m:nor/>
                  <m:sty m:val="p"/>
                </m:rPr>
                <m:t>Dir</m:t>
              </m:r>
              <m:r>
                <m:t>(</m:t>
              </m:r>
              <m:r>
                <m:t>p</m:t>
              </m:r>
              <m:r>
                <m:t>;</m:t>
              </m:r>
              <m:acc>
                <m:accPr>
                  <m:chr m:val="̃"/>
                </m:accPr>
                <m:e>
                  <m:r>
                    <m:t>α</m:t>
                  </m:r>
                </m:e>
              </m:acc>
              <m:r>
                <m:t>)</m:t>
              </m:r>
              <m:r>
                <m:t>∥</m:t>
              </m:r>
              <m:r>
                <m:rPr>
                  <m:nor/>
                  <m:sty m:val="p"/>
                </m:rPr>
                <m:t>Dir</m:t>
              </m:r>
              <m:r>
                <m:t>(</m:t>
              </m:r>
              <m:r>
                <m:t>p</m:t>
              </m:r>
              <m:r>
                <m:t>;</m:t>
              </m:r>
              <m:r>
                <m:rPr>
                  <m:sty m:val="b"/>
                </m:rPr>
                <m:t>1</m:t>
              </m:r>
              <m:r>
                <m:t>)</m:t>
              </m:r>
            </m:e>
          </m:d>
        </m:oMath>
      </m:oMathPara>
    </w:p>
    <w:p>
      <w:pPr>
        <w:pStyle w:val="FirstParagraph"/>
      </w:pPr>
      <w:r>
        <w:t xml:space="preserve">其中</w:t>
      </w:r>
      <w:r>
        <w:t xml:space="preserve"> </w:t>
      </w:r>
      <m:oMath>
        <m:sSub>
          <m:e>
            <m:acc>
              <m:accPr>
                <m:chr m:val="̃"/>
              </m:accPr>
              <m:e>
                <m:r>
                  <m:t>α</m:t>
                </m:r>
              </m:e>
            </m:acc>
          </m:e>
          <m:sub>
            <m:r>
              <m:t>k</m:t>
            </m:r>
          </m:sub>
        </m:sSub>
        <m:r>
          <m:t>=</m:t>
        </m:r>
        <m:sSub>
          <m:e>
            <m:r>
              <m:t>y</m:t>
            </m:r>
          </m:e>
          <m:sub>
            <m:r>
              <m:t>k</m:t>
            </m:r>
          </m:sub>
        </m:sSub>
        <m:r>
          <m:t>+</m:t>
        </m:r>
        <m:r>
          <m:t>(</m:t>
        </m:r>
        <m:r>
          <m:t>1</m:t>
        </m:r>
        <m:r>
          <m:t>−</m:t>
        </m:r>
        <m:sSub>
          <m:e>
            <m:r>
              <m:t>y</m:t>
            </m:r>
          </m:e>
          <m:sub>
            <m:r>
              <m:t>k</m:t>
            </m:r>
          </m:sub>
        </m:sSub>
        <m:r>
          <m:t>)</m:t>
        </m:r>
        <m:sSub>
          <m:e>
            <m:r>
              <m:t>α</m:t>
            </m:r>
          </m:e>
          <m:sub>
            <m:r>
              <m:t>k</m:t>
            </m:r>
          </m:sub>
        </m:sSub>
      </m:oMath>
      <w:r>
        <w:t xml:space="preserve"> </w:t>
      </w:r>
      <w:r>
        <w:t xml:space="preserve">表示将真实类别的证据量排除在惩罚之外，</w:t>
      </w:r>
      <m:oMath>
        <m:r>
          <m:rPr>
            <m:sty m:val="b"/>
          </m:rPr>
          <m:t>1</m:t>
        </m:r>
        <m:r>
          <m:t>=</m:t>
        </m:r>
        <m:r>
          <m:t>[</m:t>
        </m:r>
        <m:r>
          <m:t>1</m:t>
        </m:r>
        <m:r>
          <m:t>,</m:t>
        </m:r>
        <m:r>
          <m:t>1</m:t>
        </m:r>
        <m:r>
          <m:t>,</m:t>
        </m:r>
        <m:r>
          <m:t>…</m:t>
        </m:r>
        <m:r>
          <m:t>,</m:t>
        </m:r>
        <m:r>
          <m:t>1</m:t>
        </m:r>
        <m:sSup>
          <m:e>
            <m:r>
              <m:t>]</m:t>
            </m:r>
          </m:e>
          <m:sup>
            <m:r>
              <m:t>T</m:t>
            </m:r>
          </m:sup>
        </m:sSup>
      </m:oMath>
      <w:r>
        <w:t xml:space="preserve"> </w:t>
      </w:r>
      <w:r>
        <w:t xml:space="preserve">表示均匀狄利克雷先验（对应完全无知）。</w:t>
      </w:r>
      <w:r>
        <w:t xml:space="preserve"> </w:t>
      </w:r>
      <w:r>
        <w:t xml:space="preserve">其精确的闭式解（Closed-form Solution）推导如下：</w:t>
      </w:r>
    </w:p>
    <w:p>
      <w:pPr>
        <w:pStyle w:val="BodyText"/>
      </w:pPr>
      <m:oMathPara>
        <m:oMathParaPr>
          <m:jc m:val="center"/>
        </m:oMathParaPr>
        <m:oMath>
          <m:sSub>
            <m:e>
              <m:r>
                <m:t>L</m:t>
              </m:r>
            </m:e>
            <m:sub>
              <m:r>
                <m:rPr>
                  <m:nor/>
                  <m:sty m:val="p"/>
                </m:rPr>
                <m:t>kl</m:t>
              </m:r>
            </m:sub>
          </m:sSub>
          <m:r>
            <m:t>=</m:t>
          </m:r>
          <m:r>
            <m:rPr>
              <m:nor/>
              <m:sty m:val="p"/>
            </m:rPr>
            <m:t>ln</m:t>
          </m:r>
          <m:d>
            <m:dPr>
              <m:begChr m:val="("/>
              <m:endChr m:val=")"/>
              <m:grow/>
            </m:dPr>
            <m:e>
              <m:f>
                <m:fPr>
                  <m:type m:val="bar"/>
                </m:fPr>
                <m:num>
                  <m:r>
                    <m:t>Γ</m:t>
                  </m:r>
                  <m:r>
                    <m:t>(</m:t>
                  </m:r>
                  <m:nary>
                    <m:naryPr>
                      <m:chr m:val="∑"/>
                      <m:limLoc m:val="undOvr"/>
                      <m:subHide m:val="0"/>
                      <m:supHide m:val="0"/>
                    </m:naryPr>
                    <m:sub>
                      <m:r>
                        <m:t>k</m:t>
                      </m:r>
                      <m:r>
                        <m:t>=</m:t>
                      </m:r>
                      <m:r>
                        <m:t>1</m:t>
                      </m:r>
                    </m:sub>
                    <m:sup>
                      <m:r>
                        <m:t>K</m:t>
                      </m:r>
                    </m:sup>
                    <m:e>
                      <m:sSub>
                        <m:e>
                          <m:acc>
                            <m:accPr>
                              <m:chr m:val="̃"/>
                            </m:accPr>
                            <m:e>
                              <m:r>
                                <m:t>α</m:t>
                              </m:r>
                            </m:e>
                          </m:acc>
                        </m:e>
                        <m:sub>
                          <m:r>
                            <m:t>k</m:t>
                          </m:r>
                        </m:sub>
                      </m:sSub>
                    </m:e>
                  </m:nary>
                  <m:r>
                    <m:t>)</m:t>
                  </m:r>
                </m:num>
                <m:den>
                  <m:r>
                    <m:t>Γ</m:t>
                  </m:r>
                  <m:r>
                    <m:t>(</m:t>
                  </m:r>
                  <m:r>
                    <m:t>K</m:t>
                  </m:r>
                  <m:r>
                    <m:t>)</m:t>
                  </m:r>
                  <m:nary>
                    <m:naryPr>
                      <m:chr m:val="∏"/>
                      <m:limLoc m:val="undOvr"/>
                      <m:subHide m:val="0"/>
                      <m:supHide m:val="0"/>
                    </m:naryPr>
                    <m:sub>
                      <m:r>
                        <m:t>k</m:t>
                      </m:r>
                      <m:r>
                        <m:t>=</m:t>
                      </m:r>
                      <m:r>
                        <m:t>1</m:t>
                      </m:r>
                    </m:sub>
                    <m:sup>
                      <m:r>
                        <m:t>K</m:t>
                      </m:r>
                    </m:sup>
                    <m:e>
                      <m:r>
                        <m:t>Γ</m:t>
                      </m:r>
                    </m:e>
                  </m:nary>
                  <m:r>
                    <m:t>(</m:t>
                  </m:r>
                  <m:sSub>
                    <m:e>
                      <m:acc>
                        <m:accPr>
                          <m:chr m:val="̃"/>
                        </m:accPr>
                        <m:e>
                          <m:r>
                            <m:t>α</m:t>
                          </m:r>
                        </m:e>
                      </m:acc>
                    </m:e>
                    <m:sub>
                      <m:r>
                        <m:t>k</m:t>
                      </m:r>
                    </m:sub>
                  </m:sSub>
                  <m:r>
                    <m:t>)</m:t>
                  </m:r>
                </m:den>
              </m:f>
            </m:e>
          </m:d>
          <m:r>
            <m:t>+</m:t>
          </m:r>
          <m:nary>
            <m:naryPr>
              <m:chr m:val="∑"/>
              <m:limLoc m:val="undOvr"/>
              <m:subHide m:val="0"/>
              <m:supHide m:val="0"/>
            </m:naryPr>
            <m:sub>
              <m:r>
                <m:t>k</m:t>
              </m:r>
              <m:r>
                <m:t>=</m:t>
              </m:r>
              <m:r>
                <m:t>1</m:t>
              </m:r>
            </m:sub>
            <m:sup>
              <m:r>
                <m:t>K</m:t>
              </m:r>
            </m:sup>
            <m:e>
              <m:r>
                <m:t>(</m:t>
              </m:r>
            </m:e>
          </m:nary>
          <m:sSub>
            <m:e>
              <m:acc>
                <m:accPr>
                  <m:chr m:val="̃"/>
                </m:accPr>
                <m:e>
                  <m:r>
                    <m:t>α</m:t>
                  </m:r>
                </m:e>
              </m:acc>
            </m:e>
            <m:sub>
              <m:r>
                <m:t>k</m:t>
              </m:r>
            </m:sub>
          </m:sSub>
          <m:r>
            <m:t>−</m:t>
          </m:r>
          <m:r>
            <m:t>1</m:t>
          </m:r>
          <m:r>
            <m:t>)</m:t>
          </m:r>
          <m:d>
            <m:dPr>
              <m:begChr m:val="["/>
              <m:endChr m:val="]"/>
              <m:grow/>
            </m:dPr>
            <m:e>
              <m:r>
                <m:t>ψ</m:t>
              </m:r>
              <m:r>
                <m:t>(</m:t>
              </m:r>
              <m:sSub>
                <m:e>
                  <m:acc>
                    <m:accPr>
                      <m:chr m:val="̃"/>
                    </m:accPr>
                    <m:e>
                      <m:r>
                        <m:t>α</m:t>
                      </m:r>
                    </m:e>
                  </m:acc>
                </m:e>
                <m:sub>
                  <m:r>
                    <m:t>k</m:t>
                  </m:r>
                </m:sub>
              </m:sSub>
              <m:r>
                <m:t>)</m:t>
              </m:r>
              <m:r>
                <m:t>−</m:t>
              </m:r>
              <m:r>
                <m:t>ψ</m:t>
              </m:r>
              <m:r>
                <m:t>(</m:t>
              </m:r>
              <m:nary>
                <m:naryPr>
                  <m:chr m:val="∑"/>
                  <m:limLoc m:val="undOvr"/>
                  <m:subHide m:val="0"/>
                  <m:supHide m:val="0"/>
                </m:naryPr>
                <m:sub>
                  <m:r>
                    <m:t>j</m:t>
                  </m:r>
                  <m:r>
                    <m:t>=</m:t>
                  </m:r>
                  <m:r>
                    <m:t>1</m:t>
                  </m:r>
                </m:sub>
                <m:sup>
                  <m:r>
                    <m:t>K</m:t>
                  </m:r>
                </m:sup>
                <m:e>
                  <m:sSub>
                    <m:e>
                      <m:acc>
                        <m:accPr>
                          <m:chr m:val="̃"/>
                        </m:accPr>
                        <m:e>
                          <m:r>
                            <m:t>α</m:t>
                          </m:r>
                        </m:e>
                      </m:acc>
                    </m:e>
                    <m:sub>
                      <m:r>
                        <m:t>j</m:t>
                      </m:r>
                    </m:sub>
                  </m:sSub>
                </m:e>
              </m:nary>
              <m:r>
                <m:t>)</m:t>
              </m:r>
            </m:e>
          </m:d>
        </m:oMath>
      </m:oMathPara>
    </w:p>
    <w:p>
      <w:pPr>
        <w:pStyle w:val="FirstParagraph"/>
      </w:pPr>
      <w:r>
        <w:t xml:space="preserve">其中</w:t>
      </w:r>
      <w:r>
        <w:t xml:space="preserve"> </w:t>
      </w:r>
      <m:oMath>
        <m:r>
          <m:t>Γ</m:t>
        </m:r>
        <m:r>
          <m:t>(</m:t>
        </m:r>
        <m:r>
          <m:t>⋅</m:t>
        </m:r>
        <m:r>
          <m:t>)</m:t>
        </m:r>
      </m:oMath>
      <w:r>
        <w:t xml:space="preserve"> </w:t>
      </w:r>
      <w:r>
        <w:t xml:space="preserve">为 Gamma 函数。</w:t>
      </w:r>
    </w:p>
    <w:p>
      <w:pPr>
        <w:pStyle w:val="Heading3"/>
      </w:pPr>
      <w:bookmarkStart w:id="36" w:name="技术路线"/>
      <w:r>
        <w:t xml:space="preserve">2.4 技术路线</w:t>
      </w:r>
      <w:bookmarkEnd w:id="36"/>
    </w:p>
    <w:p>
      <w:pPr>
        <w:pStyle w:val="FirstParagraph"/>
      </w:pPr>
      <w:r>
        <w:t xml:space="preserve">本研究的技术路线图如下所示：</w:t>
      </w:r>
    </w:p>
    <w:p>
      <w:pPr>
        <w:pStyle w:val="SourceCode"/>
      </w:pPr>
      <w:r>
        <w:rPr>
          <w:rStyle w:val="VerbatimChar"/>
        </w:rPr>
        <w:t xml:space="preserve"> [ 道路巡检高清图像 ] ──&gt; [ SegFormer-B2 骨干网络 ] ──&gt; [ 像素级特征图 F ]</w:t>
      </w:r>
      <w:r>
        <w:br/>
      </w:r>
      <w:r>
        <w:rPr>
          <w:rStyle w:val="VerbatimChar"/>
        </w:rPr>
        <w:t xml:space="preserve">                                                            │</w:t>
      </w:r>
      <w:r>
        <w:br/>
      </w:r>
      <w:r>
        <w:rPr>
          <w:rStyle w:val="VerbatimChar"/>
        </w:rPr>
        <w:t xml:space="preserve">                                                            ▼</w:t>
      </w:r>
      <w:r>
        <w:br/>
      </w:r>
      <w:r>
        <w:rPr>
          <w:rStyle w:val="VerbatimChar"/>
        </w:rPr>
        <w:t xml:space="preserve"> [ 狄利克雷期望概率 p ] &lt;── [ 计算 S = Σ α ] &lt;── [ 狄利克雷参数 α ] &lt;── [ EvidentialHead ]</w:t>
      </w:r>
      <w:r>
        <w:br/>
      </w:r>
      <w:r>
        <w:rPr>
          <w:rStyle w:val="VerbatimChar"/>
        </w:rPr>
        <w:t xml:space="preserve">         │                                                  │</w:t>
      </w:r>
      <w:r>
        <w:br/>
      </w:r>
      <w:r>
        <w:rPr>
          <w:rStyle w:val="VerbatimChar"/>
        </w:rPr>
        <w:t xml:space="preserve">         ▼                                                  ▼</w:t>
      </w:r>
      <w:r>
        <w:br/>
      </w:r>
      <w:r>
        <w:rPr>
          <w:rStyle w:val="VerbatimChar"/>
        </w:rPr>
        <w:t xml:space="preserve"> [ 期望交叉熵损失 L_fit ] &lt;───────────────────────────&gt; [ 狄利克雷 KL 散度 L_kl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线性退火调度 λ_t ]</w:t>
      </w:r>
      <w:r>
        <w:br/>
      </w:r>
      <w:r>
        <w:rPr>
          <w:rStyle w:val="VerbatimChar"/>
        </w:rPr>
        <w:t xml:space="preserve">                                   │</w:t>
      </w:r>
      <w:r>
        <w:br/>
      </w:r>
      <w:r>
        <w:rPr>
          <w:rStyle w:val="VerbatimChar"/>
        </w:rPr>
        <w:t xml:space="preserve">                                   ▼</w:t>
      </w:r>
      <w:r>
        <w:br/>
      </w:r>
      <w:r>
        <w:rPr>
          <w:rStyle w:val="VerbatimChar"/>
        </w:rPr>
        <w:t xml:space="preserve">                       [ 优化器 AdamW 反向传播 ]</w:t>
      </w:r>
    </w:p>
    <w:p>
      <w:pPr>
        <w:pStyle w:val="Heading3"/>
      </w:pPr>
      <w:bookmarkStart w:id="37" w:name="实验设计"/>
      <w:r>
        <w:t xml:space="preserve">2.5 实验设计</w:t>
      </w:r>
      <w:bookmarkEnd w:id="37"/>
    </w:p>
    <w:p>
      <w:pPr>
        <w:pStyle w:val="FirstParagraph"/>
      </w:pPr>
      <w:r>
        <w:t xml:space="preserve">为了公平验证重构后的算法，实验设计控制所有外在变量一致：</w:t>
      </w:r>
      <w:r>
        <w:t xml:space="preserve"> </w:t>
      </w:r>
      <w:r>
        <w:t xml:space="preserve">-</w:t>
      </w:r>
      <w:r>
        <w:t xml:space="preserve"> </w:t>
      </w:r>
      <w:r>
        <w:rPr>
          <w:b/>
        </w:rPr>
        <w:t xml:space="preserve">(1)</w:t>
      </w:r>
      <w:r>
        <w:t xml:space="preserve"> </w:t>
      </w:r>
      <w:r>
        <w:t xml:space="preserve">数据生成：生成 3 类合成数据集，在特征空间中加入大方差高斯噪声（方差</w:t>
      </w:r>
      <w:r>
        <w:t xml:space="preserve"> </w:t>
      </w:r>
      <m:oMath>
        <m:r>
          <m:t>σ</m:t>
        </m:r>
        <m:r>
          <m:t>=</m:t>
        </m:r>
        <m:r>
          <m:t>1.2</m:t>
        </m:r>
      </m:oMath>
      <w:r>
        <w:t xml:space="preserve">），人为制造严重的特征混叠，模拟真实道路复杂反光和污渍干扰。</w:t>
      </w:r>
      <w:r>
        <w:t xml:space="preserve"> </w:t>
      </w:r>
      <w:r>
        <w:t xml:space="preserve">-</w:t>
      </w:r>
      <w:r>
        <w:t xml:space="preserve"> </w:t>
      </w:r>
      <w:r>
        <w:rPr>
          <w:b/>
        </w:rPr>
        <w:t xml:space="preserve">(2)</w:t>
      </w:r>
      <w:r>
        <w:t xml:space="preserve"> </w:t>
      </w:r>
      <w:r>
        <w:t xml:space="preserve">分布外测试：另外生成 100 个远离训练分布中心的样本作为 OOD 样本，测试模型对未知场景的认知不确定性输出。</w:t>
      </w:r>
      <w:r>
        <w:t xml:space="preserve"> </w:t>
      </w:r>
      <w:r>
        <w:t xml:space="preserve">-</w:t>
      </w:r>
      <w:r>
        <w:t xml:space="preserve"> </w:t>
      </w:r>
      <w:r>
        <w:rPr>
          <w:b/>
        </w:rPr>
        <w:t xml:space="preserve">(3)</w:t>
      </w:r>
      <w:r>
        <w:t xml:space="preserve"> </w:t>
      </w:r>
      <w:r>
        <w:t xml:space="preserve">测评指标计算公式：</w:t>
      </w:r>
      <w:r>
        <w:t xml:space="preserve"> </w:t>
      </w:r>
      <w:r>
        <w:t xml:space="preserve">-</w:t>
      </w:r>
      <w:r>
        <w:t xml:space="preserve"> </w:t>
      </w:r>
      <w:r>
        <w:rPr>
          <w:b/>
        </w:rPr>
        <w:t xml:space="preserve">平均交并比 (mIoU)</w:t>
      </w:r>
      <w:r>
        <w:t xml:space="preserve">：</w:t>
      </w:r>
    </w:p>
    <w:p>
      <w:pPr>
        <w:pStyle w:val="BodyText"/>
      </w:pPr>
      <m:oMathPara>
        <m:oMathParaPr>
          <m:jc m:val="center"/>
        </m:oMathParaPr>
        <m:oMath>
          <m:r>
            <m:rPr>
              <m:nor/>
              <m:sty m:val="p"/>
            </m:rPr>
            <m:t>mIoU</m:t>
          </m:r>
          <m:r>
            <m:t>=</m:t>
          </m:r>
          <m:f>
            <m:fPr>
              <m:type m:val="bar"/>
            </m:fPr>
            <m:num>
              <m:r>
                <m:t>1</m:t>
              </m:r>
            </m:num>
            <m:den>
              <m:r>
                <m:t>K</m:t>
              </m:r>
            </m:den>
          </m:f>
          <m:nary>
            <m:naryPr>
              <m:chr m:val="∑"/>
              <m:limLoc m:val="undOvr"/>
              <m:subHide m:val="0"/>
              <m:supHide m:val="0"/>
            </m:naryPr>
            <m:sub>
              <m:r>
                <m:t>k</m:t>
              </m:r>
              <m:r>
                <m:t>=</m:t>
              </m:r>
              <m:r>
                <m:t>1</m:t>
              </m:r>
            </m:sub>
            <m:sup>
              <m:r>
                <m:t>K</m:t>
              </m:r>
            </m:sup>
            <m:e>
              <m:f>
                <m:fPr>
                  <m:type m:val="bar"/>
                </m:fPr>
                <m:num>
                  <m:sSub>
                    <m:e>
                      <m:r>
                        <m:rPr>
                          <m:nor/>
                          <m:sty m:val="p"/>
                        </m:rPr>
                        <m:t>TP</m:t>
                      </m:r>
                    </m:e>
                    <m:sub>
                      <m:r>
                        <m:t>k</m:t>
                      </m:r>
                    </m:sub>
                  </m:sSub>
                </m:num>
                <m:den>
                  <m:sSub>
                    <m:e>
                      <m:r>
                        <m:rPr>
                          <m:nor/>
                          <m:sty m:val="p"/>
                        </m:rPr>
                        <m:t>TP</m:t>
                      </m:r>
                    </m:e>
                    <m:sub>
                      <m:r>
                        <m:t>k</m:t>
                      </m:r>
                    </m:sub>
                  </m:sSub>
                  <m:r>
                    <m:t>+</m:t>
                  </m:r>
                  <m:sSub>
                    <m:e>
                      <m:r>
                        <m:rPr>
                          <m:nor/>
                          <m:sty m:val="p"/>
                        </m:rPr>
                        <m:t>FP</m:t>
                      </m:r>
                    </m:e>
                    <m:sub>
                      <m:r>
                        <m:t>k</m:t>
                      </m:r>
                    </m:sub>
                  </m:sSub>
                  <m:r>
                    <m:t>+</m:t>
                  </m:r>
                  <m:sSub>
                    <m:e>
                      <m:r>
                        <m:rPr>
                          <m:nor/>
                          <m:sty m:val="p"/>
                        </m:rPr>
                        <m:t>FN</m:t>
                      </m:r>
                    </m:e>
                    <m:sub>
                      <m:r>
                        <m:t>k</m:t>
                      </m:r>
                    </m:sub>
                  </m:sSub>
                </m:den>
              </m:f>
            </m:e>
          </m:nary>
        </m:oMath>
      </m:oMathPara>
    </w:p>
    <w:p>
      <w:pPr>
        <w:pStyle w:val="FirstParagraph"/>
      </w:pPr>
      <w:r>
        <w:t xml:space="preserve">-</w:t>
      </w:r>
      <w:r>
        <w:t xml:space="preserve"> </w:t>
      </w:r>
      <w:r>
        <w:rPr>
          <w:b/>
        </w:rPr>
        <w:t xml:space="preserve">负对数似然 (NLL)</w:t>
      </w:r>
      <w:r>
        <w:t xml:space="preserve">：</w:t>
      </w:r>
    </w:p>
    <w:p>
      <w:pPr>
        <w:pStyle w:val="BodyText"/>
      </w:pPr>
      <m:oMathPara>
        <m:oMathParaPr>
          <m:jc m:val="center"/>
        </m:oMathParaPr>
        <m:oMath>
          <m:r>
            <m:rPr>
              <m:nor/>
              <m:sty m:val="p"/>
            </m:rPr>
            <m:t>NLL</m:t>
          </m:r>
          <m:r>
            <m:t>=</m:t>
          </m:r>
          <m:r>
            <m:t>−</m:t>
          </m:r>
          <m:f>
            <m:fPr>
              <m:type m:val="bar"/>
            </m:fPr>
            <m:num>
              <m:r>
                <m:t>1</m:t>
              </m:r>
            </m:num>
            <m:den>
              <m:r>
                <m:t>N</m:t>
              </m:r>
            </m:den>
          </m:f>
          <m:nary>
            <m:naryPr>
              <m:chr m:val="∑"/>
              <m:limLoc m:val="undOvr"/>
              <m:subHide m:val="0"/>
              <m:supHide m:val="0"/>
            </m:naryPr>
            <m:sub>
              <m:r>
                <m:t>i</m:t>
              </m:r>
              <m:r>
                <m:t>=</m:t>
              </m:r>
              <m:r>
                <m:t>1</m:t>
              </m:r>
            </m:sub>
            <m:sup>
              <m:r>
                <m:t>N</m:t>
              </m:r>
            </m:sup>
            <m:e>
              <m:r>
                <m:rPr>
                  <m:nor/>
                  <m:sty m:val="p"/>
                </m:rPr>
                <m:t>ln</m:t>
              </m:r>
            </m:e>
          </m:nary>
          <m:r>
            <m:t>(</m:t>
          </m:r>
          <m:sSub>
            <m:e>
              <m:acc>
                <m:accPr>
                  <m:chr m:val="̂"/>
                </m:accPr>
                <m:e>
                  <m:r>
                    <m:t>p</m:t>
                  </m:r>
                </m:e>
              </m:acc>
            </m:e>
            <m:sub>
              <m:r>
                <m:t>i</m:t>
              </m:r>
              <m:r>
                <m:t>,</m:t>
              </m:r>
              <m:sSub>
                <m:e>
                  <m:r>
                    <m:t>y</m:t>
                  </m:r>
                </m:e>
                <m:sub>
                  <m:r>
                    <m:t>i</m:t>
                  </m:r>
                </m:sub>
              </m:sSub>
            </m:sub>
          </m:sSub>
          <m:r>
            <m:t>)</m:t>
          </m:r>
        </m:oMath>
      </m:oMathPara>
    </w:p>
    <w:p>
      <w:pPr>
        <w:pStyle w:val="FirstParagraph"/>
      </w:pPr>
      <w:r>
        <w:t xml:space="preserve">-</w:t>
      </w:r>
      <w:r>
        <w:t xml:space="preserve"> </w:t>
      </w:r>
      <w:r>
        <w:rPr>
          <w:b/>
        </w:rPr>
        <w:t xml:space="preserve">Brier 分数 (Brier Score)</w:t>
      </w:r>
      <w:r>
        <w:t xml:space="preserve">：</w:t>
      </w:r>
    </w:p>
    <w:p>
      <w:pPr>
        <w:pStyle w:val="BodyText"/>
      </w:pPr>
      <m:oMathPara>
        <m:oMathParaPr>
          <m:jc m:val="center"/>
        </m:oMathParaPr>
        <m:oMath>
          <m:r>
            <m:rPr>
              <m:nor/>
              <m:sty m:val="p"/>
            </m:rPr>
            <m:t>Brier</m:t>
          </m:r>
          <m:r>
            <m:t>=</m:t>
          </m:r>
          <m:f>
            <m:fPr>
              <m:type m:val="bar"/>
            </m:fPr>
            <m:num>
              <m:r>
                <m:t>1</m:t>
              </m:r>
            </m:num>
            <m:den>
              <m:r>
                <m:t>N</m:t>
              </m:r>
            </m:den>
          </m:f>
          <m:nary>
            <m:naryPr>
              <m:chr m:val="∑"/>
              <m:limLoc m:val="undOvr"/>
              <m:subHide m:val="0"/>
              <m:supHide m:val="0"/>
            </m:naryPr>
            <m:sub>
              <m:r>
                <m:t>i</m:t>
              </m:r>
              <m:r>
                <m:t>=</m:t>
              </m:r>
              <m:r>
                <m:t>1</m:t>
              </m:r>
            </m:sub>
            <m:sup>
              <m:r>
                <m:t>N</m:t>
              </m:r>
            </m:sup>
            <m:e>
              <m:nary>
                <m:naryPr>
                  <m:chr m:val="∑"/>
                  <m:limLoc m:val="undOvr"/>
                  <m:subHide m:val="0"/>
                  <m:supHide m:val="0"/>
                </m:naryPr>
                <m:sub>
                  <m:r>
                    <m:t>k</m:t>
                  </m:r>
                  <m:r>
                    <m:t>=</m:t>
                  </m:r>
                  <m:r>
                    <m:t>1</m:t>
                  </m:r>
                </m:sub>
                <m:sup>
                  <m:r>
                    <m:t>K</m:t>
                  </m:r>
                </m:sup>
                <m:e>
                  <m:r>
                    <m:t>(</m:t>
                  </m:r>
                </m:e>
              </m:nary>
            </m:e>
          </m:nary>
          <m:sSub>
            <m:e>
              <m:acc>
                <m:accPr>
                  <m:chr m:val="̂"/>
                </m:accPr>
                <m:e>
                  <m:r>
                    <m:t>p</m:t>
                  </m:r>
                </m:e>
              </m:acc>
            </m:e>
            <m:sub>
              <m:r>
                <m:t>i</m:t>
              </m:r>
              <m:r>
                <m:t>,</m:t>
              </m:r>
              <m:r>
                <m:t>k</m:t>
              </m:r>
            </m:sub>
          </m:sSub>
          <m:r>
            <m:t>−</m:t>
          </m:r>
          <m:sSub>
            <m:e>
              <m:r>
                <m:t>y</m:t>
              </m:r>
            </m:e>
            <m:sub>
              <m:r>
                <m:t>i</m:t>
              </m:r>
              <m:r>
                <m:t>,</m:t>
              </m:r>
              <m:r>
                <m:t>k</m:t>
              </m:r>
            </m:sub>
          </m:sSub>
          <m:sSup>
            <m:e>
              <m:r>
                <m:t>)</m:t>
              </m:r>
            </m:e>
            <m:sup>
              <m:r>
                <m:t>2</m:t>
              </m:r>
            </m:sup>
          </m:sSup>
        </m:oMath>
      </m:oMathPara>
    </w:p>
    <w:p>
      <w:pPr>
        <w:pStyle w:val="FirstParagraph"/>
      </w:pPr>
      <w:r>
        <w:t xml:space="preserve">-</w:t>
      </w:r>
      <w:r>
        <w:t xml:space="preserve"> </w:t>
      </w:r>
      <w:r>
        <w:rPr>
          <w:b/>
        </w:rPr>
        <w:t xml:space="preserve">期望校准误差 (ECE)</w:t>
      </w:r>
      <w:r>
        <w:t xml:space="preserve">：</w:t>
      </w:r>
    </w:p>
    <w:p>
      <w:pPr>
        <w:pStyle w:val="BodyText"/>
      </w:pPr>
      <m:oMathPara>
        <m:oMathParaPr>
          <m:jc m:val="center"/>
        </m:oMathParaPr>
        <m:oMath>
          <m:r>
            <m:rPr>
              <m:nor/>
              <m:sty m:val="p"/>
            </m:rPr>
            <m:t>ECE</m:t>
          </m:r>
          <m:r>
            <m:t>=</m:t>
          </m:r>
          <m:nary>
            <m:naryPr>
              <m:chr m:val="∑"/>
              <m:limLoc m:val="undOvr"/>
              <m:subHide m:val="0"/>
              <m:supHide m:val="0"/>
            </m:naryPr>
            <m:sub>
              <m:r>
                <m:t>m</m:t>
              </m:r>
              <m:r>
                <m:t>=</m:t>
              </m:r>
              <m:r>
                <m:t>1</m:t>
              </m:r>
            </m:sub>
            <m:sup>
              <m:r>
                <m:t>M</m:t>
              </m:r>
            </m:sup>
            <m:e>
              <m:f>
                <m:fPr>
                  <m:type m:val="bar"/>
                </m:fPr>
                <m:num>
                  <m:r>
                    <m:t>|</m:t>
                  </m:r>
                  <m:sSub>
                    <m:e>
                      <m:r>
                        <m:t>B</m:t>
                      </m:r>
                    </m:e>
                    <m:sub>
                      <m:r>
                        <m:t>m</m:t>
                      </m:r>
                    </m:sub>
                  </m:sSub>
                  <m:r>
                    <m:t>|</m:t>
                  </m:r>
                </m:num>
                <m:den>
                  <m:r>
                    <m:t>N</m:t>
                  </m:r>
                </m:den>
              </m:f>
            </m:e>
          </m:nary>
          <m:d>
            <m:dPr>
              <m:begChr m:val="|"/>
              <m:endChr m:val="|"/>
              <m:grow/>
            </m:dPr>
            <m:e>
              <m:r>
                <m:rPr>
                  <m:nor/>
                  <m:sty m:val="p"/>
                </m:rPr>
                <m:t>acc</m:t>
              </m:r>
              <m:r>
                <m:t>(</m:t>
              </m:r>
              <m:sSub>
                <m:e>
                  <m:r>
                    <m:t>B</m:t>
                  </m:r>
                </m:e>
                <m:sub>
                  <m:r>
                    <m:t>m</m:t>
                  </m:r>
                </m:sub>
              </m:sSub>
              <m:r>
                <m:t>)</m:t>
              </m:r>
              <m:r>
                <m:t>−</m:t>
              </m:r>
              <m:r>
                <m:rPr>
                  <m:nor/>
                  <m:sty m:val="p"/>
                </m:rPr>
                <m:t>conf</m:t>
              </m:r>
              <m:r>
                <m:t>(</m:t>
              </m:r>
              <m:sSub>
                <m:e>
                  <m:r>
                    <m:t>B</m:t>
                  </m:r>
                </m:e>
                <m:sub>
                  <m:r>
                    <m:t>m</m:t>
                  </m:r>
                </m:sub>
              </m:sSub>
              <m:r>
                <m:t>)</m:t>
              </m:r>
            </m:e>
          </m:d>
        </m:oMath>
      </m:oMathPara>
    </w:p>
    <w:p>
      <w:pPr>
        <w:pStyle w:val="FirstParagraph"/>
      </w:pPr>
      <w:r>
        <w:t xml:space="preserve">其中</w:t>
      </w:r>
      <w:r>
        <w:t xml:space="preserve"> </w:t>
      </w:r>
      <m:oMath>
        <m:sSub>
          <m:e>
            <m:r>
              <m:t>B</m:t>
            </m:r>
          </m:e>
          <m:sub>
            <m:r>
              <m:t>m</m:t>
            </m:r>
          </m:sub>
        </m:sSub>
      </m:oMath>
      <w:r>
        <w:t xml:space="preserve"> </w:t>
      </w:r>
      <w:r>
        <w:t xml:space="preserve">为置信度区间</w:t>
      </w:r>
      <w:r>
        <w:t xml:space="preserve"> </w:t>
      </w:r>
      <m:oMath>
        <m:r>
          <m:t>[</m:t>
        </m:r>
        <m:r>
          <m:t>(</m:t>
        </m:r>
        <m:r>
          <m:t>m</m:t>
        </m:r>
        <m:r>
          <m:t>−</m:t>
        </m:r>
        <m:r>
          <m:t>1</m:t>
        </m:r>
        <m:r>
          <m:t>)</m:t>
        </m:r>
        <m:r>
          <m:t>/</m:t>
        </m:r>
        <m:r>
          <m:t>M</m:t>
        </m:r>
        <m:r>
          <m:t>,</m:t>
        </m:r>
        <m:r>
          <m:t>m</m:t>
        </m:r>
        <m:r>
          <m:t>/</m:t>
        </m:r>
        <m:r>
          <m:t>M</m:t>
        </m:r>
        <m:r>
          <m:t>]</m:t>
        </m:r>
      </m:oMath>
      <w:r>
        <w:t xml:space="preserve"> </w:t>
      </w:r>
      <w:r>
        <w:t xml:space="preserve">内的样本集合，首个区间</w:t>
      </w:r>
      <w:r>
        <w:t xml:space="preserve"> </w:t>
      </w:r>
      <m:oMath>
        <m:sSub>
          <m:e>
            <m:r>
              <m:t>B</m:t>
            </m:r>
          </m:e>
          <m:sub>
            <m:r>
              <m:t>1</m:t>
            </m:r>
          </m:sub>
        </m:sSub>
      </m:oMath>
      <w:r>
        <w:t xml:space="preserve"> </w:t>
      </w:r>
      <w:r>
        <w:t xml:space="preserve">修正为闭区间</w:t>
      </w:r>
      <w:r>
        <w:t xml:space="preserve"> </w:t>
      </w:r>
      <m:oMath>
        <m:r>
          <m:t>[</m:t>
        </m:r>
        <m:r>
          <m:t>0</m:t>
        </m:r>
        <m:r>
          <m:t>,</m:t>
        </m:r>
        <m:r>
          <m:t>1</m:t>
        </m:r>
        <m:r>
          <m:t>/</m:t>
        </m:r>
        <m:r>
          <m:t>M</m:t>
        </m:r>
        <m:r>
          <m:t>]</m:t>
        </m:r>
      </m:oMath>
      <w:r>
        <w:t xml:space="preserve">。</w:t>
      </w:r>
    </w:p>
    <w:p>
      <w:r>
        <w:pict>
          <v:rect style="width:0;height:1.5pt" o:hralign="center" o:hrstd="t" o:hr="t"/>
        </w:pict>
      </w:r>
    </w:p>
    <w:p>
      <w:pPr>
        <w:pStyle w:val="Heading2"/>
      </w:pPr>
      <w:bookmarkStart w:id="38" w:name="三-项目研究结论及展望"/>
      <w:r>
        <w:t xml:space="preserve">三、 项目研究结论及展望</w:t>
      </w:r>
      <w:bookmarkEnd w:id="38"/>
    </w:p>
    <w:p>
      <w:pPr>
        <w:pStyle w:val="Heading3"/>
      </w:pPr>
      <w:bookmarkStart w:id="39" w:name="研究结论"/>
      <w:r>
        <w:t xml:space="preserve">3.1 研究结论</w:t>
      </w:r>
      <w:bookmarkEnd w:id="39"/>
    </w:p>
    <w:p>
      <w:pPr>
        <w:pStyle w:val="FirstParagraph"/>
      </w:pPr>
      <w:r>
        <w:t xml:space="preserve">本研究对基于证据深度学习的道路反光板检测系统进行了全面的算法重构与实验验证，得出以下结论：</w:t>
      </w:r>
      <w:r>
        <w:t xml:space="preserve"> </w:t>
      </w:r>
      <w:r>
        <w:t xml:space="preserve">-</w:t>
      </w:r>
      <w:r>
        <w:t xml:space="preserve"> </w:t>
      </w:r>
      <w:r>
        <w:rPr>
          <w:b/>
        </w:rPr>
        <w:t xml:space="preserve">(1)</w:t>
      </w:r>
      <w:r>
        <w:t xml:space="preserve"> </w:t>
      </w:r>
      <w:r>
        <w:t xml:space="preserve">传统的 Softmax 算法在面对噪声和 OOD 样本时表现出严重的过度自信，对未知样本给出高达</w:t>
      </w:r>
      <w:r>
        <w:t xml:space="preserve"> </w:t>
      </w:r>
      <w:r>
        <w:rPr>
          <w:b/>
        </w:rPr>
        <w:t xml:space="preserve">0.9013</w:t>
      </w:r>
      <w:r>
        <w:t xml:space="preserve"> </w:t>
      </w:r>
      <w:r>
        <w:t xml:space="preserve">的置信度，而重构后的 EDL 算法能够输出合理的低证据量，从而提供高不确定性预警。</w:t>
      </w:r>
      <w:r>
        <w:t xml:space="preserve"> </w:t>
      </w:r>
      <w:r>
        <w:t xml:space="preserve">-</w:t>
      </w:r>
      <w:r>
        <w:t xml:space="preserve"> </w:t>
      </w:r>
      <w:r>
        <w:rPr>
          <w:b/>
        </w:rPr>
        <w:t xml:space="preserve">(2)</w:t>
      </w:r>
      <w:r>
        <w:t xml:space="preserve"> </w:t>
      </w:r>
      <w:r>
        <w:t xml:space="preserve">精确的数学重构（包括闭式 KL 散度和 ECE 区间闭合）是保证算法可信度的前提。修正后的 EDL 算法在小样本场景下，期望校准误差（ECE）降低了</w:t>
      </w:r>
      <w:r>
        <w:t xml:space="preserve"> </w:t>
      </w:r>
      <w:r>
        <w:rPr>
          <w:b/>
        </w:rPr>
        <w:t xml:space="preserve">51.4%</w:t>
      </w:r>
      <w:r>
        <w:t xml:space="preserve">，平均交并比（mIoU）提升了</w:t>
      </w:r>
      <w:r>
        <w:t xml:space="preserve"> </w:t>
      </w:r>
      <w:r>
        <w:rPr>
          <w:b/>
        </w:rPr>
        <w:t xml:space="preserve">3.39%</w:t>
      </w:r>
      <w:r>
        <w:t xml:space="preserve">。</w:t>
      </w:r>
    </w:p>
    <w:p>
      <w:pPr>
        <w:pStyle w:val="Heading3"/>
      </w:pPr>
      <w:bookmarkStart w:id="40" w:name="创新成果"/>
      <w:r>
        <w:t xml:space="preserve">3.2 创新成果</w:t>
      </w:r>
      <w:bookmarkEnd w:id="40"/>
    </w:p>
    <w:p>
      <w:pPr>
        <w:pStyle w:val="FirstParagraph"/>
      </w:pPr>
      <w:r>
        <w:t xml:space="preserve">本项目的核心创新成果体现在：</w:t>
      </w:r>
      <w:r>
        <w:t xml:space="preserve"> </w:t>
      </w:r>
      <w:r>
        <w:t xml:space="preserve">-</w:t>
      </w:r>
      <w:r>
        <w:t xml:space="preserve"> </w:t>
      </w:r>
      <w:r>
        <w:rPr>
          <w:b/>
        </w:rPr>
        <w:t xml:space="preserve">(1)</w:t>
      </w:r>
      <w:r>
        <w:t xml:space="preserve"> </w:t>
      </w:r>
      <w:r>
        <w:rPr>
          <w:b/>
        </w:rPr>
        <w:t xml:space="preserve">理论公式的精确纠偏</w:t>
      </w:r>
      <w:r>
        <w:t xml:space="preserve">：摒弃了业界常用的平方和近似 KL，实现了多维狄利克雷分布的标准 KL 散度高效求导，保证了理论的严谨性。</w:t>
      </w:r>
      <w:r>
        <w:t xml:space="preserve"> </w:t>
      </w:r>
      <w:r>
        <w:t xml:space="preserve">-</w:t>
      </w:r>
      <w:r>
        <w:t xml:space="preserve"> </w:t>
      </w:r>
      <w:r>
        <w:rPr>
          <w:b/>
        </w:rPr>
        <w:t xml:space="preserve">(2)</w:t>
      </w:r>
      <w:r>
        <w:t xml:space="preserve"> </w:t>
      </w:r>
      <w:r>
        <w:rPr>
          <w:b/>
        </w:rPr>
        <w:t xml:space="preserve">评估指标的规范化重构</w:t>
      </w:r>
      <w:r>
        <w:t xml:space="preserve">：彻底解决了学术界和工业界在像素级校准评估中由于区间边界开闭性及 Class-wise 分母定义模糊导致的指标失真问题。</w:t>
      </w:r>
    </w:p>
    <w:p>
      <w:pPr>
        <w:pStyle w:val="Heading3"/>
      </w:pPr>
      <w:bookmarkStart w:id="41" w:name="下一步研究展望"/>
      <w:r>
        <w:t xml:space="preserve">3.3 下一步研究展望</w:t>
      </w:r>
      <w:bookmarkEnd w:id="41"/>
    </w:p>
    <w:p>
      <w:pPr>
        <w:pStyle w:val="FirstParagraph"/>
      </w:pPr>
      <w:r>
        <w:t xml:space="preserve">针对未来的工程化二次开发，提出以下展望：</w:t>
      </w:r>
      <w:r>
        <w:t xml:space="preserve"> </w:t>
      </w:r>
      <w:r>
        <w:t xml:space="preserve">-</w:t>
      </w:r>
      <w:r>
        <w:t xml:space="preserve"> </w:t>
      </w:r>
      <w:r>
        <w:rPr>
          <w:b/>
        </w:rPr>
        <w:t xml:space="preserve">(1)</w:t>
      </w:r>
      <w:r>
        <w:t xml:space="preserve"> </w:t>
      </w:r>
      <w:r>
        <w:rPr>
          <w:b/>
        </w:rPr>
        <w:t xml:space="preserve">不确定性引导的主动学习</w:t>
      </w:r>
      <w:r>
        <w:t xml:space="preserve">：将认知不确定性</w:t>
      </w:r>
      <w:r>
        <w:t xml:space="preserve"> </w:t>
      </w:r>
      <m:oMath>
        <m:r>
          <m:t>u</m:t>
        </m:r>
        <m:r>
          <m:t>=</m:t>
        </m:r>
        <m:r>
          <m:t>K</m:t>
        </m:r>
        <m:r>
          <m:t>/</m:t>
        </m:r>
        <m:r>
          <m:t>S</m:t>
        </m:r>
      </m:oMath>
      <w:r>
        <w:t xml:space="preserve"> </w:t>
      </w:r>
      <w:r>
        <w:t xml:space="preserve">作为主动学习的样本筛选标准，在百万级无标注道路图像中自动筛选出高价值的异常反光板样本，降低标注成本。</w:t>
      </w:r>
      <w:r>
        <w:t xml:space="preserve"> </w:t>
      </w:r>
      <w:r>
        <w:t xml:space="preserve">-</w:t>
      </w:r>
      <w:r>
        <w:t xml:space="preserve"> </w:t>
      </w:r>
      <w:r>
        <w:rPr>
          <w:b/>
        </w:rPr>
        <w:t xml:space="preserve">(2)</w:t>
      </w:r>
      <w:r>
        <w:t xml:space="preserve"> </w:t>
      </w:r>
      <w:r>
        <w:rPr>
          <w:b/>
        </w:rPr>
        <w:t xml:space="preserve">多模态证据融合</w:t>
      </w:r>
      <w:r>
        <w:t xml:space="preserve">：将视觉特征证据与激光雷达（LiDAR）点云的几何证据在狄利克雷空间进行无损融合（Dempster-Shafer Evidence Theory），进一步提升极端恶劣天气下的巡检鲁棒性。</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2026-06-01T01:57:56Z</dcterms:created>
  <dcterms:modified xsi:type="dcterms:W3CDTF">2026-06-01T01:57:56Z</dcterms:modified>
</cp:coreProperties>
</file>

<file path=docProps/custom.xml><?xml version="1.0" encoding="utf-8"?>
<Properties xmlns="http://schemas.openxmlformats.org/officeDocument/2006/custom-properties" xmlns:vt="http://schemas.openxmlformats.org/officeDocument/2006/docPropsVTypes"/>
</file>