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69" w:lineRule="auto"/>
      </w:pPr>
      <w:r>
        <w:rPr>
          <w:rFonts w:ascii="Calibri" w:hAnsi="Calibri" w:eastAsia="Microsoft YaHei"/>
          <w:b/>
          <w:i w:val="0"/>
          <w:color w:val="2E74B5"/>
          <w:sz w:val="22"/>
        </w:rPr>
        <w:t>项目复盘与协作规范</w:t>
      </w:r>
    </w:p>
    <w:p>
      <w:pPr>
        <w:spacing w:before="0" w:after="80" w:line="269" w:lineRule="auto"/>
      </w:pPr>
      <w:r>
        <w:rPr>
          <w:rFonts w:ascii="Calibri" w:hAnsi="Calibri" w:eastAsia="Microsoft YaHei"/>
          <w:b/>
          <w:i w:val="0"/>
          <w:color w:val="0B2545"/>
          <w:sz w:val="46"/>
        </w:rPr>
        <w:t>AI 产品项目复盘与全生命周期研发 SOP</w:t>
      </w:r>
    </w:p>
    <w:p>
      <w:pPr>
        <w:spacing w:before="0" w:after="240" w:line="269" w:lineRule="auto"/>
        <w:pBdr>
          <w:bottom w:val="single" w:sz="8" w:space="1" w:color="D7DBE2"/>
        </w:pBdr>
      </w:pPr>
      <w:r>
        <w:rPr>
          <w:rFonts w:ascii="Calibri" w:hAnsi="Calibri" w:eastAsia="Microsoft YaHei"/>
          <w:b w:val="0"/>
          <w:i w:val="0"/>
          <w:color w:val="5A6473"/>
          <w:sz w:val="25"/>
        </w:rPr>
        <w:t>基于多个 AI 产品项目的实践经验沉淀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7654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项目</w:t>
            </w:r>
          </w:p>
        </w:tc>
        <w:tc>
          <w:tcPr>
            <w:tcW w:type="dxa" w:w="765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文档版本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v0.2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适用场景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AI 工作流、Agent 应用与文档自动化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涉及角色</w:t>
            </w:r>
          </w:p>
        </w:tc>
        <w:tc>
          <w:tcPr>
            <w:tcW w:type="dxa" w:w="765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产品经理、前端开发、后端开发、Agent/算法开发、测试、运营及项目协作方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定位</w:t>
            </w:r>
          </w:p>
        </w:tc>
        <w:tc>
          <w:tcPr>
            <w:tcW w:type="dxa" w:w="765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既是项目复盘，也是后续 AI 产品项目的协作 SOP 与方法论草案。</w:t>
            </w:r>
          </w:p>
        </w:tc>
      </w:tr>
    </w:tbl>
    <w:p>
      <w:pPr>
        <w:spacing w:before="0" w:after="40" w:line="269" w:lineRule="auto"/>
      </w:pP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CAD6E2"/>
          <w:left w:val="single" w:sz="6" w:space="0" w:color="CAD6E2"/>
          <w:bottom w:val="single" w:sz="6" w:space="0" w:color="CAD6E2"/>
          <w:right w:val="single" w:sz="6" w:space="0" w:color="CAD6E2"/>
          <w:insideH w:val="single" w:sz="6" w:space="0" w:color="CAD6E2"/>
          <w:insideV w:val="single" w:sz="6" w:space="0" w:color="CAD6E2"/>
        </w:tblBorders>
      </w:tblPr>
      <w:tblGrid>
        <w:gridCol w:w="9354"/>
      </w:tblGrid>
      <w:tr>
        <w:tc>
          <w:tcPr>
            <w:tcW w:type="dxa" w:w="9354"/>
            <w:shd w:fill="F4F7FB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spacing w:before="0" w:after="60" w:line="269" w:lineRule="auto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核心共识</w:t>
            </w:r>
          </w:p>
          <w:p>
            <w:pPr>
              <w:spacing w:before="0" w:after="0" w:line="269" w:lineRule="auto"/>
            </w:pPr>
            <w:r>
              <w:rPr>
                <w:rFonts w:ascii="Calibri" w:hAnsi="Calibri" w:eastAsia="Microsoft YaHei"/>
                <w:sz w:val="21"/>
              </w:rPr>
              <w:t>AI 产品项目不是普通功能开发外接一个模型接口，而是同时管理产品体验、数据上下文、Agent 行为、工程稳定性和效果评测的协作过程。AI 产品本质是持续优化系统，而不是一次性交付。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一、为什么要沉淀这套 AI SOP</w:t>
      </w:r>
    </w:p>
    <w:p>
      <w:pPr>
        <w:spacing w:before="0" w:after="160" w:line="269" w:lineRule="auto"/>
      </w:pPr>
      <w:r>
        <w:rPr>
          <w:rFonts w:ascii="Calibri" w:hAnsi="Calibri" w:eastAsia="Microsoft YaHei"/>
          <w:b w:val="0"/>
          <w:i w:val="0"/>
          <w:sz w:val="22"/>
        </w:rPr>
        <w:t>在多个 AI 项目的实践中，项目类型虽然不同，但推进过程会暴露出一些共性问题。沉淀 SOP 的目的，不是增加流程负担，而是把已经踩过的坑变成团队后续协作的默认动作。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3175"/>
        <w:gridCol w:w="3912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共性问题</w:t>
            </w:r>
          </w:p>
        </w:tc>
        <w:tc>
          <w:tcPr>
            <w:tcW w:type="dxa" w:w="317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对项目的影响</w:t>
            </w:r>
          </w:p>
        </w:tc>
        <w:tc>
          <w:tcPr>
            <w:tcW w:type="dxa" w:w="391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SOP 中的对应机制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产品方案确定后才发现数据拿不到或数据质量不稳定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方案返工，Agent 效果难以达到预期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数据准备前置、AI Spec 明确上下文和数据边界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到开发阶段频繁调整</w:t>
            </w:r>
          </w:p>
        </w:tc>
        <w:tc>
          <w:tcPr>
            <w:tcW w:type="dxa" w:w="317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产品、Agent、开发之间反复拉齐，成本高</w:t>
            </w:r>
          </w:p>
        </w:tc>
        <w:tc>
          <w:tcPr>
            <w:tcW w:type="dxa" w:w="39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/ Agent 版本管理，先用 Demo 和 Golden Standard 评估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AI 输出没有统一评测标准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上线判断依赖主观感受，难以复盘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建立 Golden Standard、人工评测表和通过标准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测试阶段只测功能，没有测 AI 效果</w:t>
            </w:r>
          </w:p>
        </w:tc>
        <w:tc>
          <w:tcPr>
            <w:tcW w:type="dxa" w:w="317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功能可用但结果不可用，用户信任度不足</w:t>
            </w:r>
          </w:p>
        </w:tc>
        <w:tc>
          <w:tcPr>
            <w:tcW w:type="dxa" w:w="3912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功能测试 + AI 输出质量评测 + 数据验证并行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上线以后缺少效果监控</w:t>
            </w:r>
          </w:p>
        </w:tc>
        <w:tc>
          <w:tcPr>
            <w:tcW w:type="dxa" w:w="317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无法判断是否值得继续投入和优化</w:t>
            </w:r>
          </w:p>
        </w:tc>
        <w:tc>
          <w:tcPr>
            <w:tcW w:type="dxa" w:w="3912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上线指标看板、采纳率/失败率/成本监控、复盘机制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二、AI 产品全生命周期闭环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建议将 AI 产品项目统一拆成 7 个主阶段，并在上线后进入数据回流和下一版本优化。前 4 个阶段解决“做什么、为什么做、怎么做”的问题，后 3 个阶段解决“如何实现、如何验证、如何持续优化”的问题。</w:t>
      </w:r>
    </w:p>
    <w:p>
      <w:pPr>
        <w:spacing w:before="12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943600" cy="1849120"/>
            <wp:docPr id="1" name="Picture 1" title="图 1：AI 产品全生命周期闭环" descr="AI 产品从需求、方案、AI Spec、Agent、开发、测试、上线监控到下一版本的持续优化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ifecycle_flywhe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69" w:lineRule="auto"/>
        <w:jc w:val="center"/>
      </w:pPr>
      <w:r>
        <w:rPr>
          <w:rFonts w:ascii="Calibri" w:hAnsi="Calibri" w:eastAsia="Microsoft YaHei"/>
          <w:color w:val="5A6473"/>
          <w:sz w:val="18"/>
        </w:rPr>
        <w:t>图 1：AI 产品全生命周期闭环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567"/>
        <w:gridCol w:w="1871"/>
        <w:gridCol w:w="2268"/>
        <w:gridCol w:w="2438"/>
        <w:gridCol w:w="2211"/>
      </w:tblGrid>
      <w:tr>
        <w:trPr>
          <w:tblHeader w:val="true"/>
          <w:cantSplit/>
        </w:trPr>
        <w:tc>
          <w:tcPr>
            <w:tcW w:type="dxa" w:w="56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87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名称</w:t>
            </w:r>
          </w:p>
        </w:tc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核心目标</w:t>
            </w:r>
          </w:p>
        </w:tc>
        <w:tc>
          <w:tcPr>
            <w:tcW w:type="dxa" w:w="243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主要产出</w:t>
            </w:r>
          </w:p>
        </w:tc>
        <w:tc>
          <w:tcPr>
            <w:tcW w:type="dxa" w:w="221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1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需求分析与价值初判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判断需求是否真实、是否值得做、AI 是否能做、AI 是否适合做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需求分析文档、价值判断、AI 适配度结论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场景真实、价值明确、AI 有必要性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2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市场与竞品调研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明确外部解法、体验基准和差异化方向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竞品调研报告、可借鉴点、差异化机会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知道别人怎么做，也知道我们应该怎样做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3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产品方案设计与数据准备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把需求转化为可开发、可验证的产品方案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原型、PRD、AI_Spec、开发/测试/验证数据、Golden Standard、数据埋点方案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产品流程清楚，数据边界清楚，开发能理解并评估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4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Agent 设计与技术方案评审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确认 AI 能力如何实现，以及工程上是否可行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Agent Demo、Agent 设计文档、技术方案、接口文档、排期评估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方案可实现，风险可控，成本可接受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5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产品前后端开发 + Agent 开发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完成功能闭环和 AI 能力实现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可测试版本、接口实现、Agent/Prompt 配置、调用日志、灰度/开关配置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主流程跑通，AI 能力可调用，关键日志可追踪</w:t>
            </w:r>
          </w:p>
        </w:tc>
      </w:tr>
      <w:tr>
        <w:trPr>
          <w:cantSplit/>
        </w:trPr>
        <w:tc>
          <w:tcPr>
            <w:tcW w:type="dxa" w:w="56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6</w:t>
            </w:r>
          </w:p>
        </w:tc>
        <w:tc>
          <w:tcPr>
            <w:tcW w:type="dxa" w:w="187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功能测试及数据验证</w:t>
            </w:r>
          </w:p>
        </w:tc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验证功能可用、AI 输出可信、数据安全</w:t>
            </w:r>
          </w:p>
        </w:tc>
        <w:tc>
          <w:tcPr>
            <w:tcW w:type="dxa" w:w="243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测试报告、数据验证记录、AI 评测表、人工评测报告、问题清单、优化建议、上线建议</w:t>
            </w:r>
          </w:p>
        </w:tc>
        <w:tc>
          <w:tcPr>
            <w:tcW w:type="dxa" w:w="221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功能稳定，AI 输出达标，无高风险问题</w:t>
            </w:r>
          </w:p>
        </w:tc>
      </w:tr>
      <w:tr>
        <w:trPr>
          <w:cantSplit/>
        </w:trPr>
        <w:tc>
          <w:tcPr>
            <w:tcW w:type="dxa" w:w="56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7</w:t>
            </w:r>
          </w:p>
        </w:tc>
        <w:tc>
          <w:tcPr>
            <w:tcW w:type="dxa" w:w="187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上线、监控与复盘</w:t>
            </w:r>
          </w:p>
        </w:tc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观察真实使用效果，并沉淀经验</w:t>
            </w:r>
          </w:p>
        </w:tc>
        <w:tc>
          <w:tcPr>
            <w:tcW w:type="dxa" w:w="243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上线记录、指标看板、用户反馈、复盘报告、Prompt/Agent 优化记录</w:t>
            </w:r>
          </w:p>
        </w:tc>
        <w:tc>
          <w:tcPr>
            <w:tcW w:type="dxa" w:w="221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5"/>
              </w:rPr>
              <w:t>有数据可看，有问题可追，有经验可复用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三、AI Spec 标准模板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AI_Spec 是 PRD 的配套文档，用于定义 AI 能力边界、输入输出、上下文、模型、工具、约束和评测方式。它让产品、Agent、开发、测试对同一件事形成可执行共识。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需要说明的内容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需要完成什么任务，服务什么用户场景，输出对业务有什么价值。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输入 Input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用户输入、业务上下文、历史数据、工具返回、上下文裁剪规则。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 Output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输出格式、JSON Schema、字段定义、异常输出、用户确认/编辑/撤销机制。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 Model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模型选择、调用方式、备用模型、模型升级策略、成本和延迟预估。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Prompt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System Prompt、User Prompt、Few-shot 示例、Prompt 版本记录。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Tool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Function Calling、MCP、知识库、业务接口、工具权限和失败处理。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约束 Guardrail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禁止输出、权限控制、Token 限制、敏感数据处理、人工确认边界。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评测 Evaluation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Golden Standard、准确性、完整性、稳定性、Latency、Cost、通过标准。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四、Golden Standard 建设标准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Golden Standard 是 AI 项目的核心资产，用于回答“AI 输出到底好不好”。它不是测试阶段临时造几条样例，而是在方案阶段就开始建设，并在每次 Prompt 修改、模型升级或 Agent 流程调整后重新评测。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984"/>
        <w:gridCol w:w="7370"/>
      </w:tblGrid>
      <w:tr>
        <w:trPr>
          <w:tblHeader w:val="true"/>
          <w:cantSplit/>
        </w:trPr>
        <w:tc>
          <w:tcPr>
            <w:tcW w:type="dxa" w:w="198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组成</w:t>
            </w:r>
          </w:p>
        </w:tc>
        <w:tc>
          <w:tcPr>
            <w:tcW w:type="dxa" w:w="737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建议标准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真实 Case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优先来自真实用户场景，早期可从 30-50 条起步，成熟能力逐步沉淀到 100-500 条。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标准答案</w:t>
            </w:r>
          </w:p>
        </w:tc>
        <w:tc>
          <w:tcPr>
            <w:tcW w:type="dxa" w:w="737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为每个 Case 标注理想输出、关键事实、禁止出现的错误和可接受变体。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评分规则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至少包含准确性、完整性、稳定性、业务可接受度、幻觉/越权风险。</w:t>
            </w:r>
          </w:p>
        </w:tc>
      </w:tr>
      <w:tr>
        <w:trPr>
          <w:cantSplit/>
        </w:trPr>
        <w:tc>
          <w:tcPr>
            <w:tcW w:type="dxa" w:w="198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人工标注</w:t>
            </w:r>
          </w:p>
        </w:tc>
        <w:tc>
          <w:tcPr>
            <w:tcW w:type="dxa" w:w="737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由产品、业务方、测试共同参与，避免只从技术视角判断。</w:t>
            </w:r>
          </w:p>
        </w:tc>
      </w:tr>
      <w:tr>
        <w:trPr>
          <w:cantSplit/>
        </w:trPr>
        <w:tc>
          <w:tcPr>
            <w:tcW w:type="dxa" w:w="198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触发时机</w:t>
            </w:r>
          </w:p>
        </w:tc>
        <w:tc>
          <w:tcPr>
            <w:tcW w:type="dxa" w:w="737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上线前、每次 Prompt 修改、每次模型升级、每次工具或上下文逻辑调整后都重新跑评测。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五、角色分工建议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14"/>
        <w:gridCol w:w="7540"/>
      </w:tblGrid>
      <w:tr>
        <w:trPr>
          <w:tblHeader w:val="true"/>
          <w:cantSplit/>
        </w:trPr>
        <w:tc>
          <w:tcPr>
            <w:tcW w:type="dxa" w:w="181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角色</w:t>
            </w:r>
          </w:p>
        </w:tc>
        <w:tc>
          <w:tcPr>
            <w:tcW w:type="dxa" w:w="75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主要职责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项目经理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负责项目总体进度、成本、质量管理，协调资源、拉齐团队认知。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产品经理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负责需求判断、竞品调研、产品方案、PRD、AI_Spec、Agent Demo 设计、验收标准、Agent 评测方案。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前端开发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 AI 能力入口、交互状态、结果展示、用户确认、编辑、重试和异常反馈体验。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后端开发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负责接口、数据读取与写入、权限校验、业务规则、日志、灰度、开关和回滚能力。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Agent 开发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 Agent 工作流、Context 管理、Memory、Long Context、Tool Routing、Fallback、Prompt、模型选择、输出 Schema、评测优化和版本管理。</w:t>
            </w:r>
          </w:p>
        </w:tc>
      </w:tr>
      <w:tr>
        <w:trPr>
          <w:cantSplit/>
        </w:trPr>
        <w:tc>
          <w:tcPr>
            <w:tcW w:type="dxa" w:w="1814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</w:t>
            </w:r>
          </w:p>
        </w:tc>
        <w:tc>
          <w:tcPr>
            <w:tcW w:type="dxa" w:w="7540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负责功能测试、权限测试、异常测试、AI 样例评测、数据验证和上线质量判断。</w:t>
            </w:r>
          </w:p>
        </w:tc>
      </w:tr>
      <w:tr>
        <w:trPr>
          <w:cantSplit/>
        </w:trPr>
        <w:tc>
          <w:tcPr>
            <w:tcW w:type="dxa" w:w="1814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运营/业务方</w:t>
            </w:r>
          </w:p>
        </w:tc>
        <w:tc>
          <w:tcPr>
            <w:tcW w:type="dxa" w:w="7540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负责真实场景反馈、试点用户组织、效果观察、案例沉淀和后续推广建议。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六、关键交付物建议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1361"/>
        <w:gridCol w:w="5726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交付物</w:t>
            </w:r>
          </w:p>
        </w:tc>
        <w:tc>
          <w:tcPr>
            <w:tcW w:type="dxa" w:w="136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所属阶段</w:t>
            </w:r>
          </w:p>
        </w:tc>
        <w:tc>
          <w:tcPr>
            <w:tcW w:type="dxa" w:w="572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需求分析文档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1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说明为什么做、为谁做、解决什么问题，以及是否适合用 AI。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竞品调研报告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2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提供外部参考、体验基准和差异化依据。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PRD / 原型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定义产品流程、页面交互、业务规则和用户操作闭环。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Golden Standard / 评测集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作为标准用于评估 AI 输出质量，支撑上线前和迭代后的效果判断。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AI_Spec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3-4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 AI 能力边界、输入输出、上下文、Agent 行为和评测标准。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 设计文档 / 技术方案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4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 Agent 工作流、模型、工具、接口、权限、日志、成本和回滚。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埋点与监控方案</w:t>
            </w:r>
          </w:p>
        </w:tc>
        <w:tc>
          <w:tcPr>
            <w:tcW w:type="dxa" w:w="136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3/7</w:t>
            </w:r>
          </w:p>
        </w:tc>
        <w:tc>
          <w:tcPr>
            <w:tcW w:type="dxa" w:w="5726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定义上线后要看的调用率、采纳率、失败率、成本、延迟等指标。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测试与复盘报告</w:t>
            </w:r>
          </w:p>
        </w:tc>
        <w:tc>
          <w:tcPr>
            <w:tcW w:type="dxa" w:w="136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阶段 6-7</w:t>
            </w:r>
          </w:p>
        </w:tc>
        <w:tc>
          <w:tcPr>
            <w:tcW w:type="dxa" w:w="5726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验证上线质量，并沉淀后续优化经验。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七、AI 项目风险治理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701"/>
        <w:gridCol w:w="3118"/>
        <w:gridCol w:w="4535"/>
      </w:tblGrid>
      <w:tr>
        <w:trPr>
          <w:tblHeader w:val="true"/>
          <w:cantSplit/>
        </w:trP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311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典型表现</w:t>
            </w:r>
          </w:p>
        </w:tc>
        <w:tc>
          <w:tcPr>
            <w:tcW w:type="dxa" w:w="4535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应对机制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失效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同类输入输出不稳定，修改一处影响其他场景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Prompt 版本管理、Golden Standard 回归评测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模型升级效果下降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模型替换后准确率、风格或工具调用行为变化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A/B 评测、灰度切换、回滚策略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Token 成本上涨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调用量上升或上下文过长导致成本不可控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成本监控、上下文裁剪、缓存和分层模型策略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幻觉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输出不存在的事实、任务或结论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引用依据、结构化输出、Golden Standard、人工确认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延迟过高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用户等待时间长，影响转化和采纳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Streaming、异步任务、缓存、模型分层</w:t>
            </w:r>
          </w:p>
        </w:tc>
      </w:tr>
      <w:tr>
        <w:trPr>
          <w:cantSplit/>
        </w:trPr>
        <w:tc>
          <w:tcPr>
            <w:tcW w:type="dxa" w:w="170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工具调用失败</w:t>
            </w:r>
          </w:p>
        </w:tc>
        <w:tc>
          <w:tcPr>
            <w:tcW w:type="dxa" w:w="311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Agent 调接口失败、参数错误或重复执行</w:t>
            </w:r>
          </w:p>
        </w:tc>
        <w:tc>
          <w:tcPr>
            <w:tcW w:type="dxa" w:w="4535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Retry、幂等设计、Fallback、错误日志和告警</w:t>
            </w:r>
          </w:p>
        </w:tc>
      </w:tr>
      <w:tr>
        <w:trPr>
          <w:cantSplit/>
        </w:trPr>
        <w:tc>
          <w:tcPr>
            <w:tcW w:type="dxa" w:w="170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越权或数据泄露</w:t>
            </w:r>
          </w:p>
        </w:tc>
        <w:tc>
          <w:tcPr>
            <w:tcW w:type="dxa" w:w="311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读取了用户无权访问的数据或暴露敏感信息</w:t>
            </w:r>
          </w:p>
        </w:tc>
        <w:tc>
          <w:tcPr>
            <w:tcW w:type="dxa" w:w="4535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服务端权限校验、数据脱敏、审计日志</w:t>
            </w:r>
          </w:p>
        </w:tc>
      </w:tr>
    </w:tbl>
    <w:p>
      <w:pPr>
        <w:spacing w:before="0" w:after="40" w:line="269" w:lineRule="auto"/>
      </w:pP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八、上线监控指标</w:t>
      </w:r>
    </w:p>
    <w:p>
      <w:pPr>
        <w:spacing w:before="0" w:after="120" w:line="269" w:lineRule="auto"/>
      </w:pPr>
      <w:r>
        <w:rPr>
          <w:rFonts w:ascii="Calibri" w:hAnsi="Calibri" w:eastAsia="Microsoft YaHei"/>
          <w:b w:val="0"/>
          <w:i w:val="0"/>
          <w:sz w:val="22"/>
        </w:rPr>
        <w:t>AI 产品上线后要持续看“有没有人用、结果能不能用、成本是否可控、哪里需要优化”。建议在灰度阶段就建立效果看板。</w:t>
      </w:r>
    </w:p>
    <w:tbl>
      <w:tblPr>
        <w:tblW w:type="dxa" w:w="9355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268"/>
        <w:gridCol w:w="7087"/>
      </w:tblGrid>
      <w:tr>
        <w:trPr>
          <w:tblHeader w:val="true"/>
          <w:cantSplit/>
        </w:trPr>
        <w:tc>
          <w:tcPr>
            <w:tcW w:type="dxa" w:w="226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7087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调用率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目标用户中有多少人实际触发 AI 能力。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采纳率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输出被直接采纳或部分采纳的比例。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一次成功率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用户一次调用后即可完成目标任务的比例。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Retry 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用户重复生成或重新调用的比例，用于判断输出稳定性。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用户编辑率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用户对 AI 输出进行修改的比例，用于判断可用性和可信度。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失败率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模型调用、工具调用、解析、权限等失败比例。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人工介入率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需要人工确认、修正或兜底的比例。</w:t>
            </w:r>
          </w:p>
        </w:tc>
      </w:tr>
      <w:tr>
        <w:trPr>
          <w:cantSplit/>
        </w:trPr>
        <w:tc>
          <w:tcPr>
            <w:tcW w:type="dxa" w:w="2268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Latency</w:t>
            </w:r>
          </w:p>
        </w:tc>
        <w:tc>
          <w:tcPr>
            <w:tcW w:type="dxa" w:w="7087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端到端响应耗时，尤其关注 P50 / P90 / P95。</w:t>
            </w:r>
          </w:p>
        </w:tc>
      </w:tr>
      <w:tr>
        <w:trPr>
          <w:cantSplit/>
        </w:trPr>
        <w:tc>
          <w:tcPr>
            <w:tcW w:type="dxa" w:w="2268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Token 成本</w:t>
            </w:r>
          </w:p>
        </w:tc>
        <w:tc>
          <w:tcPr>
            <w:tcW w:type="dxa" w:w="7087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单次调用成本、总成本、按用户/功能/模型拆分的成本。</w:t>
            </w:r>
          </w:p>
        </w:tc>
      </w:tr>
    </w:tbl>
    <w:p>
      <w:pPr>
        <w:spacing w:before="0" w:after="40" w:line="269" w:lineRule="auto"/>
      </w:pPr>
    </w:p>
    <w:p>
      <w:r>
        <w:br w:type="page"/>
      </w:r>
    </w:p>
    <w:p>
      <w:pPr>
        <w:pStyle w:val="Heading1"/>
        <w:spacing w:before="360" w:after="160" w:line="269" w:lineRule="auto"/>
      </w:pPr>
      <w:r>
        <w:rPr>
          <w:rFonts w:ascii="Calibri" w:hAnsi="Calibri" w:eastAsia="Microsoft YaHei"/>
          <w:b/>
          <w:color w:val="2E74B5"/>
          <w:sz w:val="32"/>
        </w:rPr>
        <w:t>九、关键原则建议</w:t>
      </w:r>
    </w:p>
    <w:tbl>
      <w:tblPr>
        <w:tblW w:type="dxa" w:w="9354"/>
        <w:tblLayout w:type="fixed"/>
        <w:tblLook w:firstColumn="1" w:firstRow="1" w:lastColumn="0" w:lastRow="0" w:noHBand="0" w:noVBand="1" w:val="04A0"/>
        <w:jc w:val="center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81"/>
        <w:gridCol w:w="6973"/>
      </w:tblGrid>
      <w:tr>
        <w:trPr>
          <w:tblHeader w:val="true"/>
          <w:cantSplit/>
        </w:trPr>
        <w:tc>
          <w:tcPr>
            <w:tcW w:type="dxa" w:w="238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原则</w:t>
            </w:r>
          </w:p>
        </w:tc>
        <w:tc>
          <w:tcPr>
            <w:tcW w:type="dxa" w:w="6973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先判断价值，再进入方案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项目不要因为“能做”就做，而要先证明场景真实、价值明确、失败可控。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数据准备前置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在产品方案阶段就明确数据来源、结构、权限和测试样例，避免开发后期才发现数据不可用。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Spec 先于开发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在进入开发前先定义输入、输出、上下文、工具、约束和评测标准。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Context 比 Prompt 更关键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复杂 AI 项目中，效果往往取决于上下文管理、工具路由和数据质量，而不只是 Prompt 文案。</w:t>
            </w:r>
          </w:p>
        </w:tc>
      </w:tr>
      <w:tr>
        <w:trPr>
          <w:cantSplit/>
        </w:trPr>
        <w:tc>
          <w:tcPr>
            <w:tcW w:type="dxa" w:w="2381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测试覆盖 AI 输出质量</w:t>
            </w:r>
          </w:p>
        </w:tc>
        <w:tc>
          <w:tcPr>
            <w:tcW w:type="dxa" w:w="6973"/>
            <w:shd w:fill="FBFCF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AI 产品不仅要测功能，还要测准确性、完整性、稳定性、幻觉、越权和业务可接受度。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上线后持续复盘</w:t>
            </w:r>
          </w:p>
        </w:tc>
        <w:tc>
          <w:tcPr>
            <w:tcW w:type="dxa" w:w="6973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74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通过真实数据观察使用率、采纳率、失败率和成本，把每个项目变成下一次项目的资产。</w:t>
            </w:r>
          </w:p>
        </w:tc>
      </w:tr>
    </w:tbl>
    <w:p>
      <w:pPr>
        <w:spacing w:before="0" w:after="40" w:line="269" w:lineRule="auto"/>
      </w:pP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473"/>
        <w:sz w:val="18"/>
      </w:rPr>
      <w:t>AI 产品项目协作参考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A6473"/>
        <w:sz w:val="18"/>
      </w:rPr>
      <w:t>AI 产品项目复盘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