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9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>项目复盘与协作规范</w:t>
      </w:r>
    </w:p>
    <w:p>
      <w:pPr>
        <w:spacing w:before="0" w:after="80" w:line="269" w:lineRule="auto"/>
      </w:pPr>
      <w:r>
        <w:rPr>
          <w:rFonts w:ascii="Calibri" w:hAnsi="Calibri" w:eastAsia="Microsoft YaHei"/>
          <w:b/>
          <w:i w:val="0"/>
          <w:color w:val="0B2545"/>
          <w:sz w:val="46"/>
        </w:rPr>
        <w:t>AI 产品项目复盘与全生命周期研发 SOP</w:t>
      </w:r>
    </w:p>
    <w:p>
      <w:pPr>
        <w:spacing w:before="0" w:after="240" w:line="269" w:lineRule="auto"/>
        <w:pBdr>
          <w:bottom w:val="single" w:sz="8" w:space="1" w:color="D7DBE2"/>
        </w:pBdr>
      </w:pPr>
      <w:r>
        <w:rPr>
          <w:rFonts w:ascii="Calibri" w:hAnsi="Calibri" w:eastAsia="Microsoft YaHei"/>
          <w:b w:val="0"/>
          <w:i w:val="0"/>
          <w:color w:val="5A6473"/>
          <w:sz w:val="25"/>
        </w:rPr>
        <w:t>基于多个 AI 产品项目的实践经验沉淀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1"/>
        <w:gridCol w:w="7654"/>
      </w:tblGrid>
      <w:tr>
        <w:trPr>
          <w:tblHeader w:val="true"/>
          <w:cantSplit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6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文档版本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v0.2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适用场景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 工作流、Agent 应用与文档自动化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涉及角色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产品经理、前端开发、后端开发、Agent/算法开发、测试、运营及项目协作方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定位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既是项目复盘，也是后续 AI 产品项目的协作 SOP 与方法论草案。</w:t>
            </w:r>
          </w:p>
        </w:tc>
      </w:tr>
    </w:tbl>
    <w:p>
      <w:pPr>
        <w:spacing w:before="0" w:after="40" w:line="269" w:lineRule="auto"/>
      </w:pP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CAD6E2"/>
          <w:left w:val="single" w:sz="6" w:space="0" w:color="CAD6E2"/>
          <w:bottom w:val="single" w:sz="6" w:space="0" w:color="CAD6E2"/>
          <w:right w:val="single" w:sz="6" w:space="0" w:color="CAD6E2"/>
          <w:insideH w:val="single" w:sz="6" w:space="0" w:color="CAD6E2"/>
          <w:insideV w:val="single" w:sz="6" w:space="0" w:color="CAD6E2"/>
        </w:tblBorders>
      </w:tblPr>
      <w:tblGrid>
        <w:gridCol w:w="9354"/>
      </w:tblGrid>
      <w:tr>
        <w:tc>
          <w:tcPr>
            <w:tcW w:type="dxa" w:w="9354"/>
            <w:shd w:fill="F4F7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核心共识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21"/>
              </w:rPr>
              <w:t>AI 产品项目不是普通功能开发外接一个模型接口，而是同时管理产品体验、数据上下文、Agent 行为、工程稳定性和效果评测的协作过程。AI 产品本质是持续优化系统，而不是一次性交付。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60" w:after="160" w:line="269" w:lineRule="auto"/>
      </w:pPr>
      <w:r>
        <w:rPr>
          <w:rFonts w:ascii="Calibri" w:hAnsi="Calibri" w:eastAsia="Microsoft YaHei"/>
          <w:b/>
          <w:color w:val="2E74B5"/>
          <w:sz w:val="32"/>
        </w:rPr>
        <w:t>一、为什么要沉淀这套 AI SOP</w:t>
      </w:r>
    </w:p>
    <w:p>
      <w:pPr>
        <w:spacing w:before="0" w:after="160" w:line="269" w:lineRule="auto"/>
      </w:pPr>
      <w:r>
        <w:rPr>
          <w:rFonts w:ascii="Calibri" w:hAnsi="Calibri" w:eastAsia="Microsoft YaHei"/>
          <w:b w:val="0"/>
          <w:i w:val="0"/>
          <w:sz w:val="22"/>
        </w:rPr>
        <w:t>在多个 AI 项目的实践中，项目类型虽然不同，但推进过程会暴露出一些共性问题。沉淀 SOP 的目的，不是增加流程负担，而是把已经踩过的坑变成团队后续协作的默认动作。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68"/>
        <w:gridCol w:w="3175"/>
        <w:gridCol w:w="3912"/>
      </w:tblGrid>
      <w:tr>
        <w:trPr>
          <w:tblHeader w:val="true"/>
          <w:cantSplit/>
        </w:trPr>
        <w:tc>
          <w:tcPr>
            <w:tcW w:type="dxa" w:w="22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共性问题</w:t>
            </w:r>
          </w:p>
        </w:tc>
        <w:tc>
          <w:tcPr>
            <w:tcW w:type="dxa" w:w="317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对项目的影响</w:t>
            </w:r>
          </w:p>
        </w:tc>
        <w:tc>
          <w:tcPr>
            <w:tcW w:type="dxa" w:w="39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SOP 中的对应机制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产品方案确定后才发现数据拿不到或数据质量不稳定</w:t>
            </w:r>
          </w:p>
        </w:tc>
        <w:tc>
          <w:tcPr>
            <w:tcW w:type="dxa" w:w="3175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方案返工，Agent 效果难以达到预期</w:t>
            </w:r>
          </w:p>
        </w:tc>
        <w:tc>
          <w:tcPr>
            <w:tcW w:type="dxa" w:w="3912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数据准备前置、AI Spec 明确上下文和数据边界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Prompt 到开发阶段频繁调整</w:t>
            </w:r>
          </w:p>
        </w:tc>
        <w:tc>
          <w:tcPr>
            <w:tcW w:type="dxa" w:w="3175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产品、Agent、开发之间反复拉齐，成本高</w:t>
            </w:r>
          </w:p>
        </w:tc>
        <w:tc>
          <w:tcPr>
            <w:tcW w:type="dxa" w:w="391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Prompt / Agent 版本管理，先用 Demo 和 Golden Standard 评估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AI 输出没有统一评测标准</w:t>
            </w:r>
          </w:p>
        </w:tc>
        <w:tc>
          <w:tcPr>
            <w:tcW w:type="dxa" w:w="3175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上线判断依赖主观感受，难以复盘</w:t>
            </w:r>
          </w:p>
        </w:tc>
        <w:tc>
          <w:tcPr>
            <w:tcW w:type="dxa" w:w="3912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建立 Golden Standard、人工评测表和通过标准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测试阶段只测功能，没有测 AI 效果</w:t>
            </w:r>
          </w:p>
        </w:tc>
        <w:tc>
          <w:tcPr>
            <w:tcW w:type="dxa" w:w="3175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功能可用但结果不可用，用户信任度不足</w:t>
            </w:r>
          </w:p>
        </w:tc>
        <w:tc>
          <w:tcPr>
            <w:tcW w:type="dxa" w:w="391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功能测试 + AI 输出质量评测 + 数据验证并行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上线以后缺少效果监控</w:t>
            </w:r>
          </w:p>
        </w:tc>
        <w:tc>
          <w:tcPr>
            <w:tcW w:type="dxa" w:w="3175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无法判断是否值得继续投入和优化</w:t>
            </w:r>
          </w:p>
        </w:tc>
        <w:tc>
          <w:tcPr>
            <w:tcW w:type="dxa" w:w="3912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上线指标看板、采纳率/失败率/成本监控、复盘机制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60" w:after="160" w:line="269" w:lineRule="auto"/>
      </w:pPr>
      <w:r>
        <w:rPr>
          <w:rFonts w:ascii="Calibri" w:hAnsi="Calibri" w:eastAsia="Microsoft YaHei"/>
          <w:b/>
          <w:color w:val="2E74B5"/>
          <w:sz w:val="32"/>
        </w:rPr>
        <w:t>二、AI 产品全生命周期闭环</w:t>
      </w:r>
    </w:p>
    <w:p>
      <w:pPr>
        <w:spacing w:before="0" w:after="120" w:line="269" w:lineRule="auto"/>
      </w:pPr>
      <w:r>
        <w:rPr>
          <w:rFonts w:ascii="Calibri" w:hAnsi="Calibri" w:eastAsia="Microsoft YaHei"/>
          <w:b w:val="0"/>
          <w:i w:val="0"/>
          <w:sz w:val="22"/>
        </w:rPr>
        <w:t>建议将 AI 产品项目统一拆成 7 个主阶段，并在上线后进入数据回流和下一版本优化。前 4 个阶段解决“做什么、为什么做、怎么做”的问题，后 3 个阶段解决“如何实现、如何验证、如何持续优化”的问题。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1849120"/>
            <wp:docPr id="1" name="Picture 1" title="图 1：AI 产品全生命周期闭环" descr="AI 产品从需求、方案、AI Spec、Agent、开发、测试、上线监控到下一版本的持续优化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ifecycle_flywhe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9" w:lineRule="auto"/>
        <w:jc w:val="center"/>
      </w:pPr>
      <w:r>
        <w:rPr>
          <w:rFonts w:ascii="Calibri" w:hAnsi="Calibri" w:eastAsia="Microsoft YaHei"/>
          <w:color w:val="5A6473"/>
          <w:sz w:val="18"/>
        </w:rPr>
        <w:t>图 1：AI 产品全生命周期闭环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67"/>
        <w:gridCol w:w="1871"/>
        <w:gridCol w:w="2268"/>
        <w:gridCol w:w="2438"/>
        <w:gridCol w:w="2211"/>
      </w:tblGrid>
      <w:tr>
        <w:trPr>
          <w:tblHeader w:val="true"/>
          <w:cantSplit/>
        </w:trPr>
        <w:tc>
          <w:tcPr>
            <w:tcW w:type="dxa" w:w="56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187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名称</w:t>
            </w:r>
          </w:p>
        </w:tc>
        <w:tc>
          <w:tcPr>
            <w:tcW w:type="dxa" w:w="22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核心目标</w:t>
            </w:r>
          </w:p>
        </w:tc>
        <w:tc>
          <w:tcPr>
            <w:tcW w:type="dxa" w:w="243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主要产出</w:t>
            </w:r>
          </w:p>
        </w:tc>
        <w:tc>
          <w:tcPr>
            <w:tcW w:type="dxa" w:w="221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56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</w:t>
            </w:r>
          </w:p>
        </w:tc>
        <w:tc>
          <w:tcPr>
            <w:tcW w:type="dxa" w:w="187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需求分析与价值初判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判断需求是否真实、是否值得做、AI 是否能做、AI 是否适合做</w:t>
            </w:r>
          </w:p>
        </w:tc>
        <w:tc>
          <w:tcPr>
            <w:tcW w:type="dxa" w:w="243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需求分析文档、价值判断、AI 适配度结论</w:t>
            </w:r>
          </w:p>
        </w:tc>
        <w:tc>
          <w:tcPr>
            <w:tcW w:type="dxa" w:w="221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场景真实、价值明确、AI 有必要性</w:t>
            </w:r>
          </w:p>
        </w:tc>
      </w:tr>
      <w:tr>
        <w:trPr>
          <w:cantSplit/>
        </w:trPr>
        <w:tc>
          <w:tcPr>
            <w:tcW w:type="dxa" w:w="56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</w:t>
            </w:r>
          </w:p>
        </w:tc>
        <w:tc>
          <w:tcPr>
            <w:tcW w:type="dxa" w:w="187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市场与竞品调研</w:t>
            </w:r>
          </w:p>
        </w:tc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明确外部解法、体验基准和差异化方向</w:t>
            </w:r>
          </w:p>
        </w:tc>
        <w:tc>
          <w:tcPr>
            <w:tcW w:type="dxa" w:w="243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竞品调研报告、可借鉴点、差异化机会</w:t>
            </w:r>
          </w:p>
        </w:tc>
        <w:tc>
          <w:tcPr>
            <w:tcW w:type="dxa" w:w="221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知道别人怎么做，也知道我们应该怎样做</w:t>
            </w:r>
          </w:p>
        </w:tc>
      </w:tr>
      <w:tr>
        <w:trPr>
          <w:cantSplit/>
        </w:trPr>
        <w:tc>
          <w:tcPr>
            <w:tcW w:type="dxa" w:w="56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3</w:t>
            </w:r>
          </w:p>
        </w:tc>
        <w:tc>
          <w:tcPr>
            <w:tcW w:type="dxa" w:w="187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产品方案设计与数据准备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把需求转化为可开发、可验证的产品方案</w:t>
            </w:r>
          </w:p>
        </w:tc>
        <w:tc>
          <w:tcPr>
            <w:tcW w:type="dxa" w:w="243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原型、PRD、AI_Spec、开发/测试/验证数据、Golden Standard、数据埋点方案</w:t>
            </w:r>
          </w:p>
        </w:tc>
        <w:tc>
          <w:tcPr>
            <w:tcW w:type="dxa" w:w="221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产品流程清楚，数据边界清楚，开发能理解并评估</w:t>
            </w:r>
          </w:p>
        </w:tc>
      </w:tr>
      <w:tr>
        <w:trPr>
          <w:cantSplit/>
        </w:trPr>
        <w:tc>
          <w:tcPr>
            <w:tcW w:type="dxa" w:w="56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4</w:t>
            </w:r>
          </w:p>
        </w:tc>
        <w:tc>
          <w:tcPr>
            <w:tcW w:type="dxa" w:w="187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Agent 设计与技术方案评审</w:t>
            </w:r>
          </w:p>
        </w:tc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确认 AI 能力如何实现，以及工程上是否可行</w:t>
            </w:r>
          </w:p>
        </w:tc>
        <w:tc>
          <w:tcPr>
            <w:tcW w:type="dxa" w:w="243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Agent Demo、Agent 设计文档、技术方案、接口文档、排期评估</w:t>
            </w:r>
          </w:p>
        </w:tc>
        <w:tc>
          <w:tcPr>
            <w:tcW w:type="dxa" w:w="221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方案可实现，风险可控，成本可接受</w:t>
            </w:r>
          </w:p>
        </w:tc>
      </w:tr>
      <w:tr>
        <w:trPr>
          <w:cantSplit/>
        </w:trPr>
        <w:tc>
          <w:tcPr>
            <w:tcW w:type="dxa" w:w="56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5</w:t>
            </w:r>
          </w:p>
        </w:tc>
        <w:tc>
          <w:tcPr>
            <w:tcW w:type="dxa" w:w="187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产品前后端开发 + Agent 开发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完成功能闭环和 AI 能力实现</w:t>
            </w:r>
          </w:p>
        </w:tc>
        <w:tc>
          <w:tcPr>
            <w:tcW w:type="dxa" w:w="243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可测试版本、接口实现、Agent/Prompt 配置、调用日志、灰度/开关配置</w:t>
            </w:r>
          </w:p>
        </w:tc>
        <w:tc>
          <w:tcPr>
            <w:tcW w:type="dxa" w:w="221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主流程跑通，AI 能力可调用，关键日志可追踪</w:t>
            </w:r>
          </w:p>
        </w:tc>
      </w:tr>
      <w:tr>
        <w:trPr>
          <w:cantSplit/>
        </w:trPr>
        <w:tc>
          <w:tcPr>
            <w:tcW w:type="dxa" w:w="56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6</w:t>
            </w:r>
          </w:p>
        </w:tc>
        <w:tc>
          <w:tcPr>
            <w:tcW w:type="dxa" w:w="187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功能测试及数据验证</w:t>
            </w:r>
          </w:p>
        </w:tc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验证功能可用、AI 输出可信、数据安全</w:t>
            </w:r>
          </w:p>
        </w:tc>
        <w:tc>
          <w:tcPr>
            <w:tcW w:type="dxa" w:w="243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测试报告、数据验证记录、AI 评测表、人工评测报告、问题清单、优化建议、上线建议</w:t>
            </w:r>
          </w:p>
        </w:tc>
        <w:tc>
          <w:tcPr>
            <w:tcW w:type="dxa" w:w="221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功能稳定，AI 输出达标，无高风险问题</w:t>
            </w:r>
          </w:p>
        </w:tc>
      </w:tr>
      <w:tr>
        <w:trPr>
          <w:cantSplit/>
        </w:trPr>
        <w:tc>
          <w:tcPr>
            <w:tcW w:type="dxa" w:w="56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7</w:t>
            </w:r>
          </w:p>
        </w:tc>
        <w:tc>
          <w:tcPr>
            <w:tcW w:type="dxa" w:w="187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上线、监控与复盘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观察真实使用效果，并沉淀经验</w:t>
            </w:r>
          </w:p>
        </w:tc>
        <w:tc>
          <w:tcPr>
            <w:tcW w:type="dxa" w:w="243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上线记录、指标看板、用户反馈、复盘报告、Prompt/Agent 优化记录</w:t>
            </w:r>
          </w:p>
        </w:tc>
        <w:tc>
          <w:tcPr>
            <w:tcW w:type="dxa" w:w="221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有数据可看，有问题可追，有经验可复用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60" w:after="160" w:line="269" w:lineRule="auto"/>
      </w:pPr>
      <w:r>
        <w:rPr>
          <w:rFonts w:ascii="Calibri" w:hAnsi="Calibri" w:eastAsia="Microsoft YaHei"/>
          <w:b/>
          <w:color w:val="2E74B5"/>
          <w:sz w:val="32"/>
        </w:rPr>
        <w:t>三、AI Spec 标准模板</w:t>
      </w:r>
    </w:p>
    <w:p>
      <w:pPr>
        <w:spacing w:before="0" w:after="120" w:line="269" w:lineRule="auto"/>
      </w:pPr>
      <w:r>
        <w:rPr>
          <w:rFonts w:ascii="Calibri" w:hAnsi="Calibri" w:eastAsia="Microsoft YaHei"/>
          <w:b w:val="0"/>
          <w:i w:val="0"/>
          <w:sz w:val="22"/>
        </w:rPr>
        <w:t>AI_Spec 是 PRD 的配套文档，用于定义 AI 能力边界、输入输出、上下文、模型、工具、约束和评测方式。它让产品、Agent、开发、测试对同一件事形成可执行共识。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68"/>
        <w:gridCol w:w="7087"/>
      </w:tblGrid>
      <w:tr>
        <w:trPr>
          <w:tblHeader w:val="true"/>
          <w:cantSplit/>
        </w:trPr>
        <w:tc>
          <w:tcPr>
            <w:tcW w:type="dxa" w:w="22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708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需要说明的内容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目标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需要完成什么任务，服务什么用户场景，输出对业务有什么价值。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输入 Input</w:t>
            </w:r>
          </w:p>
        </w:tc>
        <w:tc>
          <w:tcPr>
            <w:tcW w:type="dxa" w:w="708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用户输入、业务上下文、历史数据、工具返回、上下文裁剪规则。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输出 Output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输出格式、JSON Schema、字段定义、异常输出、用户确认/编辑/撤销机制。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模型 Model</w:t>
            </w:r>
          </w:p>
        </w:tc>
        <w:tc>
          <w:tcPr>
            <w:tcW w:type="dxa" w:w="708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模型选择、调用方式、备用模型、模型升级策略、成本和延迟预估。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Prompt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System Prompt、User Prompt、Few-shot 示例、Prompt 版本记录。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Tool</w:t>
            </w:r>
          </w:p>
        </w:tc>
        <w:tc>
          <w:tcPr>
            <w:tcW w:type="dxa" w:w="708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Function Calling、MCP、知识库、业务接口、工具权限和失败处理。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约束 Guardrail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禁止输出、权限控制、Token 限制、敏感数据处理、人工确认边界。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评测 Evaluation</w:t>
            </w:r>
          </w:p>
        </w:tc>
        <w:tc>
          <w:tcPr>
            <w:tcW w:type="dxa" w:w="708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Golden Standard、准确性、完整性、稳定性、Latency、Cost、通过标准。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60" w:after="160" w:line="269" w:lineRule="auto"/>
      </w:pPr>
      <w:r>
        <w:rPr>
          <w:rFonts w:ascii="Calibri" w:hAnsi="Calibri" w:eastAsia="Microsoft YaHei"/>
          <w:b/>
          <w:color w:val="2E74B5"/>
          <w:sz w:val="32"/>
        </w:rPr>
        <w:t>四、Golden Standard 建设标准</w:t>
      </w:r>
    </w:p>
    <w:p>
      <w:pPr>
        <w:spacing w:before="0" w:after="120" w:line="269" w:lineRule="auto"/>
      </w:pPr>
      <w:r>
        <w:rPr>
          <w:rFonts w:ascii="Calibri" w:hAnsi="Calibri" w:eastAsia="Microsoft YaHei"/>
          <w:b w:val="0"/>
          <w:i w:val="0"/>
          <w:sz w:val="22"/>
        </w:rPr>
        <w:t>Golden Standard 是 AI 项目的核心资产，用于回答“AI 输出到底好不好”。它不是测试阶段临时造几条样例，而是在方案阶段就开始建设，并在每次 Prompt 修改、模型升级或 Agent 流程调整后重新评测。</w:t>
      </w: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984"/>
        <w:gridCol w:w="7370"/>
      </w:tblGrid>
      <w:tr>
        <w:trPr>
          <w:tblHeader w:val="true"/>
          <w:cantSplit/>
        </w:trPr>
        <w:tc>
          <w:tcPr>
            <w:tcW w:type="dxa" w:w="1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组成</w:t>
            </w:r>
          </w:p>
        </w:tc>
        <w:tc>
          <w:tcPr>
            <w:tcW w:type="dxa" w:w="73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建议标准</w:t>
            </w:r>
          </w:p>
        </w:tc>
      </w:tr>
      <w:tr>
        <w:trPr>
          <w:cantSplit/>
        </w:trPr>
        <w:tc>
          <w:tcPr>
            <w:tcW w:type="dxa" w:w="19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真实 Case</w:t>
            </w:r>
          </w:p>
        </w:tc>
        <w:tc>
          <w:tcPr>
            <w:tcW w:type="dxa" w:w="737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优先来自真实用户场景，早期可从 30-50 条起步，成熟能力逐步沉淀到 100-500 条。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标准答案</w:t>
            </w:r>
          </w:p>
        </w:tc>
        <w:tc>
          <w:tcPr>
            <w:tcW w:type="dxa" w:w="737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为每个 Case 标注理想输出、关键事实、禁止出现的错误和可接受变体。</w:t>
            </w:r>
          </w:p>
        </w:tc>
      </w:tr>
      <w:tr>
        <w:trPr>
          <w:cantSplit/>
        </w:trPr>
        <w:tc>
          <w:tcPr>
            <w:tcW w:type="dxa" w:w="19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评分规则</w:t>
            </w:r>
          </w:p>
        </w:tc>
        <w:tc>
          <w:tcPr>
            <w:tcW w:type="dxa" w:w="737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至少包含准确性、完整性、稳定性、业务可接受度、幻觉/越权风险。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人工标注</w:t>
            </w:r>
          </w:p>
        </w:tc>
        <w:tc>
          <w:tcPr>
            <w:tcW w:type="dxa" w:w="737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由产品、业务方、测试共同参与，避免只从技术视角判断。</w:t>
            </w:r>
          </w:p>
        </w:tc>
      </w:tr>
      <w:tr>
        <w:trPr>
          <w:cantSplit/>
        </w:trPr>
        <w:tc>
          <w:tcPr>
            <w:tcW w:type="dxa" w:w="19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触发时机</w:t>
            </w:r>
          </w:p>
        </w:tc>
        <w:tc>
          <w:tcPr>
            <w:tcW w:type="dxa" w:w="737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上线前、每次 Prompt 修改、每次模型升级、每次工具或上下文逻辑调整后都重新跑评测。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60" w:after="160" w:line="269" w:lineRule="auto"/>
      </w:pPr>
      <w:r>
        <w:rPr>
          <w:rFonts w:ascii="Calibri" w:hAnsi="Calibri" w:eastAsia="Microsoft YaHei"/>
          <w:b/>
          <w:color w:val="2E74B5"/>
          <w:sz w:val="32"/>
        </w:rPr>
        <w:t>五、角色分工建议</w:t>
      </w: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814"/>
        <w:gridCol w:w="7540"/>
      </w:tblGrid>
      <w:tr>
        <w:trPr>
          <w:tblHeader w:val="true"/>
          <w:cantSplit/>
        </w:trPr>
        <w:tc>
          <w:tcPr>
            <w:tcW w:type="dxa" w:w="18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7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181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项目经理</w:t>
            </w:r>
          </w:p>
        </w:tc>
        <w:tc>
          <w:tcPr>
            <w:tcW w:type="dxa" w:w="75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负责项目总体进度、成本、质量管理，协调资源、拉齐团队认知。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产品经理</w:t>
            </w:r>
          </w:p>
        </w:tc>
        <w:tc>
          <w:tcPr>
            <w:tcW w:type="dxa" w:w="75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负责需求判断、竞品调研、产品方案、PRD、AI_Spec、Agent Demo 设计、验收标准、Agent 评测方案。</w:t>
            </w:r>
          </w:p>
        </w:tc>
      </w:tr>
      <w:tr>
        <w:trPr>
          <w:cantSplit/>
        </w:trPr>
        <w:tc>
          <w:tcPr>
            <w:tcW w:type="dxa" w:w="181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前端开发</w:t>
            </w:r>
          </w:p>
        </w:tc>
        <w:tc>
          <w:tcPr>
            <w:tcW w:type="dxa" w:w="75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负责 AI 能力入口、交互状态、结果展示、用户确认、编辑、重试和异常反馈体验。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后端开发</w:t>
            </w:r>
          </w:p>
        </w:tc>
        <w:tc>
          <w:tcPr>
            <w:tcW w:type="dxa" w:w="75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负责接口、数据读取与写入、权限校验、业务规则、日志、灰度、开关和回滚能力。</w:t>
            </w:r>
          </w:p>
        </w:tc>
      </w:tr>
      <w:tr>
        <w:trPr>
          <w:cantSplit/>
        </w:trPr>
        <w:tc>
          <w:tcPr>
            <w:tcW w:type="dxa" w:w="181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Agent 开发</w:t>
            </w:r>
          </w:p>
        </w:tc>
        <w:tc>
          <w:tcPr>
            <w:tcW w:type="dxa" w:w="75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负责 Agent 工作流、Context 管理、Memory、Long Context、Tool Routing、Fallback、Prompt、模型选择、输出 Schema、评测优化和版本管理。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</w:t>
            </w:r>
          </w:p>
        </w:tc>
        <w:tc>
          <w:tcPr>
            <w:tcW w:type="dxa" w:w="75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负责功能测试、权限测试、异常测试、AI 样例评测、数据验证和上线质量判断。</w:t>
            </w:r>
          </w:p>
        </w:tc>
      </w:tr>
      <w:tr>
        <w:trPr>
          <w:cantSplit/>
        </w:trPr>
        <w:tc>
          <w:tcPr>
            <w:tcW w:type="dxa" w:w="181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运营/业务方</w:t>
            </w:r>
          </w:p>
        </w:tc>
        <w:tc>
          <w:tcPr>
            <w:tcW w:type="dxa" w:w="75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负责真实场景反馈、试点用户组织、效果观察、案例沉淀和后续推广建议。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60" w:after="160" w:line="269" w:lineRule="auto"/>
      </w:pPr>
      <w:r>
        <w:rPr>
          <w:rFonts w:ascii="Calibri" w:hAnsi="Calibri" w:eastAsia="Microsoft YaHei"/>
          <w:b/>
          <w:color w:val="2E74B5"/>
          <w:sz w:val="32"/>
        </w:rPr>
        <w:t>六、关键交付物建议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68"/>
        <w:gridCol w:w="1361"/>
        <w:gridCol w:w="5726"/>
      </w:tblGrid>
      <w:tr>
        <w:trPr>
          <w:tblHeader w:val="true"/>
          <w:cantSplit/>
        </w:trPr>
        <w:tc>
          <w:tcPr>
            <w:tcW w:type="dxa" w:w="22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交付物</w:t>
            </w:r>
          </w:p>
        </w:tc>
        <w:tc>
          <w:tcPr>
            <w:tcW w:type="dxa" w:w="136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所属阶段</w:t>
            </w:r>
          </w:p>
        </w:tc>
        <w:tc>
          <w:tcPr>
            <w:tcW w:type="dxa" w:w="57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需求分析文档</w:t>
            </w:r>
          </w:p>
        </w:tc>
        <w:tc>
          <w:tcPr>
            <w:tcW w:type="dxa" w:w="136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阶段 1</w:t>
            </w:r>
          </w:p>
        </w:tc>
        <w:tc>
          <w:tcPr>
            <w:tcW w:type="dxa" w:w="572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说明为什么做、为谁做、解决什么问题，以及是否适合用 AI。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竞品调研报告</w:t>
            </w:r>
          </w:p>
        </w:tc>
        <w:tc>
          <w:tcPr>
            <w:tcW w:type="dxa" w:w="136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阶段 2</w:t>
            </w:r>
          </w:p>
        </w:tc>
        <w:tc>
          <w:tcPr>
            <w:tcW w:type="dxa" w:w="572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提供外部参考、体验基准和差异化依据。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PRD / 原型</w:t>
            </w:r>
          </w:p>
        </w:tc>
        <w:tc>
          <w:tcPr>
            <w:tcW w:type="dxa" w:w="136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阶段 3</w:t>
            </w:r>
          </w:p>
        </w:tc>
        <w:tc>
          <w:tcPr>
            <w:tcW w:type="dxa" w:w="572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定义产品流程、页面交互、业务规则和用户操作闭环。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Golden Standard / 评测集</w:t>
            </w:r>
          </w:p>
        </w:tc>
        <w:tc>
          <w:tcPr>
            <w:tcW w:type="dxa" w:w="136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阶段 3</w:t>
            </w:r>
          </w:p>
        </w:tc>
        <w:tc>
          <w:tcPr>
            <w:tcW w:type="dxa" w:w="572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作为标准用于评估 AI 输出质量，支撑上线前和迭代后的效果判断。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AI_Spec</w:t>
            </w:r>
          </w:p>
        </w:tc>
        <w:tc>
          <w:tcPr>
            <w:tcW w:type="dxa" w:w="136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阶段 3-4</w:t>
            </w:r>
          </w:p>
        </w:tc>
        <w:tc>
          <w:tcPr>
            <w:tcW w:type="dxa" w:w="572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定义 AI 能力边界、输入输出、上下文、Agent 行为和评测标准。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Agent 设计文档 / 技术方案</w:t>
            </w:r>
          </w:p>
        </w:tc>
        <w:tc>
          <w:tcPr>
            <w:tcW w:type="dxa" w:w="136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阶段 4</w:t>
            </w:r>
          </w:p>
        </w:tc>
        <w:tc>
          <w:tcPr>
            <w:tcW w:type="dxa" w:w="572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定义 Agent 工作流、模型、工具、接口、权限、日志、成本和回滚。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埋点与监控方案</w:t>
            </w:r>
          </w:p>
        </w:tc>
        <w:tc>
          <w:tcPr>
            <w:tcW w:type="dxa" w:w="136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阶段 3/7</w:t>
            </w:r>
          </w:p>
        </w:tc>
        <w:tc>
          <w:tcPr>
            <w:tcW w:type="dxa" w:w="572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定义上线后要看的调用率、采纳率、失败率、成本、延迟等指标。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测试与复盘报告</w:t>
            </w:r>
          </w:p>
        </w:tc>
        <w:tc>
          <w:tcPr>
            <w:tcW w:type="dxa" w:w="136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阶段 6-7</w:t>
            </w:r>
          </w:p>
        </w:tc>
        <w:tc>
          <w:tcPr>
            <w:tcW w:type="dxa" w:w="572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验证上线质量，并沉淀后续优化经验。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60" w:after="160" w:line="269" w:lineRule="auto"/>
      </w:pPr>
      <w:r>
        <w:rPr>
          <w:rFonts w:ascii="Calibri" w:hAnsi="Calibri" w:eastAsia="Microsoft YaHei"/>
          <w:b/>
          <w:color w:val="2E74B5"/>
          <w:sz w:val="32"/>
        </w:rPr>
        <w:t>七、AI 项目风险治理</w:t>
      </w: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1"/>
        <w:gridCol w:w="3118"/>
        <w:gridCol w:w="4535"/>
      </w:tblGrid>
      <w:tr>
        <w:trPr>
          <w:tblHeader w:val="true"/>
          <w:cantSplit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311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典型表现</w:t>
            </w:r>
          </w:p>
        </w:tc>
        <w:tc>
          <w:tcPr>
            <w:tcW w:type="dxa" w:w="453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应对机制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Prompt 失效</w:t>
            </w:r>
          </w:p>
        </w:tc>
        <w:tc>
          <w:tcPr>
            <w:tcW w:type="dxa" w:w="311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同类输入输出不稳定，修改一处影响其他场景</w:t>
            </w:r>
          </w:p>
        </w:tc>
        <w:tc>
          <w:tcPr>
            <w:tcW w:type="dxa" w:w="4535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Prompt 版本管理、Golden Standard 回归评测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模型升级效果下降</w:t>
            </w:r>
          </w:p>
        </w:tc>
        <w:tc>
          <w:tcPr>
            <w:tcW w:type="dxa" w:w="311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模型替换后准确率、风格或工具调用行为变化</w:t>
            </w:r>
          </w:p>
        </w:tc>
        <w:tc>
          <w:tcPr>
            <w:tcW w:type="dxa" w:w="4535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A/B 评测、灰度切换、回滚策略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Token 成本上涨</w:t>
            </w:r>
          </w:p>
        </w:tc>
        <w:tc>
          <w:tcPr>
            <w:tcW w:type="dxa" w:w="311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调用量上升或上下文过长导致成本不可控</w:t>
            </w:r>
          </w:p>
        </w:tc>
        <w:tc>
          <w:tcPr>
            <w:tcW w:type="dxa" w:w="4535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成本监控、上下文裁剪、缓存和分层模型策略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幻觉</w:t>
            </w:r>
          </w:p>
        </w:tc>
        <w:tc>
          <w:tcPr>
            <w:tcW w:type="dxa" w:w="311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输出不存在的事实、任务或结论</w:t>
            </w:r>
          </w:p>
        </w:tc>
        <w:tc>
          <w:tcPr>
            <w:tcW w:type="dxa" w:w="4535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引用依据、结构化输出、Golden Standard、人工确认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延迟过高</w:t>
            </w:r>
          </w:p>
        </w:tc>
        <w:tc>
          <w:tcPr>
            <w:tcW w:type="dxa" w:w="311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用户等待时间长，影响转化和采纳</w:t>
            </w:r>
          </w:p>
        </w:tc>
        <w:tc>
          <w:tcPr>
            <w:tcW w:type="dxa" w:w="4535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Streaming、异步任务、缓存、模型分层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工具调用失败</w:t>
            </w:r>
          </w:p>
        </w:tc>
        <w:tc>
          <w:tcPr>
            <w:tcW w:type="dxa" w:w="311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Agent 调接口失败、参数错误或重复执行</w:t>
            </w:r>
          </w:p>
        </w:tc>
        <w:tc>
          <w:tcPr>
            <w:tcW w:type="dxa" w:w="4535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Retry、幂等设计、Fallback、错误日志和告警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越权或数据泄露</w:t>
            </w:r>
          </w:p>
        </w:tc>
        <w:tc>
          <w:tcPr>
            <w:tcW w:type="dxa" w:w="311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读取了用户无权访问的数据或暴露敏感信息</w:t>
            </w:r>
          </w:p>
        </w:tc>
        <w:tc>
          <w:tcPr>
            <w:tcW w:type="dxa" w:w="4535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服务端权限校验、数据脱敏、审计日志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60" w:after="160" w:line="269" w:lineRule="auto"/>
      </w:pPr>
      <w:r>
        <w:rPr>
          <w:rFonts w:ascii="Calibri" w:hAnsi="Calibri" w:eastAsia="Microsoft YaHei"/>
          <w:b/>
          <w:color w:val="2E74B5"/>
          <w:sz w:val="32"/>
        </w:rPr>
        <w:t>八、上线监控指标</w:t>
      </w:r>
    </w:p>
    <w:p>
      <w:pPr>
        <w:spacing w:before="0" w:after="120" w:line="269" w:lineRule="auto"/>
      </w:pPr>
      <w:r>
        <w:rPr>
          <w:rFonts w:ascii="Calibri" w:hAnsi="Calibri" w:eastAsia="Microsoft YaHei"/>
          <w:b w:val="0"/>
          <w:i w:val="0"/>
          <w:sz w:val="22"/>
        </w:rPr>
        <w:t>AI 产品上线后要持续看“有没有人用、结果能不能用、成本是否可控、哪里需要优化”。建议在灰度阶段就建立效果看板。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68"/>
        <w:gridCol w:w="7087"/>
      </w:tblGrid>
      <w:tr>
        <w:trPr>
          <w:tblHeader w:val="true"/>
          <w:cantSplit/>
        </w:trPr>
        <w:tc>
          <w:tcPr>
            <w:tcW w:type="dxa" w:w="22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708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调用率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目标用户中有多少人实际触发 AI 能力。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采纳率</w:t>
            </w:r>
          </w:p>
        </w:tc>
        <w:tc>
          <w:tcPr>
            <w:tcW w:type="dxa" w:w="708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输出被直接采纳或部分采纳的比例。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一次成功率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用户一次调用后即可完成目标任务的比例。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Retry 率</w:t>
            </w:r>
          </w:p>
        </w:tc>
        <w:tc>
          <w:tcPr>
            <w:tcW w:type="dxa" w:w="708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用户重复生成或重新调用的比例，用于判断输出稳定性。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用户编辑率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用户对 AI 输出进行修改的比例，用于判断可用性和可信度。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失败率</w:t>
            </w:r>
          </w:p>
        </w:tc>
        <w:tc>
          <w:tcPr>
            <w:tcW w:type="dxa" w:w="708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模型调用、工具调用、解析、权限等失败比例。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人工介入率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需要人工确认、修正或兜底的比例。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Latency</w:t>
            </w:r>
          </w:p>
        </w:tc>
        <w:tc>
          <w:tcPr>
            <w:tcW w:type="dxa" w:w="708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端到端响应耗时，尤其关注 P50 / P90 / P95。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Token 成本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单次调用成本、总成本、按用户/功能/模型拆分的成本。</w:t>
            </w:r>
          </w:p>
        </w:tc>
      </w:tr>
    </w:tbl>
    <w:p>
      <w:pPr>
        <w:spacing w:before="0" w:after="40" w:line="269" w:lineRule="auto"/>
      </w:pPr>
    </w:p>
    <w:p>
      <w:r>
        <w:br w:type="page"/>
      </w:r>
    </w:p>
    <w:p>
      <w:pPr>
        <w:pStyle w:val="Heading1"/>
        <w:spacing w:before="360" w:after="160" w:line="269" w:lineRule="auto"/>
      </w:pPr>
      <w:r>
        <w:rPr>
          <w:rFonts w:ascii="Calibri" w:hAnsi="Calibri" w:eastAsia="Microsoft YaHei"/>
          <w:b/>
          <w:color w:val="2E74B5"/>
          <w:sz w:val="32"/>
        </w:rPr>
        <w:t>九、关键原则建议</w:t>
      </w: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81"/>
        <w:gridCol w:w="6973"/>
      </w:tblGrid>
      <w:tr>
        <w:trPr>
          <w:tblHeader w:val="true"/>
          <w:cantSplit/>
        </w:trPr>
        <w:tc>
          <w:tcPr>
            <w:tcW w:type="dxa" w:w="238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原则</w:t>
            </w:r>
          </w:p>
        </w:tc>
        <w:tc>
          <w:tcPr>
            <w:tcW w:type="dxa" w:w="697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先判断价值，再进入方案</w:t>
            </w:r>
          </w:p>
        </w:tc>
        <w:tc>
          <w:tcPr>
            <w:tcW w:type="dxa" w:w="6973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项目不要因为“能做”就做，而要先证明场景真实、价值明确、失败可控。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数据准备前置</w:t>
            </w:r>
          </w:p>
        </w:tc>
        <w:tc>
          <w:tcPr>
            <w:tcW w:type="dxa" w:w="6973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在产品方案阶段就明确数据来源、结构、权限和测试样例，避免开发后期才发现数据不可用。</w:t>
            </w:r>
          </w:p>
        </w:tc>
      </w:tr>
      <w:tr>
        <w:trPr>
          <w:cantSplit/>
        </w:trPr>
        <w:tc>
          <w:tcPr>
            <w:tcW w:type="dxa" w:w="238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Spec 先于开发</w:t>
            </w:r>
          </w:p>
        </w:tc>
        <w:tc>
          <w:tcPr>
            <w:tcW w:type="dxa" w:w="6973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在进入开发前先定义输入、输出、上下文、工具、约束和评测标准。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Context 比 Prompt 更关键</w:t>
            </w:r>
          </w:p>
        </w:tc>
        <w:tc>
          <w:tcPr>
            <w:tcW w:type="dxa" w:w="6973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复杂 AI 项目中，效果往往取决于上下文管理、工具路由和数据质量，而不只是 Prompt 文案。</w:t>
            </w:r>
          </w:p>
        </w:tc>
      </w:tr>
      <w:tr>
        <w:trPr>
          <w:cantSplit/>
        </w:trPr>
        <w:tc>
          <w:tcPr>
            <w:tcW w:type="dxa" w:w="238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测试覆盖 AI 输出质量</w:t>
            </w:r>
          </w:p>
        </w:tc>
        <w:tc>
          <w:tcPr>
            <w:tcW w:type="dxa" w:w="6973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产品不仅要测功能，还要测准确性、完整性、稳定性、幻觉、越权和业务可接受度。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上线后持续复盘</w:t>
            </w:r>
          </w:p>
        </w:tc>
        <w:tc>
          <w:tcPr>
            <w:tcW w:type="dxa" w:w="6973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通过真实数据观察使用率、采纳率、失败率和成本，把每个项目变成下一次项目的资产。</w:t>
            </w:r>
          </w:p>
        </w:tc>
      </w:tr>
    </w:tbl>
    <w:p>
      <w:pPr>
        <w:spacing w:before="0" w:after="40" w:line="26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6473"/>
        <w:sz w:val="18"/>
      </w:rPr>
      <w:t>AI 产品项目协作参考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6473"/>
        <w:sz w:val="18"/>
      </w:rPr>
      <w:t>AI 产品项目复盘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