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>项目协作指南</w:t>
      </w:r>
    </w:p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0B2545"/>
          <w:sz w:val="48"/>
        </w:rPr>
        <w:t>AI 产品项目标准推进 SOP</w:t>
      </w:r>
    </w:p>
    <w:p>
      <w:pPr>
        <w:spacing w:before="0" w:after="280" w:line="264" w:lineRule="auto"/>
        <w:pBdr>
          <w:bottom w:val="single" w:sz="8" w:space="1" w:color="D7DBE2"/>
        </w:pBdr>
      </w:pPr>
      <w:r>
        <w:rPr>
          <w:rFonts w:ascii="Calibri" w:hAnsi="Calibri" w:eastAsia="Microsoft YaHei"/>
          <w:b w:val="0"/>
          <w:i w:val="0"/>
          <w:color w:val="606060"/>
          <w:sz w:val="25"/>
        </w:rPr>
        <w:t>适用于从需求立项、方案设计、Agent 开发、测试验证到上线复盘的完整 AI 产品推进流程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7654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6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适用对象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产品经理、前端开发、后端开发、Agent/算法开发、测试、运营及项目协作方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适用项目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AI 文档生成、AI 工作流与智能体应用等 AI 能力建设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使用方式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20"/>
              </w:rPr>
              <w:t>作为项目启动、研发评审、测试验收、上线复盘的统一流程框架</w:t>
            </w:r>
          </w:p>
        </w:tc>
      </w:tr>
    </w:tbl>
    <w:p>
      <w:pPr>
        <w:spacing w:before="0" w:after="40" w:line="264" w:lineRule="auto"/>
      </w:pP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CAD6E2"/>
          <w:left w:val="single" w:sz="6" w:space="0" w:color="CAD6E2"/>
          <w:bottom w:val="single" w:sz="6" w:space="0" w:color="CAD6E2"/>
          <w:right w:val="single" w:sz="6" w:space="0" w:color="CAD6E2"/>
          <w:insideH w:val="single" w:sz="6" w:space="0" w:color="CAD6E2"/>
          <w:insideV w:val="single" w:sz="6" w:space="0" w:color="CAD6E2"/>
        </w:tblBorders>
      </w:tblPr>
      <w:tblGrid>
        <w:gridCol w:w="9354"/>
      </w:tblGrid>
      <w:tr>
        <w:tc>
          <w:tcPr>
            <w:tcW w:type="dxa" w:w="9354"/>
            <w:shd w:fill="F4F7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76" w:lineRule="auto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核心共识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Microsoft YaHei"/>
                <w:sz w:val="21"/>
              </w:rPr>
              <w:t>AI 产品项目不是普通功能开发外接一个模型接口，而是同时管理产品体验、数据上下文、Agent 行为、工程稳定性和效果评测的协作过程。只有这五件事都形成闭环，才算真正完成一个 AI 产品项目。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一、总流程</w:t>
      </w:r>
    </w:p>
    <w:p>
      <w:pPr>
        <w:spacing w:before="0" w:after="160" w:line="264" w:lineRule="auto"/>
      </w:pPr>
      <w:r>
        <w:rPr>
          <w:rFonts w:ascii="Calibri" w:hAnsi="Calibri" w:eastAsia="Microsoft YaHei"/>
          <w:b w:val="0"/>
          <w:i w:val="0"/>
          <w:sz w:val="22"/>
        </w:rPr>
        <w:t>建议将 AI 产品项目统一拆成 7 个阶段。前 4 个阶段解决“做什么、为什么做、怎么做”的问题，后 3 个阶段解决“如何实现、如何验证、如何持续优化”的问题。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97880" cy="1703832"/>
            <wp:docPr id="1" name="Picture 1" title="AI 产品项目 7 阶段推进流程图" descr="从需求分析、竞品调研、产品方案、Agent 设计、开发、测试到上线复盘的 7 阶段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stag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7038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Microsoft YaHei" w:hAnsi="Microsoft YaHei" w:eastAsia="Microsoft YaHei"/>
          <w:color w:val="5A6473"/>
          <w:sz w:val="18"/>
        </w:rPr>
        <w:t>图 1：AI 产品项目 7 阶段推进流程</w:t>
      </w:r>
    </w:p>
    <w:p/>
    <w:p/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624"/>
        <w:gridCol w:w="1871"/>
        <w:gridCol w:w="2324"/>
        <w:gridCol w:w="2268"/>
        <w:gridCol w:w="2268"/>
      </w:tblGrid>
      <w:tr>
        <w:trPr>
          <w:tblHeader w:val="true"/>
          <w:cantSplit/>
        </w:trPr>
        <w:tc>
          <w:tcPr>
            <w:tcW w:type="dxa" w:w="6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阶段</w:t>
            </w:r>
          </w:p>
        </w:tc>
        <w:tc>
          <w:tcPr>
            <w:tcW w:type="dxa" w:w="187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名称</w:t>
            </w:r>
          </w:p>
        </w:tc>
        <w:tc>
          <w:tcPr>
            <w:tcW w:type="dxa" w:w="23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核心目标</w:t>
            </w:r>
          </w:p>
        </w:tc>
        <w:tc>
          <w:tcPr>
            <w:tcW w:type="dxa" w:w="2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主要产出</w:t>
            </w:r>
          </w:p>
        </w:tc>
        <w:tc>
          <w:tcPr>
            <w:tcW w:type="dxa" w:w="2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通过标准</w:t>
            </w:r>
          </w:p>
        </w:tc>
      </w:tr>
      <w:tr>
        <w:trPr>
          <w:cantSplit/>
        </w:trPr>
        <w:tc>
          <w:tcPr>
            <w:tcW w:type="dxa" w:w="62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1</w:t>
            </w:r>
          </w:p>
        </w:tc>
        <w:tc>
          <w:tcPr>
            <w:tcW w:type="dxa" w:w="187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需求分析与价值初判</w:t>
            </w:r>
          </w:p>
        </w:tc>
        <w:tc>
          <w:tcPr>
            <w:tcW w:type="dxa" w:w="232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判断需求是否真实、是否值得做、是否适合用 AI 做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需求分析文档、价值判断、AI 适配度结论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场景真实、价值明确、AI 有必要性</w:t>
            </w:r>
          </w:p>
        </w:tc>
      </w:tr>
      <w:tr>
        <w:trPr>
          <w:cantSplit/>
        </w:trPr>
        <w:tc>
          <w:tcPr>
            <w:tcW w:type="dxa" w:w="6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2</w:t>
            </w:r>
          </w:p>
        </w:tc>
        <w:tc>
          <w:tcPr>
            <w:tcW w:type="dxa" w:w="187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市场与竞品调研</w:t>
            </w:r>
          </w:p>
        </w:tc>
        <w:tc>
          <w:tcPr>
            <w:tcW w:type="dxa" w:w="23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明确外部解法、体验基准和差异化方向</w:t>
            </w:r>
          </w:p>
        </w:tc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竞品调研报告、可借鉴点、差异化机会</w:t>
            </w:r>
          </w:p>
        </w:tc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知道别人怎么做，也知道我们为什么这样做</w:t>
            </w:r>
          </w:p>
        </w:tc>
      </w:tr>
      <w:tr>
        <w:trPr>
          <w:cantSplit/>
        </w:trPr>
        <w:tc>
          <w:tcPr>
            <w:tcW w:type="dxa" w:w="62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3</w:t>
            </w:r>
          </w:p>
        </w:tc>
        <w:tc>
          <w:tcPr>
            <w:tcW w:type="dxa" w:w="187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产品方案设计与数据准备</w:t>
            </w:r>
          </w:p>
        </w:tc>
        <w:tc>
          <w:tcPr>
            <w:tcW w:type="dxa" w:w="232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把需求转化为可开发、可验证的产品方案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原型、PRD、AI_Spec、数据清单、埋点方案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产品流程清楚，数据边界清楚，开发能理解并评估</w:t>
            </w:r>
          </w:p>
        </w:tc>
      </w:tr>
      <w:tr>
        <w:trPr>
          <w:cantSplit/>
        </w:trPr>
        <w:tc>
          <w:tcPr>
            <w:tcW w:type="dxa" w:w="6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4</w:t>
            </w:r>
          </w:p>
        </w:tc>
        <w:tc>
          <w:tcPr>
            <w:tcW w:type="dxa" w:w="187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Agent 设计与技术方案评审</w:t>
            </w:r>
          </w:p>
        </w:tc>
        <w:tc>
          <w:tcPr>
            <w:tcW w:type="dxa" w:w="23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确认 AI 能力如何实现，以及工程上是否可行</w:t>
            </w:r>
          </w:p>
        </w:tc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Agent 设计文档、技术方案、接口文档、排期评估</w:t>
            </w:r>
          </w:p>
        </w:tc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方案可实现，风险可控，成本可接受</w:t>
            </w:r>
          </w:p>
        </w:tc>
      </w:tr>
      <w:tr>
        <w:trPr>
          <w:cantSplit/>
        </w:trPr>
        <w:tc>
          <w:tcPr>
            <w:tcW w:type="dxa" w:w="62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5</w:t>
            </w:r>
          </w:p>
        </w:tc>
        <w:tc>
          <w:tcPr>
            <w:tcW w:type="dxa" w:w="187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产品前后端开发 + Agent 开发</w:t>
            </w:r>
          </w:p>
        </w:tc>
        <w:tc>
          <w:tcPr>
            <w:tcW w:type="dxa" w:w="232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完成功能闭环和 AI 能力实现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可测试版本、接口实现、Agent 配置、Prompt 版本记录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主流程跑通，AI 能力可调用，关键日志可追踪</w:t>
            </w:r>
          </w:p>
        </w:tc>
      </w:tr>
      <w:tr>
        <w:trPr>
          <w:cantSplit/>
        </w:trPr>
        <w:tc>
          <w:tcPr>
            <w:tcW w:type="dxa" w:w="6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6</w:t>
            </w:r>
          </w:p>
        </w:tc>
        <w:tc>
          <w:tcPr>
            <w:tcW w:type="dxa" w:w="187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功能测试及数据验证</w:t>
            </w:r>
          </w:p>
        </w:tc>
        <w:tc>
          <w:tcPr>
            <w:tcW w:type="dxa" w:w="232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验证功能可用、AI 输出可信、数据安全</w:t>
            </w:r>
          </w:p>
        </w:tc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测试报告、AI 评测表、问题清单、上线建议</w:t>
            </w:r>
          </w:p>
        </w:tc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功能稳定，AI 输出达标，无高风险问题</w:t>
            </w:r>
          </w:p>
        </w:tc>
      </w:tr>
      <w:tr>
        <w:trPr>
          <w:cantSplit/>
        </w:trPr>
        <w:tc>
          <w:tcPr>
            <w:tcW w:type="dxa" w:w="62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7</w:t>
            </w:r>
          </w:p>
        </w:tc>
        <w:tc>
          <w:tcPr>
            <w:tcW w:type="dxa" w:w="187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上线、监控与复盘</w:t>
            </w:r>
          </w:p>
        </w:tc>
        <w:tc>
          <w:tcPr>
            <w:tcW w:type="dxa" w:w="232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观察真实使用效果，并沉淀经验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上线记录、效果看板、用户反馈、复盘报告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6"/>
              </w:rPr>
              <w:t>有数据可看，有问题可追，有经验可复用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二、阶段说明</w:t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1. 需求分析与价值初判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7654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6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阶段目标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判断该需求是否值得投入，以及 AI 是否是更合适的解决方式。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关键动作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明确目标用户、核心场景、痛点和触发频率；判断传统规则、模板、人工流程是否已经足够；评估 AI 能带来的效率、质量或规模化价值；识别失败成本和人工确认要求。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主要产出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需求分析文档、价值判断、AI 适配度结论、优先级建议。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通过标准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需求来自真实业务场景；收益与投入基本匹配；AI 相比非 AI 方案有明确增量价值。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2. 市场与竞品调研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7654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6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阶段目标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明确行业已有解法，建立体验基准，并找到适合目标业务的差异化方向。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关键动作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调研同类产品和行业 AI 应用；拆解竞品入口、交互方式、能力边界、结果呈现、收费方式和用户反馈；总结可借鉴点、不可照搬点和差异化机会。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主要产出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竞品调研报告、体验截图或流程拆解、可借鉴点、差异化机会。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通过标准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团队知道外部方案怎么做，也能解释我们为什么采用当前方案。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3. 产品方案设计与数据准备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7654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6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阶段目标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将需求转化为开发可理解、测试可验证、上线可监控的产品方案。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关键动作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设计用户流程、页面原型和 PRD；明确 AI 输入输出、数据来源、权限范围、埋点和测试数据；设计用户确认、编辑、撤销、重试和失败兜底机制。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主要产出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原型、PRD、AI_Spec、数据清单、权限说明、埋点方案、测试样例初稿。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通过标准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产品流程闭环清楚；数据来源和边界清楚；AI 输出形态和验收口径清楚。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4. Agent 设计与技术方案评审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7654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6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阶段目标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确认 Agent 如何工作，以及前后端、数据、权限、成本和稳定性是否可行。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关键动作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设计 Agent 工作流、Prompt、模型选择、工具调用、输出 schema 和异常处理；评审接口、数据处理、权限校验、日志、灰度、开关、回滚和成本估算。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主要产出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Agent 设计文档、技术方案、接口文档、模型与工具调用方案、排期评估。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通过标准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实现路径明确；关键风险有处理方案；成本、性能和权限边界可接受。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5. 产品前后端开发 + Agent 开发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7654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6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阶段目标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完成产品功能与 AI 能力的工程化实现，形成可测试闭环。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关键动作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前端开发页面与交互；后端开发接口、数据处理、权限校验和业务写入；Agent 开发工作流、Prompt、工具调用、结果解析、日志和灰度开关。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主要产出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可测试版本、接口实现、Agent 配置、Prompt 版本记录、调用日志。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通过标准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主流程可跑通；AI 能力可稳定调用；关键行为和异常可追踪。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6. 功能测试及数据验证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7654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6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阶段目标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同时验证普通功能质量、AI 输出质量、数据准确性和权限安全。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关键动作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开展功能测试、异常测试、权限测试、性能测试；使用样例集评估 AI 输出准确性、完整性、稳定性和业务可接受度；验证数据读取、写入、脱敏和埋点结果。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主要产出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测试报告、AI 评测表、数据验证记录、问题清单、上线建议。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通过标准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功能无阻塞问题；AI 输出达到上线标准；无明显越权、幻觉或高风险数据问题。</w:t>
            </w:r>
          </w:p>
        </w:tc>
      </w:tr>
    </w:tbl>
    <w:p>
      <w:pPr>
        <w:spacing w:before="0" w:after="40" w:line="264" w:lineRule="auto"/>
      </w:pPr>
    </w:p>
    <w:p>
      <w:pPr>
        <w:pStyle w:val="Heading2"/>
        <w:spacing w:before="240" w:after="120" w:line="264" w:lineRule="auto"/>
      </w:pPr>
      <w:r>
        <w:rPr>
          <w:rFonts w:ascii="Calibri" w:hAnsi="Calibri" w:eastAsia="Microsoft YaHei"/>
          <w:b/>
          <w:color w:val="2E74B5"/>
          <w:sz w:val="26"/>
        </w:rPr>
        <w:t>7. 上线、监控与复盘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7654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6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阶段目标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观察真实用户使用效果，将项目经验沉淀为下一次可复用的方法。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关键动作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灰度上线并观察使用率、采纳率、编辑率、失败率、成本和响应速度；收集用户反馈；复盘产品效果、技术问题、测试遗漏和协作问题。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主要产出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上线记录、效果看板、用户反馈、复盘报告、下一版优化项、SOP 更新项。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通过标准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上线效果可量化；问题可追踪；经验能沉淀到后续项目和标准文档中。</w:t>
            </w:r>
          </w:p>
        </w:tc>
      </w:tr>
    </w:tbl>
    <w:p>
      <w:pPr>
        <w:spacing w:before="0" w:after="40" w:line="264" w:lineRule="auto"/>
      </w:pPr>
    </w:p>
    <w:p>
      <w:r>
        <w:br w:type="page"/>
      </w: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三、角色分工建议</w:t>
      </w: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814"/>
        <w:gridCol w:w="7540"/>
      </w:tblGrid>
      <w:tr>
        <w:trPr>
          <w:tblHeader w:val="true"/>
          <w:cantSplit/>
        </w:trPr>
        <w:tc>
          <w:tcPr>
            <w:tcW w:type="dxa" w:w="18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角色</w:t>
            </w:r>
          </w:p>
        </w:tc>
        <w:tc>
          <w:tcPr>
            <w:tcW w:type="dxa" w:w="7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181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产品经理</w:t>
            </w:r>
          </w:p>
        </w:tc>
        <w:tc>
          <w:tcPr>
            <w:tcW w:type="dxa" w:w="75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负责需求判断、竞品调研、产品方案、PRD、AI_Spec、验收标准和上线复盘。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前端开发</w:t>
            </w:r>
          </w:p>
        </w:tc>
        <w:tc>
          <w:tcPr>
            <w:tcW w:type="dxa" w:w="75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负责 AI 能力入口、交互状态、结果展示、用户确认、编辑、重试和异常反馈体验。</w:t>
            </w:r>
          </w:p>
        </w:tc>
      </w:tr>
      <w:tr>
        <w:trPr>
          <w:cantSplit/>
        </w:trPr>
        <w:tc>
          <w:tcPr>
            <w:tcW w:type="dxa" w:w="181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后端开发</w:t>
            </w:r>
          </w:p>
        </w:tc>
        <w:tc>
          <w:tcPr>
            <w:tcW w:type="dxa" w:w="75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负责接口、数据读取与写入、权限校验、业务规则、日志、灰度、开关和回滚能力。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Agent/算法开发</w:t>
            </w:r>
          </w:p>
        </w:tc>
        <w:tc>
          <w:tcPr>
            <w:tcW w:type="dxa" w:w="75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负责 Agent 工作流、Prompt、模型选择、工具调用、输出 schema、评测优化和版本管理。</w:t>
            </w:r>
          </w:p>
        </w:tc>
      </w:tr>
      <w:tr>
        <w:trPr>
          <w:cantSplit/>
        </w:trPr>
        <w:tc>
          <w:tcPr>
            <w:tcW w:type="dxa" w:w="181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测试</w:t>
            </w:r>
          </w:p>
        </w:tc>
        <w:tc>
          <w:tcPr>
            <w:tcW w:type="dxa" w:w="75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负责功能测试、权限测试、异常测试、AI 样例评测、数据验证和上线质量判断。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运营/业务方</w:t>
            </w:r>
          </w:p>
        </w:tc>
        <w:tc>
          <w:tcPr>
            <w:tcW w:type="dxa" w:w="75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负责真实场景反馈、试点用户组织、效果观察、案例沉淀和后续推广建议。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四、关键交付物清单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68"/>
        <w:gridCol w:w="1474"/>
        <w:gridCol w:w="5613"/>
      </w:tblGrid>
      <w:tr>
        <w:trPr>
          <w:tblHeader w:val="true"/>
          <w:cantSplit/>
        </w:trPr>
        <w:tc>
          <w:tcPr>
            <w:tcW w:type="dxa" w:w="2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交付物</w:t>
            </w:r>
          </w:p>
        </w:tc>
        <w:tc>
          <w:tcPr>
            <w:tcW w:type="dxa" w:w="147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所属阶段</w:t>
            </w:r>
          </w:p>
        </w:tc>
        <w:tc>
          <w:tcPr>
            <w:tcW w:type="dxa" w:w="561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需求分析文档</w:t>
            </w:r>
          </w:p>
        </w:tc>
        <w:tc>
          <w:tcPr>
            <w:tcW w:type="dxa" w:w="147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1</w:t>
            </w:r>
          </w:p>
        </w:tc>
        <w:tc>
          <w:tcPr>
            <w:tcW w:type="dxa" w:w="561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说明为什么做、为谁做、解决什么问题，以及是否适合用 AI。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竞品调研报告</w:t>
            </w:r>
          </w:p>
        </w:tc>
        <w:tc>
          <w:tcPr>
            <w:tcW w:type="dxa" w:w="147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2</w:t>
            </w:r>
          </w:p>
        </w:tc>
        <w:tc>
          <w:tcPr>
            <w:tcW w:type="dxa" w:w="5613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提供外部参考、体验基准和差异化依据。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PRD / 原型</w:t>
            </w:r>
          </w:p>
        </w:tc>
        <w:tc>
          <w:tcPr>
            <w:tcW w:type="dxa" w:w="147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3</w:t>
            </w:r>
          </w:p>
        </w:tc>
        <w:tc>
          <w:tcPr>
            <w:tcW w:type="dxa" w:w="561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定义产品流程、页面交互、业务规则和用户操作闭环。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AI_Spec</w:t>
            </w:r>
          </w:p>
        </w:tc>
        <w:tc>
          <w:tcPr>
            <w:tcW w:type="dxa" w:w="147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3-4</w:t>
            </w:r>
          </w:p>
        </w:tc>
        <w:tc>
          <w:tcPr>
            <w:tcW w:type="dxa" w:w="5613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定义 AI 能力边界、输入输出、上下文、Agent 行为和评测标准。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Agent 设计文档 / 技术方案</w:t>
            </w:r>
          </w:p>
        </w:tc>
        <w:tc>
          <w:tcPr>
            <w:tcW w:type="dxa" w:w="147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4</w:t>
            </w:r>
          </w:p>
        </w:tc>
        <w:tc>
          <w:tcPr>
            <w:tcW w:type="dxa" w:w="561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定义 Agent 工作流、模型、工具、接口、权限、日志、成本和回滚。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测试与复盘报告</w:t>
            </w:r>
          </w:p>
        </w:tc>
        <w:tc>
          <w:tcPr>
            <w:tcW w:type="dxa" w:w="147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阶段 6-7</w:t>
            </w:r>
          </w:p>
        </w:tc>
        <w:tc>
          <w:tcPr>
            <w:tcW w:type="dxa" w:w="5613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验证上线质量，并沉淀后续优化经验。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五、AI_Spec 建议目录</w:t>
      </w:r>
    </w:p>
    <w:p>
      <w:pPr>
        <w:spacing w:before="0" w:after="160" w:line="264" w:lineRule="auto"/>
      </w:pPr>
      <w:r>
        <w:rPr>
          <w:rFonts w:ascii="Calibri" w:hAnsi="Calibri" w:eastAsia="Microsoft YaHei"/>
          <w:b w:val="0"/>
          <w:i w:val="0"/>
          <w:sz w:val="22"/>
        </w:rPr>
        <w:t>AI_Spec 是 AI 产品项目中最关键的协作文档，建议作为 PRD 的配套文档存在。它的目标是让产品、开发、测试对 AI 能力的边界和验收口径保持一致。</w:t>
      </w: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680"/>
        <w:gridCol w:w="2041"/>
        <w:gridCol w:w="6633"/>
      </w:tblGrid>
      <w:tr>
        <w:trPr>
          <w:tblHeader w:val="true"/>
          <w:cantSplit/>
        </w:trPr>
        <w:tc>
          <w:tcPr>
            <w:tcW w:type="dxa" w:w="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序号</w:t>
            </w:r>
          </w:p>
        </w:tc>
        <w:tc>
          <w:tcPr>
            <w:tcW w:type="dxa" w:w="204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663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6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204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能力概述</w:t>
            </w:r>
          </w:p>
        </w:tc>
        <w:tc>
          <w:tcPr>
            <w:tcW w:type="dxa" w:w="663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能力名称、目标用户、使用场景、业务价值。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204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输入与上下文</w:t>
            </w:r>
          </w:p>
        </w:tc>
        <w:tc>
          <w:tcPr>
            <w:tcW w:type="dxa" w:w="6633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用户输入、系统可读取数据、数据范围、权限边界、上下文裁剪规则。</w:t>
            </w:r>
          </w:p>
        </w:tc>
      </w:tr>
      <w:tr>
        <w:trPr>
          <w:cantSplit/>
        </w:trPr>
        <w:tc>
          <w:tcPr>
            <w:tcW w:type="dxa" w:w="6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204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输出与交互</w:t>
            </w:r>
          </w:p>
        </w:tc>
        <w:tc>
          <w:tcPr>
            <w:tcW w:type="dxa" w:w="663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输出格式、展示方式、用户确认/编辑/撤销/重试机制。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  <w:tc>
          <w:tcPr>
            <w:tcW w:type="dxa" w:w="204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Agent 行为</w:t>
            </w:r>
          </w:p>
        </w:tc>
        <w:tc>
          <w:tcPr>
            <w:tcW w:type="dxa" w:w="6633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工作流、Prompt、模型选择、工具调用、输出 schema、失败兜底。</w:t>
            </w:r>
          </w:p>
        </w:tc>
      </w:tr>
      <w:tr>
        <w:trPr>
          <w:cantSplit/>
        </w:trPr>
        <w:tc>
          <w:tcPr>
            <w:tcW w:type="dxa" w:w="6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204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安全与权限</w:t>
            </w:r>
          </w:p>
        </w:tc>
        <w:tc>
          <w:tcPr>
            <w:tcW w:type="dxa" w:w="663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哪些数据可读、哪些动作可执行、哪些结果必须人工确认。</w:t>
            </w:r>
          </w:p>
        </w:tc>
      </w:tr>
      <w:tr>
        <w:trPr>
          <w:cantSplit/>
        </w:trPr>
        <w:tc>
          <w:tcPr>
            <w:tcW w:type="dxa" w:w="68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6</w:t>
            </w:r>
          </w:p>
        </w:tc>
        <w:tc>
          <w:tcPr>
            <w:tcW w:type="dxa" w:w="204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评测与验收</w:t>
            </w:r>
          </w:p>
        </w:tc>
        <w:tc>
          <w:tcPr>
            <w:tcW w:type="dxa" w:w="6633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样例集、评分维度、通过标准、典型坏案例和上线门槛。</w:t>
            </w:r>
          </w:p>
        </w:tc>
      </w:tr>
      <w:tr>
        <w:trPr>
          <w:cantSplit/>
        </w:trPr>
        <w:tc>
          <w:tcPr>
            <w:tcW w:type="dxa" w:w="68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7</w:t>
            </w:r>
          </w:p>
        </w:tc>
        <w:tc>
          <w:tcPr>
            <w:tcW w:type="dxa" w:w="204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监控与迭代</w:t>
            </w:r>
          </w:p>
        </w:tc>
        <w:tc>
          <w:tcPr>
            <w:tcW w:type="dxa" w:w="663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埋点、日志、采纳率、失败率、成本、反馈入口和版本记录。</w:t>
            </w:r>
          </w:p>
        </w:tc>
      </w:tr>
    </w:tbl>
    <w:p>
      <w:pPr>
        <w:spacing w:before="0" w:after="40" w:line="264" w:lineRule="auto"/>
      </w:pPr>
    </w:p>
    <w:p>
      <w:pPr>
        <w:pStyle w:val="Heading1"/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六、贯穿原则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68"/>
        <w:gridCol w:w="7087"/>
      </w:tblGrid>
      <w:tr>
        <w:trPr>
          <w:tblHeader w:val="true"/>
          <w:cantSplit/>
        </w:trPr>
        <w:tc>
          <w:tcPr>
            <w:tcW w:type="dxa" w:w="2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原则</w:t>
            </w:r>
          </w:p>
        </w:tc>
        <w:tc>
          <w:tcPr>
            <w:tcW w:type="dxa" w:w="708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先判断价值，再进入方案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 项目不要因为“能做”就做，而要先证明场景真实、价值明确、失败可控。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数据准备前置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在产品方案阶段就明确数据来源、结构、权限和测试样例，避免开发后期才发现数据不可用。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Agent 行为可解释、可追踪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Prompt、模型、工具调用、输出 schema 和版本都应有记录，方便调试和复盘。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测试覆盖 AI 输出质量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 产品不仅要测功能，还要测准确性、完整性、稳定性、幻觉、越权和业务可接受度。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上线后持续复盘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通过真实数据观察使用率、采纳率、失败率和成本，把每个项目变成下一次项目的资产。</w:t>
            </w:r>
          </w:p>
        </w:tc>
      </w:tr>
    </w:tbl>
    <w:p>
      <w:pPr>
        <w:spacing w:before="0" w:after="40" w:line="264" w:lineRule="auto"/>
      </w:pPr>
    </w:p>
    <w:p>
      <w:pPr>
        <w:pStyle w:val="Heading3"/>
        <w:spacing w:before="160" w:after="80" w:line="264" w:lineRule="auto"/>
      </w:pPr>
      <w:r>
        <w:rPr>
          <w:rFonts w:ascii="Calibri" w:hAnsi="Calibri" w:eastAsia="Microsoft YaHei"/>
          <w:b/>
          <w:color w:val="1F4D78"/>
          <w:sz w:val="24"/>
        </w:rPr>
        <w:t>推荐项目表述</w:t>
      </w:r>
    </w:p>
    <w:p>
      <w:pPr>
        <w:spacing w:before="0" w:after="0" w:line="264" w:lineRule="auto"/>
      </w:pPr>
      <w:r>
        <w:rPr>
          <w:rFonts w:ascii="Calibri" w:hAnsi="Calibri" w:eastAsia="Microsoft YaHei"/>
          <w:b w:val="0"/>
          <w:i w:val="0"/>
          <w:sz w:val="21"/>
        </w:rPr>
        <w:t>宏观 SOP 管项目怎么推进，微观 SOP 管一个 AI 能力怎么设计和验收。前者用于跨团队协作，后者沉淀在 PRD、AI_Spec、Agent 设计和测试评测中。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06060"/>
        <w:sz w:val="18"/>
      </w:rPr>
      <w:t>AI 产品项目协作参考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06060"/>
        <w:sz w:val="18"/>
      </w:rPr>
      <w:t>AI 产品项目 SOP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