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20"/>
      </w:pPr>
      <w:r>
        <w:t xml:space="preserve">KCB Group — Meeting Prep</w:t>
      </w:r>
    </w:p>
    <w:p>
      <w:pPr>
        <w:spacing w:after="60"/>
      </w:pPr>
      <w:r>
        <w:rPr>
          <w:i/>
          <w:iCs/>
          <w:sz w:val="20"/>
          <w:szCs w:val="20"/>
        </w:rPr>
        <w:t xml:space="preserve">Date: TBD (test brief — no meeting scheduled) | Country: Kenya | Sector: Banking &amp; Finance</w:t>
      </w:r>
    </w:p>
    <w:p>
      <w:pPr>
        <w:spacing w:after="60"/>
      </w:pPr>
      <w:r>
        <w:rPr>
          <w:i/>
          <w:iCs/>
          <w:sz w:val="20"/>
          <w:szCs w:val="20"/>
        </w:rPr>
        <w:t xml:space="preserve">Generated: 2026-09-14 (revised 2026-09-17 — deep-dive standard)</w:t>
      </w:r>
    </w:p>
    <w:p>
      <w:pPr>
        <w:pStyle w:val="Heading1"/>
        <w:pBdr>
          <w:bottom w:val="single" w:color="D1D5DB" w:sz="4" w:space="4"/>
        </w:pBdr>
        <w:spacing w:after="140" w:before="280"/>
      </w:pPr>
      <w:r>
        <w:t xml:space="preserve">Snapshot</w:t>
      </w:r>
    </w:p>
    <w:p>
      <w:pPr>
        <w:pStyle w:val="ListParagraph"/>
        <w:numPr>
          <w:ilvl w:val="0"/>
          <w:numId w:val="1"/>
        </w:numPr>
        <w:spacing w:after="80"/>
      </w:pPr>
      <w:r>
        <w:t xml:space="preserve">KCB Group Plc is a non-operating holding company and East Africa's largest bank by assets, headquartered in Nairobi and listed on the Nairobi Securities Exchange (NSE: KCB) with roughly 193,981 individual and institutional shareholders as of end-2025. It operates KCB Bank Kenya plus regional banking units in Tanzania, Uganda, Rwanda, Burundi, South Sudan and DR Congo (via Trust Merchant Bank), alongside non-bank subsidiaries — KCB Insurance Agency, KCB Investment Bank, KCB Asset Management, KCB Capital and KCB Foundation. Led by Group CEO Paul Russo under Chairman Joseph Kinyua.</w:t>
      </w:r>
    </w:p>
    <w:p>
      <w:pPr>
        <w:pStyle w:val="Heading1"/>
        <w:pBdr>
          <w:bottom w:val="single" w:color="D1D5DB" w:sz="4" w:space="4"/>
        </w:pBdr>
        <w:spacing w:after="140" w:before="280"/>
      </w:pPr>
      <w:r>
        <w:t xml:space="preserve">Why Now</w:t>
      </w:r>
    </w:p>
    <w:p>
      <w:pPr>
        <w:pStyle w:val="ListParagraph"/>
        <w:numPr>
          <w:ilvl w:val="0"/>
          <w:numId w:val="1"/>
        </w:numPr>
        <w:spacing w:after="80"/>
      </w:pPr>
      <w:r>
        <w:t xml:space="preserve">H1 2026 (reported 12 Aug 2026): profit before tax up 20.8% to KSh 49.3bn; net profit after tax KSh 36.87bn (some reporting: Sh36.1bn), up ~14–14.5% y/y; interim dividend raised to KSh 3/share (from KSh 2 a year earlier). </w:t>
      </w:r>
      <w:r>
        <w:rPr>
          <w:b/>
          <w:bCs/>
        </w:rPr>
        <w:t xml:space="preserve">See Regulatory &amp; Macro Cross-Check below — this headline understates a weaker relative story.</w:t>
      </w:r>
    </w:p>
    <w:p>
      <w:pPr>
        <w:pStyle w:val="ListParagraph"/>
        <w:numPr>
          <w:ilvl w:val="0"/>
          <w:numId w:val="1"/>
        </w:numPr>
        <w:spacing w:after="80"/>
      </w:pPr>
      <w:r>
        <w:t xml:space="preserve">Mobile loan disbursements up 25% to KSh 314bn in H1 2026; continued agency-banking expansion across Kenya, Tanzania, Uganda and Rwanda; launched MoFaya, a mobile money/lending joint venture with MTN, in Rwanda.</w:t>
      </w:r>
    </w:p>
    <w:p>
      <w:pPr>
        <w:pStyle w:val="ListParagraph"/>
        <w:numPr>
          <w:ilvl w:val="0"/>
          <w:numId w:val="1"/>
        </w:numPr>
        <w:spacing w:after="80"/>
      </w:pPr>
      <w:r>
        <w:t xml:space="preserve">Ethiopia entry is live but contested: KCB has narrowed to a target entity and is targeting entry before end of 2026, but more recent reporting (Africa Report, 2026) describes the process as having "hit roadblocks over share pricing and foreign stake caps." CEO Paul Russo has said KCB is still "evaluating how to navigate" Ethiopia's 49% foreign-ownership ceiling — this is an open structuring problem, not a done deal.</w:t>
      </w:r>
    </w:p>
    <w:p>
      <w:pPr>
        <w:pStyle w:val="ListParagraph"/>
        <w:numPr>
          <w:ilvl w:val="0"/>
          <w:numId w:val="1"/>
        </w:numPr>
        <w:spacing w:after="80"/>
      </w:pPr>
      <w:r>
        <w:t xml:space="preserve">KCB has fresh capital available for that deployment: it completed the sale of National Bank of Kenya (NBK) to Nigeria's Access Bank on 30 May 2025 for KSh15.8bn, booking a KSh3.1bn gain — capital rotated out of a legacy domestic asset right as the Ethiopia structuring question sits unresolved.</w:t>
      </w:r>
    </w:p>
    <w:p>
      <w:pPr>
        <w:pStyle w:val="ListParagraph"/>
        <w:numPr>
          <w:ilvl w:val="0"/>
          <w:numId w:val="1"/>
        </w:numPr>
        <w:spacing w:after="80"/>
      </w:pPr>
      <w:r>
        <w:t xml:space="preserve">KCB is launching a 5-year, KSh300bn sustainability bond (medium-term note) programme, first tranche expected October 2026, subject to regulatory approval — a live, dated primary-market event, not a hypothetical need.</w:t>
      </w:r>
    </w:p>
    <w:p>
      <w:pPr>
        <w:pStyle w:val="ListParagraph"/>
        <w:numPr>
          <w:ilvl w:val="0"/>
          <w:numId w:val="1"/>
        </w:numPr>
        <w:spacing w:after="80"/>
      </w:pPr>
      <w:r>
        <w:t xml:space="preserve">DRC subsidiary Trust Merchant Bank (TMB) faced a Banque Centrale du Congo order requiring 45% local ownership by end-2026 (risking a forced ~30% stake sale, ~$388m combined with Equity's equivalent DRC exposure). KCB and Equity have since secured exemptions and retained their 85% stakes — but TMB's own NPL ratio rose from 11.8% to 15.3% over the same window (Q1 2026). The ownership fight was won; the asset it was fought over is deteriorating.</w:t>
      </w:r>
    </w:p>
    <w:p>
      <w:pPr>
        <w:pStyle w:val="Heading1"/>
        <w:pBdr>
          <w:bottom w:val="single" w:color="D1D5DB" w:sz="4" w:space="4"/>
        </w:pBdr>
        <w:spacing w:after="140" w:before="280"/>
      </w:pPr>
      <w:r>
        <w:t xml:space="preserve">Sector Context</w:t>
      </w:r>
    </w:p>
    <w:p>
      <w:pPr>
        <w:pStyle w:val="ListParagraph"/>
        <w:numPr>
          <w:ilvl w:val="0"/>
          <w:numId w:val="1"/>
        </w:numPr>
        <w:spacing w:after="80"/>
      </w:pPr>
      <w:r>
        <w:t xml:space="preserve">CBK has cut its benchmark rate 10 consecutive times, to 8.75% (10 Feb 2026) from a 12-year high of 13% (June 2024); inflation ~4.4%, within the 2.5–7.5% target band — though see quality-of-earnings note below on re-emerging inflation risk.</w:t>
      </w:r>
    </w:p>
    <w:p>
      <w:pPr>
        <w:pStyle w:val="ListParagraph"/>
        <w:numPr>
          <w:ilvl w:val="0"/>
          <w:numId w:val="1"/>
        </w:numPr>
        <w:spacing w:after="80"/>
      </w:pPr>
      <w:r>
        <w:t xml:space="preserve">Average commercial lending rates fell to ~14.3% (July 2026) from 17.2% (Nov 2024), with wide pass-through variance across banks.</w:t>
      </w:r>
    </w:p>
    <w:p>
      <w:pPr>
        <w:pStyle w:val="ListParagraph"/>
        <w:numPr>
          <w:ilvl w:val="0"/>
          <w:numId w:val="1"/>
        </w:numPr>
        <w:spacing w:after="80"/>
      </w:pPr>
      <w:r>
        <w:t xml:space="preserve">CBK is shifting the sector to risk-based, supervision-led pricing and has opened consultation on Domestic Systemically Important Bank (D-SIB) status with added capital requirements — KCB, as the largest bank by assets, is a likely candidate (CBK proposal reported 13 Sep 2026).</w:t>
      </w:r>
    </w:p>
    <w:p>
      <w:pPr>
        <w:pStyle w:val="ListParagraph"/>
        <w:numPr>
          <w:ilvl w:val="0"/>
          <w:numId w:val="1"/>
        </w:numPr>
        <w:spacing w:after="80"/>
      </w:pPr>
      <w:r>
        <w:t xml:space="preserve">Group NPL ratio improved to 16.9% in 2025 from 19.2% — genuine improvement, but still close to 1-in-6 loans non-performing, with downgrades concentrated in real estate, agriculture and construction — three lines that read as diversified in a sector table but are functionally correlated (agri-lending is land-collateralized; construction demand tracks real estate). A single land-price or drought shock hits all three at once.</w:t>
      </w:r>
    </w:p>
    <w:p>
      <w:pPr>
        <w:pStyle w:val="Heading1"/>
        <w:pBdr>
          <w:bottom w:val="single" w:color="D1D5DB" w:sz="4" w:space="4"/>
        </w:pBdr>
        <w:spacing w:after="140" w:before="280"/>
      </w:pPr>
      <w:r>
        <w:t xml:space="preserve">Regulatory &amp; Macro Cross-Check</w:t>
      </w:r>
    </w:p>
    <w:p>
      <w:pPr>
        <w:spacing w:after="100"/>
      </w:pPr>
      <w:r>
        <w:rPr>
          <w:b/>
          <w:bCs/>
        </w:rPr>
        <w:t xml:space="preserve">Sovereign trajectory &amp; linkage — proven, not inferred.</w:t>
      </w:r>
      <w:r>
        <w:t xml:space="preserve"> Kenya's Moody's rating: B2 (2021) → downgraded to B3 (2023) → downgraded further to Caa1 (Jul 2024, the finance-bill/debt-distress year) → affirmed Caa1 (Jan 2025) → upgraded to B3 (27 Jan 2026, outlook moved to *stable*, not positive) — recovery, not a clean bill of health; still a notch below the 2021 level. On 9 Feb 2026, Moody's moved </w:t>
      </w:r>
      <w:r>
        <w:rPr>
          <w:b/>
          <w:bCs/>
        </w:rPr>
        <w:t xml:space="preserve">KCB's own long-term deposit rating from Caa1 to B3</w:t>
      </w:r>
      <w:r>
        <w:t xml:space="preserve"> in lockstep with Co-op Bank and Equity, explicitly citing the sovereign action. This is direct evidence — not an assumption — that KCB's credit rating is sovereign-ceiling-bound: if Kenya's rating reverses, KCB's does too, regardless of KCB's own loan-book performance. Moody's own upgrade note still flags Kenya's profile as constrained by "weak debt affordability, elevated interest costs and limited progress on fiscal consolidation." There is currently no confirmed active IMF program (the prior ECF/EFF lapsed April 2025; a successor is still under discussion) — a thinner external backstop than 2021–2024 if a shock hits.</w:t>
      </w:r>
    </w:p>
    <w:p>
      <w:pPr>
        <w:spacing w:after="100"/>
      </w:pPr>
      <w:r>
        <w:rPr>
          <w:b/>
          <w:bCs/>
        </w:rPr>
        <w:t xml:space="preserve">Peer-adjusted read — the "strong half" is bottom-of-peer-group.</w:t>
      </w:r>
      <w:r>
        <w:t xml:space="preserve"> Set KCB's H1 2026 net profit growth against direct listed peers for the same period: DTB +34.1%, Equity +31.5%, Co-operative Bank +28%, I&amp;M +20%, </w:t>
      </w:r>
      <w:r>
        <w:rPr>
          <w:b/>
          <w:bCs/>
        </w:rPr>
        <w:t xml:space="preserve">KCB +14.5%</w:t>
      </w:r>
      <w:r>
        <w:t xml:space="preserve">, NCBA +12.2%. KCB is second-lowest of six. Commentary on the sector (Bizna Kenya) attributes the spread directly to balance-sheet posture: banks that deployed more aggressively and diversified income captured more upside, while "conservative, liquidity-heavy institutions saw earnings growth stall." KCB's liquidity ratio — 46.7% against a 20% CBK statutory minimum, more than double the requirement — fits that description precisely. Worth asking directly: is that excess liquidity deliberate positioning ahead of the Ethiopia deployment (see Why Now), or genuine caution about extending further into a book where real estate/agriculture/construction NPLs are still rising? Those imply different conversations.</w:t>
      </w:r>
    </w:p>
    <w:p>
      <w:pPr>
        <w:spacing w:after="100"/>
      </w:pPr>
      <w:r>
        <w:rPr>
          <w:b/>
          <w:bCs/>
        </w:rPr>
        <w:t xml:space="preserve">Regulator vs. independent read — a citable gap.</w:t>
      </w:r>
      <w:r>
        <w:t xml:space="preserve"> CBK's own 2026 current-account-deficit projection is ~3% of GDP, with reserves near record highs (~$15.25bn, 6.3 months import cover vs. a 4-month statutory floor) and a "stable" shilling (~KSh129.47). The World Bank's own, independent estimate for the same period is a </w:t>
      </w:r>
      <w:r>
        <w:rPr>
          <w:b/>
          <w:bCs/>
        </w:rPr>
        <w:t xml:space="preserve">4.3% of GDP</w:t>
      </w:r>
      <w:r>
        <w:t xml:space="preserve"> deficit — meaningfully wider, driven by weaker exports and Gulf remittance disruption. If the wider number is closer to right, reserve-drawdown and shilling-stability risk over the next 12–18 months are less settled than CBK's own communications imply — which flows through to KCB via funding costs and FX-denominated obligations, not just the sovereign.</w:t>
      </w:r>
    </w:p>
    <w:p>
      <w:pPr>
        <w:spacing w:after="100"/>
      </w:pPr>
      <w:r>
        <w:rPr>
          <w:b/>
          <w:bCs/>
        </w:rPr>
        <w:t xml:space="preserve">Quality-of-earnings check.</w:t>
      </w:r>
      <w:r>
        <w:t xml:space="preserve"> Every source on H1 2026 sector profit growth — KCB's own reporting included — attributes it to falling funding costs from CBK's 10 straight rate cuts, layered on genuinely improving real GDP growth (5.3% Q1 2026 vs 4.9% a year earlier). But sector commentary explicitly flags inflation as "re-emerging" — the one variable that stops or reverses the cutting cycle. None of KCB's own investor messaging (PBT growth, raised dividend) carries that sensitivity forward. A meaningful share of reported profit growth is monetary-cycle timing, not structural improvement, and it reverses the moment inflation forces CBK's hand.</w:t>
      </w:r>
    </w:p>
    <w:p>
      <w:pPr>
        <w:spacing w:after="100"/>
      </w:pPr>
      <w:r>
        <w:rPr>
          <w:b/>
          <w:bCs/>
        </w:rPr>
        <w:t xml:space="preserve">What couldn't be verified.</w:t>
      </w:r>
      <w:r>
        <w:t xml:space="preserve"> TMB's (DRC) standalone capital adequacy ratio is not in public sources — only the Group-consolidated 22.3% total-capital/RWA figure (vs. a 14.5% CBK minimum), which structurally cannot show a subsidiary-level shortfall even if one exists. The CBK Credit Officer Survey for the quarter ended June 2026 is published but its findings were not retrievable from public search — worth checking directly before the meeting. The most recent full CBK Financial Sector Stability Report is the 2024 edition (data through H1 2025); no 2025/2026 edition is out yet, so there is no fresher official systemic-risk read than a year stale, even as sovereign, NPL and capital dynamics are moving.</w:t>
      </w:r>
    </w:p>
    <w:p>
      <w:pPr>
        <w:pStyle w:val="Heading1"/>
        <w:pBdr>
          <w:bottom w:val="single" w:color="D1D5DB" w:sz="4" w:space="4"/>
        </w:pBdr>
        <w:spacing w:after="140" w:before="280"/>
      </w:pPr>
      <w:r>
        <w:t xml:space="preserve">Origination Angles</w:t>
      </w:r>
    </w:p>
    <w:p>
      <w:pPr>
        <w:pStyle w:val="ListParagraph"/>
        <w:numPr>
          <w:ilvl w:val="0"/>
          <w:numId w:val="2"/>
        </w:numPr>
        <w:spacing w:after="100"/>
      </w:pPr>
      <w:r>
        <w:t xml:space="preserve">Ethiopia entry structuring around the 49% foreign-ownership cap — rationale: this is a live, publicly acknowledged structuring problem (Russo: "evaluating how to navigate" the cap), not a simple majority acquisition, and KCB already has freed-up capital from the NBK sale sitting available. Fits: minority-stake/associate structuring, a subordinated or convertible instrument, or a shareholder-loan structure that provides economic exposure beyond a 49% equity ceiling.</w:t>
      </w:r>
    </w:p>
    <w:p>
      <w:pPr>
        <w:pStyle w:val="ListParagraph"/>
        <w:numPr>
          <w:ilvl w:val="0"/>
          <w:numId w:val="2"/>
        </w:numPr>
        <w:spacing w:after="100"/>
      </w:pPr>
      <w:r>
        <w:t xml:space="preserve">Arranger/investor role in the KSh300bn sustainability bond programme — rationale: a live, dated, near-term primary-market event (first tranche October 2026, subject to regulatory approval), not a hypothetical future need. Fits: bookrunner/arranger mandate, anchor investment, or ESG-linked structuring advice.</w:t>
      </w:r>
    </w:p>
    <w:p>
      <w:pPr>
        <w:pStyle w:val="ListParagraph"/>
        <w:numPr>
          <w:ilvl w:val="0"/>
          <w:numId w:val="2"/>
        </w:numPr>
        <w:spacing w:after="100"/>
      </w:pPr>
      <w:r>
        <w:t xml:space="preserve">Portfolio risk-sharing or trade/working-capital support tied to TMB (DRC) — rationale: KCB just fought to retain its 85% TMB stake via a regulatory exemption, but TMB's NPL ratio is deteriorating (11.8% → 15.3%), and Group correspondent-banking capacity is likely the binding constraint on TMB's DRC corporate clients. Fits: synthetic securitization / credit-risk-transfer structure on the TMB book, or a trade-finance facility routed through Group correspondent capacity.</w:t>
      </w:r>
    </w:p>
    <w:p>
      <w:pPr>
        <w:pStyle w:val="Heading1"/>
        <w:pBdr>
          <w:bottom w:val="single" w:color="D1D5DB" w:sz="4" w:space="4"/>
        </w:pBdr>
        <w:spacing w:after="140" w:before="280"/>
      </w:pPr>
      <w:r>
        <w:t xml:space="preserve">Talking Points</w:t>
      </w:r>
    </w:p>
    <w:p>
      <w:pPr>
        <w:pStyle w:val="ListParagraph"/>
        <w:numPr>
          <w:ilvl w:val="0"/>
          <w:numId w:val="1"/>
        </w:numPr>
        <w:spacing w:after="80"/>
      </w:pPr>
      <w:r>
        <w:t xml:space="preserve">Opening line: "The half looks strong on PBT, but on a peer-adjusted basis KCB's net profit growth was second-lowest among the major listed banks this half — is that a deliberate capital-conservation call ahead of Ethiopia, or caution on the loan book?"</w:t>
      </w:r>
    </w:p>
    <w:p>
      <w:pPr>
        <w:pStyle w:val="ListParagraph"/>
        <w:numPr>
          <w:ilvl w:val="0"/>
          <w:numId w:val="1"/>
        </w:numPr>
        <w:spacing w:after="80"/>
      </w:pPr>
      <w:r>
        <w:t xml:space="preserve">Question that shows sector fluency: "Moody's moved your own deposit rating in lockstep with the sovereign upgrade in February — how does the Group think about that sovereign-ceiling exposure in its own capital planning, separate from the D-SIB consultation?"</w:t>
      </w:r>
    </w:p>
    <w:p>
      <w:pPr>
        <w:pStyle w:val="ListParagraph"/>
        <w:numPr>
          <w:ilvl w:val="0"/>
          <w:numId w:val="1"/>
        </w:numPr>
        <w:spacing w:after="80"/>
      </w:pPr>
      <w:r>
        <w:t xml:space="preserve">Differentiating point: "With NBK proceeds sitting available and the Ethiopia structure still unresolved on the 49% cap, we're keen to talk through instruments that get you economic exposure now without waiting on that ceiling to be resolved."</w:t>
      </w:r>
    </w:p>
    <w:p>
      <w:pPr>
        <w:pStyle w:val="Heading1"/>
        <w:pBdr>
          <w:bottom w:val="single" w:color="D1D5DB" w:sz="4" w:space="4"/>
        </w:pBdr>
        <w:spacing w:after="140" w:before="280"/>
      </w:pPr>
      <w:r>
        <w:t xml:space="preserve">Open Questions / Things to Verify Live</w:t>
      </w:r>
    </w:p>
    <w:p>
      <w:pPr>
        <w:pStyle w:val="ListParagraph"/>
        <w:numPr>
          <w:ilvl w:val="0"/>
          <w:numId w:val="1"/>
        </w:numPr>
        <w:spacing w:after="80"/>
      </w:pPr>
      <w:r>
        <w:t xml:space="preserve">TMB's (DRC) standalone capital adequacy ratio — not disclosed publicly; the Group-consolidated 22.3% figure cannot confirm or rule out a subsidiary-level shortfall.</w:t>
      </w:r>
    </w:p>
    <w:p>
      <w:pPr>
        <w:pStyle w:val="ListParagraph"/>
        <w:numPr>
          <w:ilvl w:val="0"/>
          <w:numId w:val="1"/>
        </w:numPr>
        <w:spacing w:after="80"/>
      </w:pPr>
      <w:r>
        <w:t xml:space="preserve">Findings of the CBK Credit Officer Survey for Q2 2026 (published, not retrievable via public search) — check directly before the meeting.</w:t>
      </w:r>
    </w:p>
    <w:p>
      <w:pPr>
        <w:pStyle w:val="ListParagraph"/>
        <w:numPr>
          <w:ilvl w:val="0"/>
          <w:numId w:val="1"/>
        </w:numPr>
        <w:spacing w:after="80"/>
      </w:pPr>
      <w:r>
        <w:t xml:space="preserve">Whether KCB's structuring approach to the Ethiopia 49% cap has firmed up since the last public reporting (share pricing and stake-cap disputes were still unresolved as of the most recent coverage).</w:t>
      </w:r>
    </w:p>
    <w:p>
      <w:pPr>
        <w:pStyle w:val="ListParagraph"/>
        <w:numPr>
          <w:ilvl w:val="0"/>
          <w:numId w:val="1"/>
        </w:numPr>
        <w:spacing w:after="80"/>
      </w:pPr>
      <w:r>
        <w:t xml:space="preserve">Whether the meeting counterpart sits on the Kenya balance sheet or a regional subsidiary, to tailor the angle correctly.</w:t>
      </w:r>
    </w:p>
    <w:p>
      <w:pPr>
        <w:pStyle w:val="Heading1"/>
        <w:pBdr>
          <w:bottom w:val="single" w:color="D1D5DB" w:sz="4" w:space="4"/>
        </w:pBdr>
        <w:spacing w:after="140" w:before="280"/>
      </w:pPr>
      <w:r>
        <w:t xml:space="preserve">Sources</w:t>
      </w:r>
    </w:p>
    <w:p>
      <w:pPr>
        <w:pStyle w:val="ListParagraph"/>
        <w:numPr>
          <w:ilvl w:val="0"/>
          <w:numId w:val="1"/>
        </w:numPr>
        <w:spacing w:after="80"/>
      </w:pPr>
      <w:r>
        <w:t xml:space="preserve">The Kenyan Wallstreet, "KCB Q1 2026 Results: Profit Rises as Funding Costs Fall" (2026) — </w:t>
      </w:r>
      <w:hyperlink w:history="1" r:id="rIdl73ta-eowambhddj37gjz">
        <w:r>
          <w:rPr>
            <w:color w:val="2563EB"/>
            <w:u w:val="single"/>
          </w:rPr>
          <w:t xml:space="preserve">https://kenyanwallstreet.com/kcb-group-q1-2026</w:t>
        </w:r>
      </w:hyperlink>
    </w:p>
    <w:p>
      <w:pPr>
        <w:pStyle w:val="ListParagraph"/>
        <w:numPr>
          <w:ilvl w:val="0"/>
          <w:numId w:val="1"/>
        </w:numPr>
        <w:spacing w:after="80"/>
      </w:pPr>
      <w:r>
        <w:t xml:space="preserve">Abojani, "KCB Group H1 2026: A Stronger Balance Sheet, 21% Rise in PBT and Higher Shareholder Returns" (12 Aug 2026) — </w:t>
      </w:r>
      <w:hyperlink w:history="1" r:id="rIdvcyvz6xlv_pyb2gfvnc7q">
        <w:r>
          <w:rPr>
            <w:color w:val="2563EB"/>
            <w:u w:val="single"/>
          </w:rPr>
          <w:t xml:space="preserve">https://www.abojani.com/kcb-group-h1-2026-a-stronger-balance-sheet-21-rise/</w:t>
        </w:r>
      </w:hyperlink>
    </w:p>
    <w:p>
      <w:pPr>
        <w:pStyle w:val="ListParagraph"/>
        <w:numPr>
          <w:ilvl w:val="0"/>
          <w:numId w:val="1"/>
        </w:numPr>
        <w:spacing w:after="80"/>
      </w:pPr>
      <w:r>
        <w:t xml:space="preserve">capmad.com, "Kenya: KCB lifts first-half net profit by 14.2% and raises interim dividend" (2026) — </w:t>
      </w:r>
      <w:hyperlink w:history="1" r:id="rIdgyyjryvcc-rvbr-imlzre">
        <w:r>
          <w:rPr>
            <w:color w:val="2563EB"/>
            <w:u w:val="single"/>
          </w:rPr>
          <w:t xml:space="preserve">https://www.capmad.com/post/kenya-kcb-lifts-firsthalf-net-profit-by-142-and-raises-interim-dividend</w:t>
        </w:r>
      </w:hyperlink>
    </w:p>
    <w:p>
      <w:pPr>
        <w:pStyle w:val="ListParagraph"/>
        <w:numPr>
          <w:ilvl w:val="0"/>
          <w:numId w:val="1"/>
        </w:numPr>
        <w:spacing w:after="80"/>
      </w:pPr>
      <w:r>
        <w:t xml:space="preserve">The EastAfrican, "KCB identifies entity for 2026 Ethiopia entry" (2026) — </w:t>
      </w:r>
      <w:hyperlink w:history="1" r:id="rIdfqlhz5pi_daohgpj_xcj6">
        <w:r>
          <w:rPr>
            <w:color w:val="2563EB"/>
            <w:u w:val="single"/>
          </w:rPr>
          <w:t xml:space="preserve">https://www.theeastafrican.co.ke/tea/business-tech/kcb-identifies-entity-for-2026-ethiopia-entry-5390844</w:t>
        </w:r>
      </w:hyperlink>
    </w:p>
    <w:p>
      <w:pPr>
        <w:pStyle w:val="ListParagraph"/>
        <w:numPr>
          <w:ilvl w:val="0"/>
          <w:numId w:val="1"/>
        </w:numPr>
        <w:spacing w:after="80"/>
      </w:pPr>
      <w:r>
        <w:t xml:space="preserve">The Africa Report, "KCB's Ethiopia expansion hits roadblocks over share pricing and foreign stake caps" (2026) — </w:t>
      </w:r>
      <w:hyperlink w:history="1" r:id="rIdvwmzuaj1trgj8ohnzqanf">
        <w:r>
          <w:rPr>
            <w:color w:val="2563EB"/>
            <w:u w:val="single"/>
          </w:rPr>
          <w:t xml:space="preserve">https://www.theafricareport.com/388279/kcbs-ethiopia-expansion-hits-roadblocks-over-share-pricing-and-foreign-stake-caps/</w:t>
        </w:r>
      </w:hyperlink>
    </w:p>
    <w:p>
      <w:pPr>
        <w:pStyle w:val="ListParagraph"/>
        <w:numPr>
          <w:ilvl w:val="0"/>
          <w:numId w:val="1"/>
        </w:numPr>
        <w:spacing w:after="80"/>
      </w:pPr>
      <w:r>
        <w:t xml:space="preserve">The Africa Report, "KCB's Russo 'eager to play' in Ethiopian market, despite 49% cap on foreign banks" (2026) — </w:t>
      </w:r>
      <w:hyperlink w:history="1" r:id="rId9ala33w-5agwty4rwvrz4">
        <w:r>
          <w:rPr>
            <w:color w:val="2563EB"/>
            <w:u w:val="single"/>
          </w:rPr>
          <w:t xml:space="preserve">https://www.theafricareport.com/382925/kcbs-russo-eager-to-play-in-ethiopian-market-despite-49-cap-on-foreign-banks/</w:t>
        </w:r>
      </w:hyperlink>
    </w:p>
    <w:p>
      <w:pPr>
        <w:pStyle w:val="ListParagraph"/>
        <w:numPr>
          <w:ilvl w:val="0"/>
          <w:numId w:val="1"/>
        </w:numPr>
        <w:spacing w:after="80"/>
      </w:pPr>
      <w:r>
        <w:t xml:space="preserve">KCB Group / Access Bank, "KCB Group Plc &amp; Access Bank Plc Complete National Bank of Kenya (NBK) Transaction" — </w:t>
      </w:r>
      <w:hyperlink w:history="1" r:id="rIdkll2hwkm7naizhuejbqpa">
        <w:r>
          <w:rPr>
            <w:color w:val="2563EB"/>
            <w:u w:val="single"/>
          </w:rPr>
          <w:t xml:space="preserve">https://www.nationalbank.co.ke/about-us/newsroom/kcb-group-plc-access-bank-plc-complete-national-bank-of-kenya-nbk-transaction</w:t>
        </w:r>
      </w:hyperlink>
    </w:p>
    <w:p>
      <w:pPr>
        <w:pStyle w:val="ListParagraph"/>
        <w:numPr>
          <w:ilvl w:val="0"/>
          <w:numId w:val="1"/>
        </w:numPr>
        <w:spacing w:after="80"/>
      </w:pPr>
      <w:r>
        <w:t xml:space="preserve">Business Daily, "KCB Group books Sh3.1bn gain from sale of National Bank" — </w:t>
      </w:r>
      <w:hyperlink w:history="1" r:id="rIdwig98xfkhnyw3bhrry2-z">
        <w:r>
          <w:rPr>
            <w:color w:val="2563EB"/>
            <w:u w:val="single"/>
          </w:rPr>
          <w:t xml:space="preserve">https://www.businessdailyafrica.com/bd/corporate/companies/kcb-group-books-sh3-1bn-gain-from-sale-of-national-bank-5391882</w:t>
        </w:r>
      </w:hyperlink>
    </w:p>
    <w:p>
      <w:pPr>
        <w:pStyle w:val="ListParagraph"/>
        <w:numPr>
          <w:ilvl w:val="0"/>
          <w:numId w:val="1"/>
        </w:numPr>
        <w:spacing w:after="80"/>
      </w:pPr>
      <w:r>
        <w:t xml:space="preserve">Rio Times, "KCB Sh300 Billion Sustainability Bond Programme in October 2026" — </w:t>
      </w:r>
      <w:hyperlink w:history="1" r:id="rIdemwj0kzkp4oneqqtedfxn">
        <w:r>
          <w:rPr>
            <w:color w:val="2563EB"/>
            <w:u w:val="single"/>
          </w:rPr>
          <w:t xml:space="preserve">https://www.riotimesonline.com/kcb-sh300-billion-sustainability-bond-october-2026/</w:t>
        </w:r>
      </w:hyperlink>
    </w:p>
    <w:p>
      <w:pPr>
        <w:pStyle w:val="ListParagraph"/>
        <w:numPr>
          <w:ilvl w:val="0"/>
          <w:numId w:val="1"/>
        </w:numPr>
        <w:spacing w:after="80"/>
      </w:pPr>
      <w:r>
        <w:t xml:space="preserve">Digital Banking News, "Equity Group, KCB Secure DRC Banking Rule Exemptions, Retain Stakes in Subsidiaries" — </w:t>
      </w:r>
      <w:hyperlink w:history="1" r:id="rIdernohysy4y6adnc11umij">
        <w:r>
          <w:rPr>
            <w:color w:val="2563EB"/>
            <w:u w:val="single"/>
          </w:rPr>
          <w:t xml:space="preserve">https://digitalbankingnews.co.ke/equity-group-kcb-secure-drc-banking-rule-exemptions-retain-stakes-in-subsidiaries/</w:t>
        </w:r>
      </w:hyperlink>
    </w:p>
    <w:p>
      <w:pPr>
        <w:pStyle w:val="ListParagraph"/>
        <w:numPr>
          <w:ilvl w:val="0"/>
          <w:numId w:val="1"/>
        </w:numPr>
        <w:spacing w:after="80"/>
      </w:pPr>
      <w:r>
        <w:t xml:space="preserve">Finance in Africa, "Kenya's banking giants face $388M divestment as the DRC demands local ownership" — </w:t>
      </w:r>
      <w:hyperlink w:history="1" r:id="rIds17dqtj1s_jvhkkzq4jof">
        <w:r>
          <w:rPr>
            <w:color w:val="2563EB"/>
            <w:u w:val="single"/>
          </w:rPr>
          <w:t xml:space="preserve">https://financeinafrica.com/news/kenyas-banking-388m-divestment-drc/</w:t>
        </w:r>
      </w:hyperlink>
    </w:p>
    <w:p>
      <w:pPr>
        <w:pStyle w:val="ListParagraph"/>
        <w:numPr>
          <w:ilvl w:val="0"/>
          <w:numId w:val="1"/>
        </w:numPr>
        <w:spacing w:after="80"/>
      </w:pPr>
      <w:r>
        <w:t xml:space="preserve">Financial Afrik, "Moody's upgrades Kenya's sovereign rating to 'B3', driven by strengthening foreign exchange reserves" (31 Jan 2026) — </w:t>
      </w:r>
      <w:hyperlink w:history="1" r:id="rIdmlj4hnkofhzl3za3olg20">
        <w:r>
          <w:rPr>
            <w:color w:val="2563EB"/>
            <w:u w:val="single"/>
          </w:rPr>
          <w:t xml:space="preserve">https://www.financialafrik.com/en/2026/01/31/moodys-upgrades-kenyas-sovereign-rating-to-b3-driven-by-strengthening-foreign-exchange-reserves/</w:t>
        </w:r>
      </w:hyperlink>
    </w:p>
    <w:p>
      <w:pPr>
        <w:pStyle w:val="ListParagraph"/>
        <w:numPr>
          <w:ilvl w:val="0"/>
          <w:numId w:val="1"/>
        </w:numPr>
        <w:spacing w:after="80"/>
      </w:pPr>
      <w:r>
        <w:t xml:space="preserve">Kenyan Wallstreet (X/Twitter), Moody's Kenya sovereign rating history — </w:t>
      </w:r>
      <w:hyperlink w:history="1" r:id="rIda3mrdrbovn0gljc4ywbo_">
        <w:r>
          <w:rPr>
            <w:color w:val="2563EB"/>
            <w:u w:val="single"/>
          </w:rPr>
          <w:t xml:space="preserve">https://x.com/kenyanwalstreet/status/2016396990104359310</w:t>
        </w:r>
      </w:hyperlink>
    </w:p>
    <w:p>
      <w:pPr>
        <w:pStyle w:val="ListParagraph"/>
        <w:numPr>
          <w:ilvl w:val="0"/>
          <w:numId w:val="1"/>
        </w:numPr>
        <w:spacing w:after="80"/>
      </w:pPr>
      <w:r>
        <w:t xml:space="preserve">The Star, "Moody's upgrades outlook for Kenyan banks on interest rates fall" (9 Feb 2026) — </w:t>
      </w:r>
      <w:hyperlink w:history="1" r:id="rIdm2jxxddg3b7l47s1_xbo4">
        <w:r>
          <w:rPr>
            <w:color w:val="2563EB"/>
            <w:u w:val="single"/>
          </w:rPr>
          <w:t xml:space="preserve">https://www.the-star.co.ke/business/2026-02-09-moodys-upgrades-outlook-for-kenyan-banks-on-interest-rates-fall</w:t>
        </w:r>
      </w:hyperlink>
    </w:p>
    <w:p>
      <w:pPr>
        <w:pStyle w:val="ListParagraph"/>
        <w:numPr>
          <w:ilvl w:val="0"/>
          <w:numId w:val="1"/>
        </w:numPr>
        <w:spacing w:after="80"/>
      </w:pPr>
      <w:r>
        <w:t xml:space="preserve">Bizna Kenya, "Is the strong H1 performance by banking sector sustainable?" (2026) — </w:t>
      </w:r>
      <w:hyperlink w:history="1" r:id="rIdkv5zy_j3m2vqkadaw0cnw">
        <w:r>
          <w:rPr>
            <w:color w:val="2563EB"/>
            <w:u w:val="single"/>
          </w:rPr>
          <w:t xml:space="preserve">https://biznakenya.com/strong-h1-banking-sector-performance-sustainable/</w:t>
        </w:r>
      </w:hyperlink>
    </w:p>
    <w:p>
      <w:pPr>
        <w:pStyle w:val="ListParagraph"/>
        <w:numPr>
          <w:ilvl w:val="0"/>
          <w:numId w:val="1"/>
        </w:numPr>
        <w:spacing w:after="80"/>
      </w:pPr>
      <w:r>
        <w:t xml:space="preserve">Business Daily, "Why World Bank sees new Kenya's forex reserves pressure" (2026) — </w:t>
      </w:r>
      <w:hyperlink w:history="1" r:id="rIdlzbl1gf3s6elawxjeqdwg">
        <w:r>
          <w:rPr>
            <w:color w:val="2563EB"/>
            <w:u w:val="single"/>
          </w:rPr>
          <w:t xml:space="preserve">https://www.businessdailyafrica.com/bd/markets/currencies/why-world-bank-sees-new-kenya-s-forex-reserves-pressure-5516384</w:t>
        </w:r>
      </w:hyperlink>
    </w:p>
    <w:p>
      <w:pPr>
        <w:pStyle w:val="ListParagraph"/>
        <w:numPr>
          <w:ilvl w:val="0"/>
          <w:numId w:val="1"/>
        </w:numPr>
        <w:spacing w:after="80"/>
      </w:pPr>
      <w:r>
        <w:t xml:space="preserve">The Star, "Kenya's forex reserves set for record Sh2.1 trillion as CBK strengthens Shilling defence" (16 Jul 2026) — </w:t>
      </w:r>
      <w:hyperlink w:history="1" r:id="rIdpgyis6jqgx4xauudrjhrj">
        <w:r>
          <w:rPr>
            <w:color w:val="2563EB"/>
            <w:u w:val="single"/>
          </w:rPr>
          <w:t xml:space="preserve">https://www.the-star.co.ke/business/kenya/2026-07-16-kenyas-forex-reserves-set-for-record-sh21-trillion</w:t>
        </w:r>
      </w:hyperlink>
    </w:p>
    <w:p>
      <w:pPr>
        <w:pStyle w:val="ListParagraph"/>
        <w:numPr>
          <w:ilvl w:val="0"/>
          <w:numId w:val="1"/>
        </w:numPr>
        <w:spacing w:after="80"/>
      </w:pPr>
      <w:r>
        <w:t xml:space="preserve">TechTrendsKE, "CBK proposes additional capital and supervision requirements for Kenya's biggest banking institutions" (13 Sep 2026) — </w:t>
      </w:r>
      <w:hyperlink w:history="1" r:id="rIdpnxlila0xv053pk0xyw7k">
        <w:r>
          <w:rPr>
            <w:color w:val="2563EB"/>
            <w:u w:val="single"/>
          </w:rPr>
          <w:t xml:space="preserve">https://techtrendske.co.ke/2026/09/13/cbk-systemically-important-banks-framework-kenya/</w:t>
        </w:r>
      </w:hyperlink>
    </w:p>
    <w:p>
      <w:pPr>
        <w:pStyle w:val="ListParagraph"/>
        <w:numPr>
          <w:ilvl w:val="0"/>
          <w:numId w:val="1"/>
        </w:numPr>
        <w:spacing w:after="80"/>
      </w:pPr>
      <w:r>
        <w:t xml:space="preserve">Central Bank of Kenya, "Kenya Financial Sector Stability Report 2024" — </w:t>
      </w:r>
      <w:hyperlink w:history="1" r:id="rIdcjn8qvoghz8wlkxfjryjx">
        <w:r>
          <w:rPr>
            <w:color w:val="2563EB"/>
            <w:u w:val="single"/>
          </w:rPr>
          <w:t xml:space="preserve">https://www.centralbank.go.ke/2025/09/05/kenya-financial-sector-stability-report-2024/</w:t>
        </w:r>
      </w:hyperlink>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l73ta-eowambhddj37gjz" Type="http://schemas.openxmlformats.org/officeDocument/2006/relationships/hyperlink" Target="https://kenyanwallstreet.com/kcb-group-q1-2026" TargetMode="External"/><Relationship Id="rIdvcyvz6xlv_pyb2gfvnc7q" Type="http://schemas.openxmlformats.org/officeDocument/2006/relationships/hyperlink" Target="https://www.abojani.com/kcb-group-h1-2026-a-stronger-balance-sheet-21-rise/" TargetMode="External"/><Relationship Id="rIdgyyjryvcc-rvbr-imlzre" Type="http://schemas.openxmlformats.org/officeDocument/2006/relationships/hyperlink" Target="https://www.capmad.com/post/kenya-kcb-lifts-firsthalf-net-profit-by-142-and-raises-interim-dividend" TargetMode="External"/><Relationship Id="rIdfqlhz5pi_daohgpj_xcj6" Type="http://schemas.openxmlformats.org/officeDocument/2006/relationships/hyperlink" Target="https://www.theeastafrican.co.ke/tea/business-tech/kcb-identifies-entity-for-2026-ethiopia-entry-5390844" TargetMode="External"/><Relationship Id="rIdvwmzuaj1trgj8ohnzqanf" Type="http://schemas.openxmlformats.org/officeDocument/2006/relationships/hyperlink" Target="https://www.theafricareport.com/388279/kcbs-ethiopia-expansion-hits-roadblocks-over-share-pricing-and-foreign-stake-caps/" TargetMode="External"/><Relationship Id="rId9ala33w-5agwty4rwvrz4" Type="http://schemas.openxmlformats.org/officeDocument/2006/relationships/hyperlink" Target="https://www.theafricareport.com/382925/kcbs-russo-eager-to-play-in-ethiopian-market-despite-49-cap-on-foreign-banks/" TargetMode="External"/><Relationship Id="rIdkll2hwkm7naizhuejbqpa" Type="http://schemas.openxmlformats.org/officeDocument/2006/relationships/hyperlink" Target="https://www.nationalbank.co.ke/about-us/newsroom/kcb-group-plc-access-bank-plc-complete-national-bank-of-kenya-nbk-transaction" TargetMode="External"/><Relationship Id="rIdwig98xfkhnyw3bhrry2-z" Type="http://schemas.openxmlformats.org/officeDocument/2006/relationships/hyperlink" Target="https://www.businessdailyafrica.com/bd/corporate/companies/kcb-group-books-sh3-1bn-gain-from-sale-of-national-bank-5391882" TargetMode="External"/><Relationship Id="rIdemwj0kzkp4oneqqtedfxn" Type="http://schemas.openxmlformats.org/officeDocument/2006/relationships/hyperlink" Target="https://www.riotimesonline.com/kcb-sh300-billion-sustainability-bond-october-2026/" TargetMode="External"/><Relationship Id="rIdernohysy4y6adnc11umij" Type="http://schemas.openxmlformats.org/officeDocument/2006/relationships/hyperlink" Target="https://digitalbankingnews.co.ke/equity-group-kcb-secure-drc-banking-rule-exemptions-retain-stakes-in-subsidiaries/" TargetMode="External"/><Relationship Id="rIds17dqtj1s_jvhkkzq4jof" Type="http://schemas.openxmlformats.org/officeDocument/2006/relationships/hyperlink" Target="https://financeinafrica.com/news/kenyas-banking-388m-divestment-drc/" TargetMode="External"/><Relationship Id="rIdmlj4hnkofhzl3za3olg20" Type="http://schemas.openxmlformats.org/officeDocument/2006/relationships/hyperlink" Target="https://www.financialafrik.com/en/2026/01/31/moodys-upgrades-kenyas-sovereign-rating-to-b3-driven-by-strengthening-foreign-exchange-reserves/" TargetMode="External"/><Relationship Id="rIda3mrdrbovn0gljc4ywbo_" Type="http://schemas.openxmlformats.org/officeDocument/2006/relationships/hyperlink" Target="https://x.com/kenyanwalstreet/status/2016396990104359310" TargetMode="External"/><Relationship Id="rIdm2jxxddg3b7l47s1_xbo4" Type="http://schemas.openxmlformats.org/officeDocument/2006/relationships/hyperlink" Target="https://www.the-star.co.ke/business/2026-02-09-moodys-upgrades-outlook-for-kenyan-banks-on-interest-rates-fall" TargetMode="External"/><Relationship Id="rIdkv5zy_j3m2vqkadaw0cnw" Type="http://schemas.openxmlformats.org/officeDocument/2006/relationships/hyperlink" Target="https://biznakenya.com/strong-h1-banking-sector-performance-sustainable/" TargetMode="External"/><Relationship Id="rIdlzbl1gf3s6elawxjeqdwg" Type="http://schemas.openxmlformats.org/officeDocument/2006/relationships/hyperlink" Target="https://www.businessdailyafrica.com/bd/markets/currencies/why-world-bank-sees-new-kenya-s-forex-reserves-pressure-5516384" TargetMode="External"/><Relationship Id="rIdpgyis6jqgx4xauudrjhrj" Type="http://schemas.openxmlformats.org/officeDocument/2006/relationships/hyperlink" Target="https://www.the-star.co.ke/business/kenya/2026-07-16-kenyas-forex-reserves-set-for-record-sh21-trillion" TargetMode="External"/><Relationship Id="rIdpnxlila0xv053pk0xyw7k" Type="http://schemas.openxmlformats.org/officeDocument/2006/relationships/hyperlink" Target="https://techtrendske.co.ke/2026/09/13/cbk-systemically-important-banks-framework-kenya/" TargetMode="External"/><Relationship Id="rIdcjn8qvoghz8wlkxfjryjx" Type="http://schemas.openxmlformats.org/officeDocument/2006/relationships/hyperlink" Target="https://www.centralbank.go.ke/2025/09/05/kenya-financial-sector-stability-report-2024/" TargetMode="External"/><Relationship Id="rId26"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2026-09-17T05:40:00.507Z</dcterms:created>
  <dcterms:modified xsi:type="dcterms:W3CDTF">2026-09-17T05:40:00.507Z</dcterms:modified>
</cp:coreProperties>
</file>

<file path=docProps/custom.xml><?xml version="1.0" encoding="utf-8"?>
<Properties xmlns="http://schemas.openxmlformats.org/officeDocument/2006/custom-properties" xmlns:vt="http://schemas.openxmlformats.org/officeDocument/2006/docPropsVTypes"/>
</file>