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52F6A">
      <w:pPr>
        <w:jc w:val="center"/>
        <w:rPr>
          <w:rFonts w:ascii="Times New Roman" w:hAnsi="Times New Roman"/>
          <w:b/>
          <w:sz w:val="32"/>
        </w:rPr>
      </w:pPr>
      <w:r>
        <w:rPr>
          <w:rFonts w:ascii="Times New Roman" w:hAnsi="Times New Roman"/>
          <w:b/>
          <w:sz w:val="32"/>
        </w:rPr>
        <w:t>Hermeneutical Analysis of 2 Samuel 11:17–25:</w:t>
      </w:r>
      <w:r>
        <w:rPr>
          <w:rFonts w:ascii="Times New Roman" w:hAnsi="Times New Roman"/>
          <w:b/>
          <w:sz w:val="32"/>
        </w:rPr>
        <w:br w:type="textWrapping"/>
      </w:r>
      <w:r>
        <w:rPr>
          <w:rFonts w:ascii="Times New Roman" w:hAnsi="Times New Roman"/>
          <w:b/>
          <w:sz w:val="32"/>
        </w:rPr>
        <w:t>A Study in Moral Self-Destruction</w:t>
      </w:r>
    </w:p>
    <w:p w14:paraId="3FD6328F">
      <w:pPr>
        <w:jc w:val="center"/>
        <w:rPr>
          <w:rFonts w:hint="default"/>
          <w:b/>
          <w:sz w:val="32"/>
          <w:lang w:val="en-US"/>
        </w:rPr>
      </w:pPr>
      <w:r>
        <w:rPr>
          <w:rFonts w:hint="default"/>
          <w:b/>
          <w:sz w:val="32"/>
          <w:lang w:val="en-US"/>
        </w:rPr>
        <w:t xml:space="preserve">By </w:t>
      </w:r>
      <w:bookmarkStart w:id="0" w:name="_GoBack"/>
      <w:bookmarkEnd w:id="0"/>
    </w:p>
    <w:p w14:paraId="6A60D20B">
      <w:pPr>
        <w:jc w:val="center"/>
        <w:rPr>
          <w:rFonts w:hint="default"/>
          <w:b/>
          <w:sz w:val="32"/>
          <w:lang w:val="en-US"/>
        </w:rPr>
      </w:pPr>
      <w:r>
        <w:rPr>
          <w:rFonts w:hint="default"/>
          <w:b/>
          <w:sz w:val="32"/>
          <w:lang w:val="en-US"/>
        </w:rPr>
        <w:t>Pastor Wentland Paul</w:t>
      </w:r>
    </w:p>
    <w:p w14:paraId="1AEAA4AA">
      <w:pPr>
        <w:rPr>
          <w:rFonts w:hint="default"/>
          <w:lang w:val="en-US"/>
        </w:rPr>
      </w:pPr>
    </w:p>
    <w:p w14:paraId="3B9E2C6F">
      <w:pPr>
        <w:pStyle w:val="2"/>
      </w:pPr>
      <w:r>
        <w:rPr>
          <w:color w:val="000000"/>
        </w:rPr>
        <w:t>1. Introduction</w:t>
      </w:r>
    </w:p>
    <w:p w14:paraId="14EC2264">
      <w:r>
        <w:rPr>
          <w:rFonts w:ascii="Times New Roman" w:hAnsi="Times New Roman"/>
          <w:b w:val="0"/>
          <w:i w:val="0"/>
          <w:sz w:val="24"/>
        </w:rPr>
        <w:t>This hermeneutical analysis examines 2 Samuel 11:17–25 through a multifaceted interpretive lens, integrating historical-critical, narrative, theological, and moral-psychological approaches. The passage recounts the delivery of news regarding Uriah the Hittite’s death to King David, following David’s orchestration of that death to conceal his adultery with Bathsheba. The analysis seeks to uncover the layers of meaning embedded in the text’s structure, character dynamics, and theological implications, while also drawing connections to contemporary experience of moral injury and institutional complicity.</w:t>
      </w:r>
    </w:p>
    <w:p w14:paraId="56CD7E15">
      <w:pPr>
        <w:pStyle w:val="2"/>
      </w:pPr>
      <w:r>
        <w:rPr>
          <w:color w:val="000000"/>
        </w:rPr>
        <w:t>2. Historical-Critical Context</w:t>
      </w:r>
    </w:p>
    <w:p w14:paraId="64905188">
      <w:r>
        <w:rPr>
          <w:rFonts w:ascii="Times New Roman" w:hAnsi="Times New Roman"/>
          <w:b w:val="0"/>
          <w:i w:val="0"/>
          <w:sz w:val="24"/>
        </w:rPr>
        <w:t>The Deuteronomistic History (Deuteronomy–2 Kings) presents David as the archetypal king, yet it does not flinch from recording his moral failures. The passage belongs to the Succession Narrative (2 Samuel 9–20; 1 Kings 1–2), a source widely regarded by scholars as one of the earliest examples of sophisticated historical writing in the Hebrew Bible. The narrative’s realism—its willingness to depict the king’s sin without theological whitewashing—suggests a court setting close to the events themselves, or at least a tradition that valued historical honesty over royal propaganda. The text’s laconic style, its reliance on dialogue rather than authorial commentary, and its careful juxtaposition of perspectives all reflect a literary artistry that serves theological ends: the reader is drawn into the moral drama and left to render judgment without explicit authorial direction.</w:t>
      </w:r>
    </w:p>
    <w:p w14:paraId="2F3F642A">
      <w:pPr>
        <w:pStyle w:val="2"/>
      </w:pPr>
      <w:r>
        <w:rPr>
          <w:color w:val="000000"/>
        </w:rPr>
        <w:t>3. Narrative Analysis</w:t>
      </w:r>
    </w:p>
    <w:p w14:paraId="3810672F">
      <w:pPr>
        <w:pStyle w:val="3"/>
      </w:pPr>
      <w:r>
        <w:rPr>
          <w:color w:val="000000"/>
        </w:rPr>
        <w:t>3.1 Structure and Plot</w:t>
      </w:r>
    </w:p>
    <w:p w14:paraId="6B456C8F">
      <w:r>
        <w:rPr>
          <w:rFonts w:ascii="Times New Roman" w:hAnsi="Times New Roman"/>
          <w:b w:val="0"/>
          <w:i w:val="0"/>
          <w:sz w:val="24"/>
        </w:rPr>
        <w:t>The passage can be divided into three movements: (a) Joab’s instructions to the messenger (vv. 17–21), (b) the messenger’s delivery (vv. 22–24), and (c) David’s response (v. 25). Each movement deepens the reader’s understanding of the moral corruption at work. Joab’s meticulous scripting of the report reveals his intimate knowledge of David’s psychology: he anticipates the king’s performative outrage at tactical losses and carefully frames Uriah’s death as incidental to siege warfare rather than the result of assassination. The messenger’s faithful execution of these instructions contrasts with David’s dismissive response, highlighting the gap between the public performance of kingship and the private reality of conspiracy.</w:t>
      </w:r>
    </w:p>
    <w:p w14:paraId="4C93B0ED">
      <w:pPr>
        <w:pStyle w:val="3"/>
      </w:pPr>
      <w:r>
        <w:rPr>
          <w:color w:val="000000"/>
        </w:rPr>
        <w:t>3.2 Character Analysis</w:t>
      </w:r>
    </w:p>
    <w:p w14:paraId="006338DA">
      <w:r>
        <w:rPr>
          <w:rFonts w:ascii="Times New Roman" w:hAnsi="Times New Roman"/>
          <w:b/>
          <w:i w:val="0"/>
          <w:sz w:val="24"/>
        </w:rPr>
        <w:t>David</w:t>
      </w:r>
    </w:p>
    <w:p w14:paraId="4E3AB131">
      <w:r>
        <w:rPr>
          <w:rFonts w:ascii="Times New Roman" w:hAnsi="Times New Roman"/>
          <w:b w:val="0"/>
          <w:i w:val="0"/>
          <w:sz w:val="24"/>
        </w:rPr>
        <w:t>David is presented as a figure in moral descent. The king who once refused to harm Saul (“The Lord forbid that I should do such a thing to my lord, the Lord’s anointed” — 1 Samuel 24:6) now orchestrates the death of a loyal soldier. His response to the news—“The sword devours one as well as another”—is a philosophical dismissal that reduces human life to statistical inevitability. The man after God’s own heart has become a politician of death, capable of performing concern while engineering destruction.</w:t>
      </w:r>
    </w:p>
    <w:p w14:paraId="7D9B1336">
      <w:r>
        <w:rPr>
          <w:rFonts w:ascii="Times New Roman" w:hAnsi="Times New Roman"/>
          <w:b/>
          <w:i w:val="0"/>
          <w:sz w:val="24"/>
        </w:rPr>
        <w:t>Joab</w:t>
      </w:r>
    </w:p>
    <w:p w14:paraId="074752F0">
      <w:r>
        <w:rPr>
          <w:rFonts w:ascii="Times New Roman" w:hAnsi="Times New Roman"/>
          <w:b w:val="0"/>
          <w:i w:val="0"/>
          <w:sz w:val="24"/>
        </w:rPr>
        <w:t>Joab emerges as a figure of pragmatic violence. His careful management of the messenger reveals sophisticated political calculation. He knows David’s public persona, anticipates his performative anger, and provides a narrative “release valve”—the news of Uriah’s death—that transforms David from concerned commander to satisfied conspirator. The historical reference to Abimelek (Judges 9) is strategic: it frames Uriah’s death within the acceptable risks of siege warfare, obscuring the assassination at its heart.</w:t>
      </w:r>
    </w:p>
    <w:p w14:paraId="69708372">
      <w:r>
        <w:rPr>
          <w:rFonts w:ascii="Times New Roman" w:hAnsi="Times New Roman"/>
          <w:b/>
          <w:i w:val="0"/>
          <w:sz w:val="24"/>
        </w:rPr>
        <w:t>Uriah</w:t>
      </w:r>
    </w:p>
    <w:p w14:paraId="668D9072">
      <w:r>
        <w:rPr>
          <w:rFonts w:ascii="Times New Roman" w:hAnsi="Times New Roman"/>
          <w:b w:val="0"/>
          <w:i w:val="0"/>
          <w:sz w:val="24"/>
        </w:rPr>
        <w:t>Uriah is the silent victim whose virtue becomes the instrument of his destruction. His refusal to enjoy comfort while his comrades suffered (2 Samuel 11:11) is the quality David exploits. A lesser soldier might have accepted David’s offer of comfort and provided the biological cover David needed. Uriah’s integrity condemns him. The narrative presents this with no commentary—only the devastating juxtaposition of David’s manipulation and Uriah’s loyalty.</w:t>
      </w:r>
    </w:p>
    <w:p w14:paraId="2DE7183A">
      <w:pPr>
        <w:pStyle w:val="2"/>
      </w:pPr>
      <w:r>
        <w:rPr>
          <w:color w:val="000000"/>
        </w:rPr>
        <w:t>4. Theological Interpretation</w:t>
      </w:r>
    </w:p>
    <w:p w14:paraId="20A9739A">
      <w:pPr>
        <w:pStyle w:val="3"/>
      </w:pPr>
      <w:r>
        <w:rPr>
          <w:color w:val="000000"/>
        </w:rPr>
        <w:t>4.1 Sin and Its Progression</w:t>
      </w:r>
    </w:p>
    <w:p w14:paraId="28A1FC80">
      <w:r>
        <w:rPr>
          <w:rFonts w:ascii="Times New Roman" w:hAnsi="Times New Roman"/>
          <w:b w:val="0"/>
          <w:i w:val="0"/>
          <w:sz w:val="24"/>
        </w:rPr>
        <w:t>The narrative presents sin not as a single moment of weakness but as a process of incremental accommodation. David sees, inquires, sends, sleeps with Bathsheba, learns of the pregnancy, attempts cover-up, and finally resorts to murder. Each step is a choice, each choice a deeper entrenchment. The text insists that David chose—again and again—knowing exactly what he was doing. This premeditation is theologically significant: it precludes any defense of passion or momentary weakness. David’s sin is willful, calculated, and fully owned.</w:t>
      </w:r>
    </w:p>
    <w:p w14:paraId="246F6ADE">
      <w:pPr>
        <w:pStyle w:val="3"/>
      </w:pPr>
      <w:r>
        <w:rPr>
          <w:color w:val="000000"/>
        </w:rPr>
        <w:t>4.2 The Silence of God</w:t>
      </w:r>
    </w:p>
    <w:p w14:paraId="1A95813B">
      <w:r>
        <w:rPr>
          <w:rFonts w:ascii="Times New Roman" w:hAnsi="Times New Roman"/>
          <w:b w:val="0"/>
          <w:i w:val="0"/>
          <w:sz w:val="24"/>
        </w:rPr>
        <w:t>Strikingly, God does not speak in this passage. The divine silence creates space for the reader to experience the full weight of human moral failure without premature resolution. This silence is itself a theological statement: God permits the consequences of human choice to unfold, and the narrative refuses to mitigate the horror of what David has done. When God finally speaks through Nathan in 2 Samuel 12, the judgment is devastating precisely because it has been withheld, allowing the reader to sit with the unvarnished reality of sin.</w:t>
      </w:r>
    </w:p>
    <w:p w14:paraId="3D461556">
      <w:pPr>
        <w:pStyle w:val="3"/>
      </w:pPr>
      <w:r>
        <w:rPr>
          <w:color w:val="000000"/>
        </w:rPr>
        <w:t>4.3 Moral Injury and the Unhealed Wound</w:t>
      </w:r>
    </w:p>
    <w:p w14:paraId="36E2D504">
      <w:r>
        <w:rPr>
          <w:rFonts w:ascii="Times New Roman" w:hAnsi="Times New Roman"/>
          <w:b w:val="0"/>
          <w:i w:val="0"/>
          <w:sz w:val="24"/>
        </w:rPr>
        <w:t>The concept of moral injury—the wound inflicted on one’s own conscience by transgressing core values—provides a powerful interpretive framework. David does not merely commit a sin; he is restructured by it. The psalmist who cried out with raw spiritual transparency now speaks in calculated euphemisms. The shepherd who risked his life for a single sheep now sacrifices men to cover a pregnancy. The man after God’s own heart learns to perform concern while engineering death. This restructuring is irreversible in the narrative moment: David cannot undo what he has become without dismantling the performance of kingship itself. Nathan’s confrontation (“You are the man!”) opens the wound, but the narrative does not restore what was destroyed. Uriah remains dead. The sword never departs from David’s house. The moral injury becomes generational.</w:t>
      </w:r>
    </w:p>
    <w:p w14:paraId="42207020">
      <w:pPr>
        <w:pStyle w:val="2"/>
      </w:pPr>
      <w:r>
        <w:rPr>
          <w:color w:val="000000"/>
        </w:rPr>
        <w:t>5. The David-Joab Parallel</w:t>
      </w:r>
    </w:p>
    <w:p w14:paraId="53364CF3">
      <w:r>
        <w:rPr>
          <w:rFonts w:ascii="Times New Roman" w:hAnsi="Times New Roman"/>
          <w:b w:val="0"/>
          <w:i w:val="0"/>
          <w:sz w:val="24"/>
        </w:rPr>
        <w:t>A central hermeneutical insight of this analysis is the parallel between David and Joab. David’s character undergoes a transition, becoming similar to that of Joab. David instructed Joab on the method of Uriah’s execution, but the plan’s subtlety was lost on Joab, who chose a simpler approach: an open-field challenge, overwhelming force, retreat to the city gates, pursuit, and death by archers. The loss was great, and Uriah died alongside many others. Joab anticipated David’s anger—the king who cared about his soldiers—and instructed the messenger to wait for that anger before revealing Uriah’s death. Once David received the news, he trivialized the death of his other soldiers, attributing them to the expendable price of war. The student had surpassed the teacher in moral corruption.</w:t>
      </w:r>
    </w:p>
    <w:p w14:paraId="446D16DA">
      <w:pPr>
        <w:pStyle w:val="2"/>
      </w:pPr>
      <w:r>
        <w:rPr>
          <w:color w:val="000000"/>
        </w:rPr>
        <w:t>6. Contemporary Application</w:t>
      </w:r>
    </w:p>
    <w:p w14:paraId="0C207AF7">
      <w:r>
        <w:rPr>
          <w:rFonts w:ascii="Times New Roman" w:hAnsi="Times New Roman"/>
          <w:b w:val="0"/>
          <w:i w:val="0"/>
          <w:sz w:val="24"/>
        </w:rPr>
        <w:t>The mechanisms of moral erosion depicted in 2 Samuel 11 remain structurally identical in contemporary institutional life. The premeditated destruction of people obtains politically and transforms otherwise good people with moral injury that makes them allies of evil people. It is not transactional; it is existential.</w:t>
      </w:r>
    </w:p>
    <w:p w14:paraId="60E0C943">
      <w:r>
        <w:rPr>
          <w:rFonts w:ascii="Times New Roman" w:hAnsi="Times New Roman"/>
          <w:b w:val="0"/>
          <w:i w:val="0"/>
          <w:sz w:val="24"/>
        </w:rPr>
        <w:t>The modern participant in systemic destruction does not simply pay a price for benefit received. They become someone who can no longer claim innocence—not because they were caught, but because they know. The knowledge itself restructures identity. The bureaucrat who designed the policy, the professional who executed the order, the functionary who filed the form—each performed a small role that collectively destroyed. And the performance of small roles, repeated, becomes habituated complicity.</w:t>
      </w:r>
    </w:p>
    <w:p w14:paraId="029C12E1">
      <w:r>
        <w:rPr>
          <w:rFonts w:ascii="Times New Roman" w:hAnsi="Times New Roman"/>
          <w:b w:val="0"/>
          <w:i w:val="0"/>
          <w:sz w:val="24"/>
        </w:rPr>
        <w:t>The “evil people” in this structure are not always monstrous. Often they are competent, organized, persuasive—they offer frameworks that make participation seem reasonable, even necessary. The alliance forms because the structure requires good people to function. Evil on a systemic scale cannot sustain itself with only the committed wicked. It needs the morally injured—those who have lost the capacity to refuse.</w:t>
      </w:r>
    </w:p>
    <w:p w14:paraId="5D1B7DE6">
      <w:pPr>
        <w:pStyle w:val="3"/>
      </w:pPr>
      <w:r>
        <w:rPr>
          <w:color w:val="000000"/>
        </w:rPr>
        <w:t>6.1 The Slow Erosion of Boundary</w:t>
      </w:r>
    </w:p>
    <w:p w14:paraId="74FC1538">
      <w:r>
        <w:rPr>
          <w:rFonts w:ascii="Times New Roman" w:hAnsi="Times New Roman"/>
          <w:b w:val="0"/>
          <w:i w:val="0"/>
          <w:sz w:val="24"/>
        </w:rPr>
        <w:t>The alliance—good people drawn into complicity not by conviction but by participation, by the slow erosion of boundary. It is not a single dramatic choice but incremental accommodation. Each small step—the unchallenged memo, the signed document, the silent meeting, the averted gaze—wears away the boundary. The person does not decide to become complicit. They decide not to make this the moment of resistance. And then the next moment. And the next. By the time the full picture becomes visible, the person is already inside it. The boundary they might have defended has been eroded to invisibility.</w:t>
      </w:r>
    </w:p>
    <w:p w14:paraId="3E567EDF">
      <w:r>
        <w:rPr>
          <w:rFonts w:ascii="Times New Roman" w:hAnsi="Times New Roman"/>
          <w:b w:val="0"/>
          <w:i w:val="0"/>
          <w:sz w:val="24"/>
        </w:rPr>
        <w:t>The wound persists. The modern equivalent of David’s lament is not public confession but private corrosion—the addiction, the divorce, the depression, the spiritual numbness that afflicts those who cannot integrate what they have done with who they believed themselves to be. The narrative of 2 Samuel offers no resolution because there is no resolution. There is only the long work of bearing what has been done, and the possibility—never guaranteed—of becoming someone who can again recognize their own conscience.</w:t>
      </w:r>
    </w:p>
    <w:p w14:paraId="6FFEC29F">
      <w:pPr>
        <w:pStyle w:val="2"/>
      </w:pPr>
      <w:r>
        <w:rPr>
          <w:color w:val="000000"/>
        </w:rPr>
        <w:t>7. Conclusion</w:t>
      </w:r>
    </w:p>
    <w:p w14:paraId="66107CBC">
      <w:r>
        <w:rPr>
          <w:rFonts w:ascii="Times New Roman" w:hAnsi="Times New Roman"/>
          <w:b w:val="0"/>
          <w:i w:val="0"/>
          <w:sz w:val="24"/>
        </w:rPr>
        <w:t>The hermeneutical analysis of 2 Samuel 11:17–25 reveals a text of extraordinary moral and psychological sophistication. The narrative presents premeditated evil not merely as an act that harms victims but as a force that restructures the perpetrator, making alliances that bind and inflicting wounds that never fully heal. The text refuses resolution, insisting that the reader sit with the unmitigated reality of moral failure. In this refusal, it becomes a mirror for every age—ancient, modern, and yet to come.</w:t>
      </w:r>
    </w:p>
    <w:p w14:paraId="578345F6">
      <w:r>
        <w:rPr>
          <w:rFonts w:ascii="Times New Roman" w:hAnsi="Times New Roman"/>
          <w:b w:val="0"/>
          <w:i w:val="0"/>
          <w:sz w:val="24"/>
        </w:rPr>
        <w:t>The text remains uncomfortably contemporary because human nature under pressure has not changed. The structures of power, the seduction of premeditation, the slow surrender of moral boundary—these are not ancient artifacts. They are active mechanisms, operating now, restructuring people who will not recognize themselves until the mirror is held up—and sometimes not even then.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853A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catha</cp:lastModifiedBy>
  <dcterms:modified xsi:type="dcterms:W3CDTF">2026-07-18T16:43:36Z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eyJoZGlkIjoiNjYzYjBjNzU5NWY3YzFmYTlmNGJkYTBjZTcwYTRhNGEifQ==</vt:lpwstr>
  </property>
  <property fmtid="{D5CDD505-2E9C-101B-9397-08002B2CF9AE}" pid="3" name="KSOProductBuildVer">
    <vt:lpwstr>1033-12.1.0.27458</vt:lpwstr>
  </property>
  <property fmtid="{D5CDD505-2E9C-101B-9397-08002B2CF9AE}" pid="4" name="ICV">
    <vt:lpwstr>C29BB3EEC8C041FE9E9AE9425077C1CD_12</vt:lpwstr>
  </property>
</Properties>
</file>