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"God's Mixed Feelings About Jewelry"</w:t>
      </w:r>
    </w:p>
    <w:p>
      <w:pPr>
        <w:spacing w:after="40"/>
      </w:pPr>
      <w:r>
        <w:rPr>
          <w:i/>
          <w:iCs/>
          <w:color w:val="555555"/>
        </w:rPr>
        <w:t xml:space="preserve">A sermon by Dr. Alexander Biscette</w:t>
      </w:r>
    </w:p>
    <w:p>
      <w:pPr>
        <w:spacing w:after="300"/>
      </w:pPr>
      <w:r>
        <w:rPr>
          <w:b/>
          <w:bCs/>
          <w:color w:val="333333"/>
        </w:rPr>
        <w:t xml:space="preserve">Reviewed by Pastor Wentland Paul</w:t>
      </w:r>
    </w:p>
    <w:p>
      <w:pPr>
        <w:pStyle w:val="Heading1"/>
        <w:spacing w:after="160" w:before="320"/>
      </w:pPr>
      <w:r>
        <w:t xml:space="preserve">Summary</w:t>
      </w:r>
    </w:p>
    <w:p>
      <w:pPr>
        <w:spacing w:after="200" w:line="320"/>
      </w:pPr>
      <w:r>
        <w:t xml:space="preserve">Dr. Alexander Biscette's sermon takes up a question that most preachers avoid: whether the wearing of jewelry carries any moral weight in scripture, and if so, what kind. The sermon's method is to walk the canon in something close to order, from Rebekah's bracelets in Genesis to the counsel of Peter and Paul, gathering every passage that touches gold, silver, or ornament along the way. Its stated conclusion is that God does not condemn jewelry as an object, but is provoked when jewelry, or anything else, displaces him in the heart of the worshipper. That conclusion is pastorally generous and, on its own terms, defensible. The path the sermon takes to reach it, however, does not hold up as well as its length and its evident care suggest. What follows examines where the argument is strong, where a single interpretive move is asked to carry more weight than it can bear, and where the sermon's reading of specific texts mistakes one kind of object for another.</w:t>
      </w:r>
    </w:p>
    <w:p>
      <w:pPr>
        <w:pStyle w:val="Heading1"/>
        <w:spacing w:after="160" w:before="320"/>
      </w:pPr>
      <w:r>
        <w:t xml:space="preserve">The argument's actual center of gravity</w:t>
      </w:r>
    </w:p>
    <w:p>
      <w:pPr>
        <w:spacing w:after="200" w:line="320"/>
      </w:pPr>
      <w:r>
        <w:t xml:space="preserve">The sermon reads, on first pass, like a broad survey: many texts, each contributing its own witness. It is not quite that. Nearly every passage in the sermon is interpreted through a single lens supplied by one episode, the golden calf. Dr. Biscette argues that God's anger at Sinai fell on the idol cast from the people's gold, not on the gold itself, and generalizes this into an operating principle: the object is neutral, and idolatry, not adornment, is what draws divine anger. Once that principle is in place, it does the interpretive work for the rest of the sermon. Genesis, Ezekiel, Isaiah, and the epistles are all read as instances confirming it. This is worth naming plainly because a sermon that presents itself as many independent witnesses converging on a conclusion is making a stronger implicit claim than a sermon built on one interpretive key applied repeatedly. The sermon is the latter. That is not disqualifying on its own, most topical preaching works this way, but it means the entire structure stands or falls with that one hinge, however many texts are stacked around it.</w:t>
      </w:r>
    </w:p>
    <w:p>
      <w:pPr>
        <w:pStyle w:val="Heading1"/>
        <w:spacing w:after="160" w:before="320"/>
      </w:pPr>
      <w:r>
        <w:t xml:space="preserve">Where the sermon is at its strongest</w:t>
      </w:r>
    </w:p>
    <w:p>
      <w:pPr>
        <w:spacing w:after="200" w:line="320"/>
      </w:pPr>
      <w:r>
        <w:t xml:space="preserve">The best material in the sermon is not the golden calf reading itself but a shorter passage built around it: the rhetorical questions about the wilderness journey. Was God not present in the pillar of cloud while the people still wore what they had carried out of Egypt. Was the covenant not ratified at Sinai while they had it on. This argument does not depend on a contestable reading of any single word, and it does not need the golden calf passage to succeed, it reasons instead from an uncontested fact, God's sustained presence with Israel through the wilderness, to a conclusion about what was and was not tolerated during that period. It is a genuine argument, not an assertion dressed as one, and it gives the sermon a second, independent line of support running alongside the golden calf reading. A sermon resting on one passage alone would be more fragile than this one.</w:t>
      </w:r>
    </w:p>
    <w:p>
      <w:pPr>
        <w:pStyle w:val="Heading1"/>
        <w:spacing w:after="160" w:before="320"/>
      </w:pPr>
      <w:r>
        <w:t xml:space="preserve">The structural weakness: forbearance read as permission</w:t>
      </w:r>
    </w:p>
    <w:p>
      <w:pPr>
        <w:spacing w:after="200" w:line="320"/>
      </w:pPr>
      <w:r>
        <w:t xml:space="preserve">The wilderness argument, for all its force, rests on an inference that does not actually follow: that God's continued presence during a practice proves the practice was never prohibited. Presence and permission are not the same claim. A God who tolerates a violation while judging the moment for a fuller reckoning would look, from the outside, exactly like a God who never objected to the practice at all. Scripture supplies its own vocabulary for this elsewhere. Paul tells the Athenians that God "overlooked" the times of ignorance. Overlooking a violation is not the same act as sanctioning it.</w:t>
      </w:r>
    </w:p>
    <w:p>
      <w:pPr>
        <w:spacing w:after="200" w:line="320"/>
      </w:pPr>
      <w:r>
        <w:t xml:space="preserve">This is not a hypothetical gap. Applying the sermon's own method to a case scripture treats with more explicit legal language exposes it directly. Deuteronomy instructs a king not to multiply wives, and states the reason in advance, that his heart not be turned away. That command predates David and Solomon. When David dances before the ark already married to several wives, or when Solomon presides at the temple dedication with his own household already expanding, their silence in those scenes is not evidence the practice was uncensured. A standing command already existed and was already being set aside. The presence of God in the room proves patience. It does not prove the absence of a rule, because in this instance the rule is on record. Once a single case demonstrates this gap between toleration and approval so plainly, the same inference cannot be trusted where it is doing quieter work, in the sermon's reading of the wilderness period and the golden calf. Both readings could be equally consistent with a God who tolerated a lesser fault while it lasted and named it only once it produced the worse one.</w:t>
      </w:r>
    </w:p>
    <w:p>
      <w:pPr>
        <w:spacing w:after="200" w:line="320"/>
      </w:pPr>
      <w:r>
        <w:t xml:space="preserve">One further asymmetry deserves mention. The sermon itself reaches for a creation-order argument against jewelry, noting that human bodies were not designed with pierced ears. That same style of argument is available, and more directly stated, against the practice raised above. The gospel record has Christ ground his own teaching not in a record of consequences but in Genesis itself, in the pattern of two becoming one. A sermon willing to reach for creation order in one case and not extend the same reasoning where scripture states it more plainly leaves an inconsistency exposed rather than resolved.</w:t>
      </w:r>
    </w:p>
    <w:p>
      <w:pPr>
        <w:pStyle w:val="Heading1"/>
        <w:spacing w:after="160" w:before="320"/>
      </w:pPr>
      <w:r>
        <w:t xml:space="preserve">The exegetical weakness: currency read as ornament</w:t>
      </w:r>
    </w:p>
    <w:p>
      <w:pPr>
        <w:spacing w:after="200" w:line="320"/>
      </w:pPr>
      <w:r>
        <w:t xml:space="preserve">A second problem, independent of the first, runs beneath several of the sermon's central texts. The sermon treats every mention of gold and silver as an instance of personal adornment, worn to be seen, when a number of its key passages are describing something else, gold and silver functioning as currency. This distinction is not a modern imposition; it reflects how value moved in the ancient Near East before coinage existed, when metal circulated as weighed and often cut fragments rather than as finished, wearable pieces.</w:t>
      </w:r>
    </w:p>
    <w:p>
      <w:pPr>
        <w:spacing w:after="200" w:line="320"/>
      </w:pPr>
      <w:r>
        <w:t xml:space="preserve">Under that distinction, several of the sermon's anchor texts read differently than the sermon presents them. The gifts given to Rebekah's family in Genesis include, beyond a personal token, a formal transfer of silver and gold that functions as bridewealth, an economic transaction sealing a marriage contract, not an expression of aesthetic taste. The gold and silver the Israelites carry out of Egypt reads more plausibly as portable wealth, recovered wages after centuries of unpaid labor, than as a fashion instruction, and the fact that this same metal becomes both the tabernacle's furnishings and the golden calf only makes sense if it was being handled throughout as convertible bullion. The golden calf episode itself sharpens under this reading rather than softening: Aaron requests the people's gold because it is their most available store of transferable wealth, and what follows is the conversion of stored currency into an idol, closer to a misuse of communal wealth than to a lapse in personal adornment. Isaiah's catalogue of ornaments to be stripped from the daughters of Zion, on the sermon's own partial admission, targets the upper class and the injustice their visible wealth was funding, not decoration as such. And the New Testament counsel in Peter, paralleled in Paul's letter to Timothy, addressing braided hair, gold, and costly clothing, sits inside a well-attested first-century context of status display, the same concern James names outright with the gold ring and fine clothing of the favored visitor in a congregation meant to hold rich and poor together.</w:t>
      </w:r>
    </w:p>
    <w:p>
      <w:pPr>
        <w:spacing w:after="200" w:line="320"/>
      </w:pPr>
      <w:r>
        <w:t xml:space="preserve">None of this renders the sermon's reading impossible. It means the sermon collapses two categories the biblical material keeps at least partly separate, ornament worn for its own sake and metal functioning as currency, dowry, or social signal, and it does so because collapsing them is what allows one motive-based principle to explain every occurrence. Once the categories are separated, several of the sermon's strongest proof texts turn out to be making an argument about wealth, transfer, and status rather than the argument about personal vanity the sermon asks them to make.</w:t>
      </w:r>
    </w:p>
    <w:p>
      <w:pPr>
        <w:pStyle w:val="Heading1"/>
        <w:spacing w:after="160" w:before="320"/>
      </w:pPr>
      <w:r>
        <w:t xml:space="preserve">Recommendation</w:t>
      </w:r>
    </w:p>
    <w:p>
      <w:pPr>
        <w:spacing w:after="200" w:line="320"/>
      </w:pPr>
      <w:r>
        <w:t xml:space="preserve">Dr. Biscette's sermon deserves credit for a genuine attempt at exegetical honesty on a subject most congregations only ever hear addressed by tradition rather than by text, and its pastoral instinct, that character matters more than appearance and that judgment of others on that basis is unwarranted, is sound regardless of how the exegesis fares. But the argument as constructed rests on a single interpretive move, that divine presence during a practice settles its moral status, that does not survive contact with a case scripture states more explicitly, and it draws on several proof texts whose plainest sense concerns wealth rather than ornament. A revised version of this sermon would do well to separate the question of God's patience from the question of God's permission, and to treat the economic texts on their own terms rather than folding them into a single argument about vanity. The pastoral conclusion can likely survive that revision. The exegetical path to it, as it stands, cannot fully bear the weight placed on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Critical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2026-07-24T04:09:36.965Z</dcterms:created>
  <dcterms:modified xsi:type="dcterms:W3CDTF">2026-07-24T04:09:36.985Z</dcterms:modified>
</cp:coreProperties>
</file>

<file path=docProps/custom.xml><?xml version="1.0" encoding="utf-8"?>
<Properties xmlns="http://schemas.openxmlformats.org/officeDocument/2006/custom-properties" xmlns:vt="http://schemas.openxmlformats.org/officeDocument/2006/docPropsVTypes"/>
</file>