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2E98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 w:rsidRPr="00281D1E">
        <w:rPr>
          <w:rFonts w:ascii="上首华凤书法体" w:eastAsia="上首华凤书法体" w:hAnsi="上首华凤书法体"/>
          <w:sz w:val="24"/>
          <w:szCs w:val="28"/>
        </w:rPr>
        <w:t>1</w:t>
      </w: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>、表格的标签：&lt;</w:t>
      </w:r>
      <w:r w:rsidRPr="00281D1E">
        <w:rPr>
          <w:rFonts w:ascii="上首华凤书法体" w:eastAsia="上首华凤书法体" w:hAnsi="上首华凤书法体"/>
          <w:sz w:val="24"/>
          <w:szCs w:val="28"/>
        </w:rPr>
        <w:t>table&gt;</w:t>
      </w:r>
      <w:r w:rsidRPr="00281D1E">
        <w:rPr>
          <w:rFonts w:ascii="上首华凤书法体" w:eastAsia="上首华凤书法体" w:hAnsi="上首华凤书法体"/>
          <w:sz w:val="24"/>
          <w:szCs w:val="28"/>
        </w:rPr>
        <w:tab/>
      </w:r>
      <w:r w:rsidRPr="00281D1E">
        <w:rPr>
          <w:rFonts w:ascii="上首华凤书法体" w:eastAsia="上首华凤书法体" w:hAnsi="上首华凤书法体"/>
          <w:sz w:val="24"/>
          <w:szCs w:val="28"/>
        </w:rPr>
        <w:tab/>
      </w: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>表格的标题：&lt;</w:t>
      </w:r>
      <w:r w:rsidRPr="00281D1E">
        <w:rPr>
          <w:rFonts w:ascii="上首华凤书法体" w:eastAsia="上首华凤书法体" w:hAnsi="上首华凤书法体"/>
          <w:sz w:val="24"/>
          <w:szCs w:val="28"/>
        </w:rPr>
        <w:t>caption&gt;</w:t>
      </w:r>
    </w:p>
    <w:p w14:paraId="7A22545B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>2、单元格之间的空间叫border-spacing（边框间距），这个属性是针对整个表格定义的，不能单独设置各个单元格的border-spacing，即所有单元格的border-spacing是一样的。</w:t>
      </w:r>
    </w:p>
    <w:p w14:paraId="120B30C8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>例如：</w:t>
      </w:r>
      <w:r w:rsidRPr="00281D1E">
        <w:rPr>
          <w:rFonts w:ascii="上首华凤书法体" w:eastAsia="上首华凤书法体" w:hAnsi="上首华凤书法体"/>
          <w:sz w:val="24"/>
          <w:szCs w:val="28"/>
        </w:rPr>
        <w:t>border-spacing:10px 30px;</w:t>
      </w:r>
    </w:p>
    <w:p w14:paraId="525B16BD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>水平方向的border-spacing是10px，垂直方向的border-spacing是30px。</w:t>
      </w:r>
    </w:p>
    <w:p w14:paraId="0B841F57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>3、单元格没有margin</w:t>
      </w:r>
    </w:p>
    <w:p w14:paraId="66B2F570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>4、HTML 表格有两类单元格：</w:t>
      </w:r>
    </w:p>
    <w:p w14:paraId="7A7EC9A9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 xml:space="preserve">    表头单元 - 包含头部信息（由 </w:t>
      </w:r>
      <w:proofErr w:type="spellStart"/>
      <w:r w:rsidRPr="00281D1E">
        <w:rPr>
          <w:rFonts w:ascii="上首华凤书法体" w:eastAsia="上首华凤书法体" w:hAnsi="上首华凤书法体" w:hint="eastAsia"/>
          <w:sz w:val="24"/>
          <w:szCs w:val="28"/>
        </w:rPr>
        <w:t>th</w:t>
      </w:r>
      <w:proofErr w:type="spellEnd"/>
      <w:r w:rsidRPr="00281D1E">
        <w:rPr>
          <w:rFonts w:ascii="上首华凤书法体" w:eastAsia="上首华凤书法体" w:hAnsi="上首华凤书法体" w:hint="eastAsia"/>
          <w:sz w:val="24"/>
          <w:szCs w:val="28"/>
        </w:rPr>
        <w:t xml:space="preserve"> 元素创建）</w:t>
      </w:r>
    </w:p>
    <w:p w14:paraId="6D0B61E3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 xml:space="preserve">    标准单元 - 包含数据（由 td 元素创建）</w:t>
      </w:r>
    </w:p>
    <w:p w14:paraId="68B7274A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 w:rsidRPr="00281D1E">
        <w:rPr>
          <w:rFonts w:ascii="上首华凤书法体" w:eastAsia="上首华凤书法体" w:hAnsi="上首华凤书法体" w:hint="eastAsia"/>
          <w:sz w:val="24"/>
          <w:szCs w:val="28"/>
        </w:rPr>
        <w:t>td 元素中的文本一般显示为正常字体且左对齐</w:t>
      </w:r>
    </w:p>
    <w:p w14:paraId="556B3C64" w14:textId="77777777" w:rsidR="000F15CA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>
        <w:rPr>
          <w:rFonts w:ascii="上首华凤书法体" w:eastAsia="上首华凤书法体" w:hAnsi="上首华凤书法体" w:hint="eastAsia"/>
          <w:sz w:val="24"/>
          <w:szCs w:val="28"/>
        </w:rPr>
        <w:t>5、</w:t>
      </w:r>
      <w:r w:rsidRPr="004067AA">
        <w:rPr>
          <w:rFonts w:ascii="上首华凤书法体" w:eastAsia="上首华凤书法体" w:hAnsi="上首华凤书法体"/>
          <w:sz w:val="24"/>
          <w:szCs w:val="28"/>
        </w:rPr>
        <w:t>caption-side</w:t>
      </w:r>
      <w:r>
        <w:rPr>
          <w:rFonts w:ascii="上首华凤书法体" w:eastAsia="上首华凤书法体" w:hAnsi="上首华凤书法体" w:hint="eastAsia"/>
          <w:sz w:val="24"/>
          <w:szCs w:val="28"/>
        </w:rPr>
        <w:t>设置标题的位置</w:t>
      </w:r>
    </w:p>
    <w:p w14:paraId="0DF8A17F" w14:textId="77777777" w:rsidR="000F15CA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>
        <w:rPr>
          <w:rFonts w:ascii="上首华凤书法体" w:eastAsia="上首华凤书法体" w:hAnsi="上首华凤书法体" w:hint="eastAsia"/>
          <w:sz w:val="24"/>
          <w:szCs w:val="28"/>
        </w:rPr>
        <w:t>6、每个单元格之间的间隙消除有两种方法：</w:t>
      </w:r>
    </w:p>
    <w:p w14:paraId="16583E76" w14:textId="77777777" w:rsidR="000F15CA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>
        <w:rPr>
          <w:rFonts w:ascii="上首华凤书法体" w:eastAsia="上首华凤书法体" w:hAnsi="上首华凤书法体" w:hint="eastAsia"/>
          <w:sz w:val="24"/>
          <w:szCs w:val="28"/>
        </w:rPr>
        <w:t>（1）</w:t>
      </w:r>
      <w:r w:rsidRPr="004067AA">
        <w:rPr>
          <w:rFonts w:ascii="上首华凤书法体" w:eastAsia="上首华凤书法体" w:hAnsi="上首华凤书法体"/>
          <w:sz w:val="24"/>
          <w:szCs w:val="28"/>
        </w:rPr>
        <w:t>border-spacing:0px;</w:t>
      </w:r>
    </w:p>
    <w:p w14:paraId="5260E69E" w14:textId="77777777" w:rsidR="000F15CA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>
        <w:rPr>
          <w:rFonts w:ascii="上首华凤书法体" w:eastAsia="上首华凤书法体" w:hAnsi="上首华凤书法体" w:hint="eastAsia"/>
          <w:sz w:val="24"/>
          <w:szCs w:val="28"/>
        </w:rPr>
        <w:t>（2）</w:t>
      </w:r>
      <w:proofErr w:type="spellStart"/>
      <w:r w:rsidRPr="004067AA">
        <w:rPr>
          <w:rFonts w:ascii="上首华凤书法体" w:eastAsia="上首华凤书法体" w:hAnsi="上首华凤书法体"/>
          <w:sz w:val="24"/>
          <w:szCs w:val="28"/>
        </w:rPr>
        <w:t>border-collapse:collapse</w:t>
      </w:r>
      <w:proofErr w:type="spellEnd"/>
      <w:r w:rsidRPr="004067AA">
        <w:rPr>
          <w:rFonts w:ascii="上首华凤书法体" w:eastAsia="上首华凤书法体" w:hAnsi="上首华凤书法体"/>
          <w:sz w:val="24"/>
          <w:szCs w:val="28"/>
        </w:rPr>
        <w:t>;</w:t>
      </w:r>
    </w:p>
    <w:p w14:paraId="6A7C2C9D" w14:textId="77777777" w:rsidR="000F15CA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>
        <w:rPr>
          <w:rFonts w:ascii="上首华凤书法体" w:eastAsia="上首华凤书法体" w:hAnsi="上首华凤书法体" w:hint="eastAsia"/>
          <w:sz w:val="24"/>
          <w:szCs w:val="28"/>
        </w:rPr>
        <w:t>7、</w:t>
      </w:r>
      <w:r w:rsidRPr="004067AA">
        <w:rPr>
          <w:rFonts w:ascii="上首华凤书法体" w:eastAsia="上首华凤书法体" w:hAnsi="上首华凤书法体" w:hint="eastAsia"/>
          <w:sz w:val="24"/>
          <w:szCs w:val="28"/>
        </w:rPr>
        <w:t>nth-child伪类</w:t>
      </w:r>
      <w:r>
        <w:rPr>
          <w:rFonts w:ascii="上首华凤书法体" w:eastAsia="上首华凤书法体" w:hAnsi="上首华凤书法体" w:hint="eastAsia"/>
          <w:sz w:val="24"/>
          <w:szCs w:val="28"/>
        </w:rPr>
        <w:t>：针对奇数或者偶数行操作</w:t>
      </w:r>
      <w:r w:rsidRPr="004067AA">
        <w:rPr>
          <w:rFonts w:ascii="上首华凤书法体" w:eastAsia="上首华凤书法体" w:hAnsi="上首华凤书法体"/>
          <w:sz w:val="24"/>
          <w:szCs w:val="28"/>
        </w:rPr>
        <w:t>nth-child(odd)</w:t>
      </w:r>
    </w:p>
    <w:p w14:paraId="38C86E7C" w14:textId="77777777" w:rsidR="000F15CA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>
        <w:rPr>
          <w:rFonts w:ascii="上首华凤书法体" w:eastAsia="上首华凤书法体" w:hAnsi="上首华凤书法体"/>
          <w:sz w:val="24"/>
          <w:szCs w:val="28"/>
        </w:rPr>
        <w:t>O</w:t>
      </w:r>
      <w:r>
        <w:rPr>
          <w:rFonts w:ascii="上首华凤书法体" w:eastAsia="上首华凤书法体" w:hAnsi="上首华凤书法体" w:hint="eastAsia"/>
          <w:sz w:val="24"/>
          <w:szCs w:val="28"/>
        </w:rPr>
        <w:t>dd：奇数；even：偶数</w:t>
      </w:r>
    </w:p>
    <w:p w14:paraId="7C4350A7" w14:textId="77777777" w:rsidR="000F15CA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  <w:r>
        <w:rPr>
          <w:rFonts w:ascii="上首华凤书法体" w:eastAsia="上首华凤书法体" w:hAnsi="上首华凤书法体" w:hint="eastAsia"/>
          <w:sz w:val="24"/>
          <w:szCs w:val="28"/>
        </w:rPr>
        <w:t>8、对齐方式：</w:t>
      </w:r>
      <w:r w:rsidRPr="004067AA">
        <w:rPr>
          <w:rFonts w:ascii="上首华凤书法体" w:eastAsia="上首华凤书法体" w:hAnsi="上首华凤书法体"/>
          <w:sz w:val="24"/>
          <w:szCs w:val="28"/>
        </w:rPr>
        <w:t>text-align</w:t>
      </w:r>
      <w:r>
        <w:rPr>
          <w:rFonts w:ascii="上首华凤书法体" w:eastAsia="上首华凤书法体" w:hAnsi="上首华凤书法体" w:hint="eastAsia"/>
          <w:sz w:val="24"/>
          <w:szCs w:val="28"/>
        </w:rPr>
        <w:t>、</w:t>
      </w:r>
      <w:r w:rsidRPr="004067AA">
        <w:rPr>
          <w:rFonts w:ascii="上首华凤书法体" w:eastAsia="上首华凤书法体" w:hAnsi="上首华凤书法体"/>
          <w:sz w:val="24"/>
          <w:szCs w:val="28"/>
        </w:rPr>
        <w:t>vertical-align</w:t>
      </w:r>
    </w:p>
    <w:p w14:paraId="3D7A0D0E" w14:textId="77777777" w:rsidR="000F15CA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</w:p>
    <w:p w14:paraId="0E53ABA1" w14:textId="77777777" w:rsidR="000F15CA" w:rsidRPr="00281D1E" w:rsidRDefault="000F15CA" w:rsidP="000F15CA">
      <w:pPr>
        <w:rPr>
          <w:rFonts w:ascii="上首华凤书法体" w:eastAsia="上首华凤书法体" w:hAnsi="上首华凤书法体"/>
          <w:sz w:val="24"/>
          <w:szCs w:val="28"/>
        </w:rPr>
      </w:pPr>
    </w:p>
    <w:p w14:paraId="1E4E6865" w14:textId="77777777" w:rsidR="00D613D9" w:rsidRDefault="00D613D9"/>
    <w:sectPr w:rsidR="00D6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F4C26" w14:textId="77777777" w:rsidR="004E142E" w:rsidRDefault="004E142E" w:rsidP="000F15CA">
      <w:r>
        <w:separator/>
      </w:r>
    </w:p>
  </w:endnote>
  <w:endnote w:type="continuationSeparator" w:id="0">
    <w:p w14:paraId="6E695427" w14:textId="77777777" w:rsidR="004E142E" w:rsidRDefault="004E142E" w:rsidP="000F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上首华凤书法体">
    <w:panose1 w:val="0201060900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6FC8D" w14:textId="77777777" w:rsidR="004E142E" w:rsidRDefault="004E142E" w:rsidP="000F15CA">
      <w:r>
        <w:separator/>
      </w:r>
    </w:p>
  </w:footnote>
  <w:footnote w:type="continuationSeparator" w:id="0">
    <w:p w14:paraId="72452583" w14:textId="77777777" w:rsidR="004E142E" w:rsidRDefault="004E142E" w:rsidP="000F1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5C4A"/>
    <w:rsid w:val="00075C4A"/>
    <w:rsid w:val="000F15CA"/>
    <w:rsid w:val="004E142E"/>
    <w:rsid w:val="00D6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2B383-F382-4458-9AA7-575C823A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5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5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2</cp:revision>
  <dcterms:created xsi:type="dcterms:W3CDTF">2020-06-14T12:48:00Z</dcterms:created>
  <dcterms:modified xsi:type="dcterms:W3CDTF">2020-06-14T12:48:00Z</dcterms:modified>
</cp:coreProperties>
</file>