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5AC2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t xml:space="preserve">OC（全渠道）部门将由产品GTM、区域GTM、需求计划、商业洞察和、FP&amp;A经营分析（待建立）构成。 </w:t>
      </w:r>
    </w:p>
    <w:p w14:paraId="7D082B2E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5273040" cy="2966085"/>
            <wp:effectExtent l="0" t="0" r="1016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377D">
      <w:pPr>
        <w:pStyle w:val="2"/>
        <w:keepNext w:val="0"/>
        <w:keepLines w:val="0"/>
        <w:widowControl/>
        <w:suppressLineNumbers w:val="0"/>
      </w:pPr>
    </w:p>
    <w:p w14:paraId="5E5BA1B1">
      <w:pPr>
        <w:pStyle w:val="2"/>
        <w:keepNext w:val="0"/>
        <w:keepLines w:val="0"/>
        <w:widowControl/>
        <w:suppressLineNumbers w:val="0"/>
      </w:pPr>
      <w:r>
        <w:t xml:space="preserve">二、在3月、7月产品团队释放次年新品产品规划后，产品GTM将分别于4月、8月组织商业判定和完成次年新品上市节奏规划，区域GTM、需求计划、商业洞察随之开展相应的工作主流程。 </w:t>
      </w:r>
    </w:p>
    <w:p w14:paraId="04E1DC05">
      <w:pPr>
        <w:pStyle w:val="2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5273040" cy="2966085"/>
            <wp:effectExtent l="0" t="0" r="1016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4F0525D">
      <w:pPr>
        <w:pStyle w:val="2"/>
        <w:keepNext w:val="0"/>
        <w:keepLines w:val="0"/>
        <w:widowControl/>
        <w:suppressLineNumbers w:val="0"/>
      </w:pPr>
      <w:r>
        <w:t xml:space="preserve">三、以下为OC部门产品GTM组、区域GTM组、需求计划组、商业洞察组年度核心工作二级工作流程： </w:t>
      </w:r>
    </w:p>
    <w:p w14:paraId="4AD4AE93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2966085"/>
            <wp:effectExtent l="0" t="0" r="1016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93CA5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2966085"/>
            <wp:effectExtent l="0" t="0" r="1016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C596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2966085"/>
            <wp:effectExtent l="0" t="0" r="1016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6A366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2966085"/>
            <wp:effectExtent l="0" t="0" r="1016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D9B5">
      <w:pPr>
        <w:pStyle w:val="2"/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华文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D155F"/>
    <w:multiLevelType w:val="singleLevel"/>
    <w:tmpl w:val="BBDD155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B6373"/>
    <w:rsid w:val="1FBB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2026-04-17T13:02:00Z</dcterms:created>
  <dc:creator>ckw</dc:creator>
  <cp:lastModifiedBy>ckw</cp:lastModifiedBy>
  <dcterms:modified xsi:type="dcterms:W3CDTF">2026-04-17T13:05:52Z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ECB33B24A37851A800BFE16914ABF9D1_41</vt:lpwstr>
  </property>
</Properties>
</file>