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F708" w14:textId="77777777" w:rsidR="002F5604" w:rsidRDefault="002F5604">
      <w:pPr>
        <w:rPr>
          <w:lang w:val="en-GB"/>
        </w:rPr>
      </w:pPr>
      <w:bookmarkStart w:id="0" w:name="_Hlk532418795"/>
      <w:bookmarkEnd w:id="0"/>
    </w:p>
    <w:p w14:paraId="3E3BA73A" w14:textId="4582135B" w:rsidR="00BE772C" w:rsidRPr="008946F3" w:rsidRDefault="008946F3" w:rsidP="008946F3">
      <w:pPr>
        <w:jc w:val="center"/>
        <w:rPr>
          <w:rFonts w:ascii="Arial" w:hAnsi="Arial" w:cs="Arial"/>
          <w:b/>
          <w:sz w:val="30"/>
          <w:szCs w:val="30"/>
          <w:lang w:val="en-GB"/>
        </w:rPr>
      </w:pPr>
      <w:r w:rsidRPr="008946F3">
        <w:rPr>
          <w:rFonts w:ascii="Arial" w:hAnsi="Arial" w:cs="Arial"/>
          <w:b/>
          <w:sz w:val="30"/>
          <w:szCs w:val="30"/>
          <w:lang w:val="en-GB"/>
        </w:rPr>
        <w:t xml:space="preserve">Predicted Distribution of </w:t>
      </w:r>
      <w:proofErr w:type="spellStart"/>
      <w:r w:rsidRPr="008946F3">
        <w:rPr>
          <w:rFonts w:ascii="Arial" w:hAnsi="Arial" w:cs="Arial"/>
          <w:b/>
          <w:i/>
          <w:sz w:val="30"/>
          <w:szCs w:val="30"/>
          <w:lang w:val="en-GB"/>
        </w:rPr>
        <w:t>Eragrostis</w:t>
      </w:r>
      <w:proofErr w:type="spellEnd"/>
      <w:r w:rsidRPr="008946F3">
        <w:rPr>
          <w:rFonts w:ascii="Arial" w:hAnsi="Arial" w:cs="Arial"/>
          <w:b/>
          <w:i/>
          <w:sz w:val="30"/>
          <w:szCs w:val="30"/>
          <w:lang w:val="en-GB"/>
        </w:rPr>
        <w:t xml:space="preserve"> </w:t>
      </w:r>
      <w:proofErr w:type="spellStart"/>
      <w:r w:rsidRPr="008946F3">
        <w:rPr>
          <w:rFonts w:ascii="Arial" w:hAnsi="Arial" w:cs="Arial"/>
          <w:b/>
          <w:i/>
          <w:sz w:val="30"/>
          <w:szCs w:val="30"/>
          <w:lang w:val="en-GB"/>
        </w:rPr>
        <w:t>tef</w:t>
      </w:r>
      <w:proofErr w:type="spellEnd"/>
      <w:r w:rsidRPr="008946F3">
        <w:rPr>
          <w:rFonts w:ascii="Arial" w:hAnsi="Arial" w:cs="Arial"/>
          <w:b/>
          <w:sz w:val="30"/>
          <w:szCs w:val="30"/>
          <w:lang w:val="en-GB"/>
        </w:rPr>
        <w:t xml:space="preserve"> in </w:t>
      </w:r>
      <w:r w:rsidR="0092016E">
        <w:rPr>
          <w:rFonts w:ascii="Arial" w:hAnsi="Arial" w:cs="Arial"/>
          <w:b/>
          <w:sz w:val="30"/>
          <w:szCs w:val="30"/>
          <w:lang w:val="en-GB"/>
        </w:rPr>
        <w:t>present</w:t>
      </w:r>
      <w:r w:rsidRPr="008946F3">
        <w:rPr>
          <w:rFonts w:ascii="Arial" w:hAnsi="Arial" w:cs="Arial"/>
          <w:b/>
          <w:sz w:val="30"/>
          <w:szCs w:val="30"/>
          <w:lang w:val="en-GB"/>
        </w:rPr>
        <w:t xml:space="preserve"> vs. 2050</w:t>
      </w:r>
    </w:p>
    <w:p w14:paraId="67E343A4" w14:textId="7E5DA76C" w:rsidR="008946F3" w:rsidRDefault="008946F3" w:rsidP="008946F3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sz w:val="22"/>
          <w:szCs w:val="22"/>
          <w:lang w:val="en-GB"/>
        </w:rPr>
        <w:t xml:space="preserve">By Judith </w:t>
      </w: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Tijm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 xml:space="preserve"> s1252143</w:t>
      </w:r>
    </w:p>
    <w:p w14:paraId="69ECCF0C" w14:textId="77777777" w:rsidR="00714F70" w:rsidRPr="008946F3" w:rsidRDefault="00714F70" w:rsidP="008946F3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19F3E1E6" w14:textId="467A9C88" w:rsidR="001668CF" w:rsidRPr="008946F3" w:rsidRDefault="008946F3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 this study an attempt is made to predict</w:t>
      </w:r>
      <w:r w:rsidR="00714F70">
        <w:rPr>
          <w:rFonts w:ascii="Arial" w:hAnsi="Arial" w:cs="Arial"/>
          <w:sz w:val="22"/>
          <w:szCs w:val="22"/>
          <w:lang w:val="en-GB"/>
        </w:rPr>
        <w:t xml:space="preserve"> the distribution of </w:t>
      </w:r>
      <w:proofErr w:type="spellStart"/>
      <w:r w:rsidR="00714F70"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 w:rsidR="00714F70">
        <w:rPr>
          <w:rFonts w:ascii="Arial" w:hAnsi="Arial" w:cs="Arial"/>
          <w:sz w:val="22"/>
          <w:szCs w:val="22"/>
          <w:lang w:val="en-GB"/>
        </w:rPr>
        <w:t xml:space="preserve"> (</w:t>
      </w:r>
      <w:proofErr w:type="spellStart"/>
      <w:r w:rsidR="00714F70">
        <w:rPr>
          <w:rFonts w:ascii="Arial" w:hAnsi="Arial" w:cs="Arial"/>
          <w:i/>
          <w:sz w:val="22"/>
          <w:szCs w:val="22"/>
          <w:lang w:val="en-GB"/>
        </w:rPr>
        <w:t>Eragrostis</w:t>
      </w:r>
      <w:proofErr w:type="spellEnd"/>
      <w:r w:rsidR="00714F70">
        <w:rPr>
          <w:rFonts w:ascii="Arial" w:hAnsi="Arial" w:cs="Arial"/>
          <w:i/>
          <w:sz w:val="22"/>
          <w:szCs w:val="22"/>
          <w:lang w:val="en-GB"/>
        </w:rPr>
        <w:t xml:space="preserve"> </w:t>
      </w:r>
      <w:proofErr w:type="spellStart"/>
      <w:r w:rsidR="00714F70">
        <w:rPr>
          <w:rFonts w:ascii="Arial" w:hAnsi="Arial" w:cs="Arial"/>
          <w:i/>
          <w:sz w:val="22"/>
          <w:szCs w:val="22"/>
          <w:lang w:val="en-GB"/>
        </w:rPr>
        <w:t>tef</w:t>
      </w:r>
      <w:proofErr w:type="spellEnd"/>
      <w:r w:rsidR="00714F70">
        <w:rPr>
          <w:rFonts w:ascii="Arial" w:hAnsi="Arial" w:cs="Arial"/>
          <w:i/>
          <w:sz w:val="22"/>
          <w:szCs w:val="22"/>
          <w:lang w:val="en-GB"/>
        </w:rPr>
        <w:t>)</w:t>
      </w:r>
      <w:r w:rsidR="00714F70">
        <w:rPr>
          <w:rFonts w:ascii="Arial" w:hAnsi="Arial" w:cs="Arial"/>
          <w:sz w:val="22"/>
          <w:szCs w:val="22"/>
          <w:lang w:val="en-GB"/>
        </w:rPr>
        <w:t xml:space="preserve"> in the year 2050. </w:t>
      </w:r>
      <w:proofErr w:type="spellStart"/>
      <w:r w:rsidR="000004D1" w:rsidRPr="008946F3"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 is a</w:t>
      </w:r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 plant </w:t>
      </w:r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that </w:t>
      </w:r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belongs to the family </w:t>
      </w:r>
      <w:proofErr w:type="spellStart"/>
      <w:r w:rsidR="000004D1" w:rsidRPr="008946F3">
        <w:rPr>
          <w:rFonts w:ascii="Arial" w:hAnsi="Arial" w:cs="Arial"/>
          <w:sz w:val="22"/>
          <w:szCs w:val="22"/>
          <w:lang w:val="en-GB"/>
        </w:rPr>
        <w:t>Poaceae</w:t>
      </w:r>
      <w:proofErr w:type="spellEnd"/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 </w:t>
      </w:r>
      <w:r w:rsidR="000004D1" w:rsidRPr="008946F3">
        <w:rPr>
          <w:rFonts w:ascii="Arial" w:hAnsi="Arial" w:cs="Arial"/>
          <w:sz w:val="22"/>
          <w:szCs w:val="22"/>
          <w:lang w:val="en-GB"/>
        </w:rPr>
        <w:t>and is one of the appr</w:t>
      </w:r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oximately </w:t>
      </w:r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350 species within the genus of </w:t>
      </w:r>
      <w:proofErr w:type="spellStart"/>
      <w:r w:rsidR="000004D1" w:rsidRPr="008946F3">
        <w:rPr>
          <w:rFonts w:ascii="Arial" w:hAnsi="Arial" w:cs="Arial"/>
          <w:sz w:val="22"/>
          <w:szCs w:val="22"/>
          <w:lang w:val="en-GB"/>
        </w:rPr>
        <w:t>Eragrostis</w:t>
      </w:r>
      <w:proofErr w:type="spellEnd"/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, also known as </w:t>
      </w:r>
      <w:r w:rsidR="00714F70">
        <w:rPr>
          <w:rFonts w:ascii="Arial" w:hAnsi="Arial" w:cs="Arial"/>
          <w:sz w:val="22"/>
          <w:szCs w:val="22"/>
          <w:lang w:val="en-GB"/>
        </w:rPr>
        <w:t>love grass</w:t>
      </w:r>
      <w:r w:rsidR="000004D1" w:rsidRPr="008946F3">
        <w:rPr>
          <w:rFonts w:ascii="Arial" w:hAnsi="Arial" w:cs="Arial"/>
          <w:sz w:val="22"/>
          <w:szCs w:val="22"/>
          <w:lang w:val="en-GB"/>
        </w:rPr>
        <w:t xml:space="preserve">. It is an important staple grain in Ethiopia and Eritrea, </w:t>
      </w:r>
      <w:r w:rsidR="00D769A4" w:rsidRPr="008946F3">
        <w:rPr>
          <w:rFonts w:ascii="Arial" w:hAnsi="Arial" w:cs="Arial"/>
          <w:sz w:val="22"/>
          <w:szCs w:val="22"/>
          <w:lang w:val="en-GB"/>
        </w:rPr>
        <w:t>where it has been cultivated for at least 2000 years (</w:t>
      </w:r>
      <w:proofErr w:type="spellStart"/>
      <w:r w:rsidR="00D769A4" w:rsidRPr="008946F3">
        <w:rPr>
          <w:rFonts w:ascii="Arial" w:hAnsi="Arial" w:cs="Arial"/>
          <w:sz w:val="22"/>
          <w:szCs w:val="22"/>
          <w:lang w:val="en-GB"/>
        </w:rPr>
        <w:t>D’Andrea</w:t>
      </w:r>
      <w:proofErr w:type="spellEnd"/>
      <w:r w:rsidR="00D769A4" w:rsidRPr="008946F3">
        <w:rPr>
          <w:rFonts w:ascii="Arial" w:hAnsi="Arial" w:cs="Arial"/>
          <w:sz w:val="22"/>
          <w:szCs w:val="22"/>
          <w:lang w:val="en-GB"/>
        </w:rPr>
        <w:t xml:space="preserve">, 2008). </w:t>
      </w:r>
      <w:proofErr w:type="spellStart"/>
      <w:r w:rsidR="00D769A4" w:rsidRPr="008946F3">
        <w:rPr>
          <w:rFonts w:ascii="Arial" w:hAnsi="Arial" w:cs="Arial"/>
          <w:sz w:val="22"/>
          <w:szCs w:val="22"/>
          <w:lang w:val="en-GB"/>
        </w:rPr>
        <w:t>Te</w:t>
      </w:r>
      <w:r w:rsidR="001668CF" w:rsidRPr="008946F3">
        <w:rPr>
          <w:rFonts w:ascii="Arial" w:hAnsi="Arial" w:cs="Arial"/>
          <w:sz w:val="22"/>
          <w:szCs w:val="22"/>
          <w:lang w:val="en-GB"/>
        </w:rPr>
        <w:t>f</w:t>
      </w:r>
      <w:r w:rsidR="00D769A4" w:rsidRPr="008946F3">
        <w:rPr>
          <w:rFonts w:ascii="Arial" w:hAnsi="Arial" w:cs="Arial"/>
          <w:sz w:val="22"/>
          <w:szCs w:val="22"/>
          <w:lang w:val="en-GB"/>
        </w:rPr>
        <w:t>f</w:t>
      </w:r>
      <w:proofErr w:type="spellEnd"/>
      <w:r w:rsidR="00D769A4" w:rsidRPr="008946F3">
        <w:rPr>
          <w:rFonts w:ascii="Arial" w:hAnsi="Arial" w:cs="Arial"/>
          <w:sz w:val="22"/>
          <w:szCs w:val="22"/>
          <w:lang w:val="en-GB"/>
        </w:rPr>
        <w:t xml:space="preserve"> has several benefits over other cereals: the seeds are free from gluten, resistant to storage pests and </w:t>
      </w:r>
      <w:proofErr w:type="spellStart"/>
      <w:r w:rsidR="00D769A4" w:rsidRPr="008946F3">
        <w:rPr>
          <w:rFonts w:ascii="Arial" w:hAnsi="Arial" w:cs="Arial"/>
          <w:sz w:val="22"/>
          <w:szCs w:val="22"/>
          <w:lang w:val="en-GB"/>
        </w:rPr>
        <w:t>tef</w:t>
      </w:r>
      <w:r w:rsidR="001668CF" w:rsidRPr="008946F3">
        <w:rPr>
          <w:rFonts w:ascii="Arial" w:hAnsi="Arial" w:cs="Arial"/>
          <w:sz w:val="22"/>
          <w:szCs w:val="22"/>
          <w:lang w:val="en-GB"/>
        </w:rPr>
        <w:t>f</w:t>
      </w:r>
      <w:proofErr w:type="spellEnd"/>
      <w:r w:rsidR="00D769A4" w:rsidRPr="008946F3">
        <w:rPr>
          <w:rFonts w:ascii="Arial" w:hAnsi="Arial" w:cs="Arial"/>
          <w:sz w:val="22"/>
          <w:szCs w:val="22"/>
          <w:lang w:val="en-GB"/>
        </w:rPr>
        <w:t xml:space="preserve"> is more tolerant to extreme environmental conditions (Assefa et al., 2015).</w:t>
      </w:r>
      <w:r w:rsidR="00714F70">
        <w:rPr>
          <w:rFonts w:ascii="Arial" w:hAnsi="Arial" w:cs="Arial"/>
          <w:sz w:val="22"/>
          <w:szCs w:val="22"/>
          <w:lang w:val="en-GB"/>
        </w:rPr>
        <w:t xml:space="preserve"> </w:t>
      </w:r>
      <w:r w:rsidR="001668CF" w:rsidRPr="008946F3">
        <w:rPr>
          <w:rFonts w:ascii="Arial" w:hAnsi="Arial" w:cs="Arial"/>
          <w:sz w:val="22"/>
          <w:szCs w:val="22"/>
          <w:lang w:val="en-GB"/>
        </w:rPr>
        <w:t xml:space="preserve">Even though </w:t>
      </w:r>
      <w:proofErr w:type="spellStart"/>
      <w:r w:rsidR="001668CF" w:rsidRPr="008946F3"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 w:rsidR="001668CF" w:rsidRPr="008946F3">
        <w:rPr>
          <w:rFonts w:ascii="Arial" w:hAnsi="Arial" w:cs="Arial"/>
          <w:sz w:val="22"/>
          <w:szCs w:val="22"/>
          <w:lang w:val="en-GB"/>
        </w:rPr>
        <w:t xml:space="preserve"> originated in the </w:t>
      </w:r>
      <w:r w:rsidR="00B550FC" w:rsidRPr="008946F3">
        <w:rPr>
          <w:rFonts w:ascii="Arial" w:hAnsi="Arial" w:cs="Arial"/>
          <w:sz w:val="22"/>
          <w:szCs w:val="22"/>
          <w:lang w:val="en-GB"/>
        </w:rPr>
        <w:t xml:space="preserve">Horn of Africa, this grass species is now growing </w:t>
      </w:r>
      <w:r w:rsidR="00714F70">
        <w:rPr>
          <w:rFonts w:ascii="Arial" w:hAnsi="Arial" w:cs="Arial"/>
          <w:sz w:val="22"/>
          <w:szCs w:val="22"/>
          <w:lang w:val="en-GB"/>
        </w:rPr>
        <w:t>o</w:t>
      </w:r>
      <w:r w:rsidR="00B550FC" w:rsidRPr="008946F3">
        <w:rPr>
          <w:rFonts w:ascii="Arial" w:hAnsi="Arial" w:cs="Arial"/>
          <w:sz w:val="22"/>
          <w:szCs w:val="22"/>
          <w:lang w:val="en-GB"/>
        </w:rPr>
        <w:t xml:space="preserve">n almost every continent. </w:t>
      </w:r>
      <w:r w:rsidR="00714F70">
        <w:rPr>
          <w:rFonts w:ascii="Arial" w:hAnsi="Arial" w:cs="Arial"/>
          <w:sz w:val="22"/>
          <w:szCs w:val="22"/>
          <w:lang w:val="en-GB"/>
        </w:rPr>
        <w:t xml:space="preserve">In the United States and Australia </w:t>
      </w:r>
      <w:proofErr w:type="spellStart"/>
      <w:r w:rsidR="00714F70"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 w:rsidR="00714F70">
        <w:rPr>
          <w:rFonts w:ascii="Arial" w:hAnsi="Arial" w:cs="Arial"/>
          <w:sz w:val="22"/>
          <w:szCs w:val="22"/>
          <w:lang w:val="en-GB"/>
        </w:rPr>
        <w:t xml:space="preserve"> is cultivated for the production of cattle feed and in Denmark, France and South Africa it is recorded as introduced. </w:t>
      </w:r>
    </w:p>
    <w:p w14:paraId="473417B3" w14:textId="134F2731" w:rsidR="001668CF" w:rsidRDefault="00B550FC" w:rsidP="00B550FC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sz w:val="22"/>
          <w:szCs w:val="22"/>
        </w:rPr>
        <w:drawing>
          <wp:inline distT="0" distB="0" distL="0" distR="0" wp14:anchorId="02A7CC26" wp14:editId="6256E852">
            <wp:extent cx="3911600" cy="19161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26" r="6851"/>
                    <a:stretch/>
                  </pic:blipFill>
                  <pic:spPr bwMode="auto">
                    <a:xfrm>
                      <a:off x="0" y="0"/>
                      <a:ext cx="3928086" cy="192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F3A2C" w14:textId="082CD537" w:rsidR="00D347D2" w:rsidRPr="00D347D2" w:rsidRDefault="00D347D2" w:rsidP="00B550FC">
      <w:pPr>
        <w:jc w:val="center"/>
        <w:rPr>
          <w:rFonts w:ascii="Arial" w:hAnsi="Arial" w:cs="Arial"/>
          <w:i/>
          <w:sz w:val="20"/>
          <w:szCs w:val="20"/>
          <w:lang w:val="en-GB"/>
        </w:rPr>
      </w:pPr>
      <w:r w:rsidRPr="00D347D2">
        <w:rPr>
          <w:rFonts w:ascii="Arial" w:hAnsi="Arial" w:cs="Arial"/>
          <w:b/>
          <w:i/>
          <w:sz w:val="20"/>
          <w:szCs w:val="20"/>
          <w:lang w:val="en-GB"/>
        </w:rPr>
        <w:t>Figure 1</w:t>
      </w:r>
      <w:r>
        <w:rPr>
          <w:rFonts w:ascii="Arial" w:hAnsi="Arial" w:cs="Arial"/>
          <w:i/>
          <w:sz w:val="20"/>
          <w:szCs w:val="20"/>
          <w:lang w:val="en-GB"/>
        </w:rPr>
        <w:t xml:space="preserve"> Distribution of E. </w:t>
      </w:r>
      <w:proofErr w:type="spellStart"/>
      <w:r>
        <w:rPr>
          <w:rFonts w:ascii="Arial" w:hAnsi="Arial" w:cs="Arial"/>
          <w:i/>
          <w:sz w:val="20"/>
          <w:szCs w:val="20"/>
          <w:lang w:val="en-GB"/>
        </w:rPr>
        <w:t>tef</w:t>
      </w:r>
      <w:proofErr w:type="spellEnd"/>
      <w:r>
        <w:rPr>
          <w:rFonts w:ascii="Arial" w:hAnsi="Arial" w:cs="Arial"/>
          <w:i/>
          <w:sz w:val="20"/>
          <w:szCs w:val="20"/>
          <w:lang w:val="en-GB"/>
        </w:rPr>
        <w:t xml:space="preserve"> (GBIF)</w:t>
      </w:r>
    </w:p>
    <w:p w14:paraId="118B3431" w14:textId="68D3F22F" w:rsidR="00BE772C" w:rsidRPr="008946F3" w:rsidRDefault="00714F70">
      <w:pPr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 w:rsidR="00421994" w:rsidRPr="008946F3">
        <w:rPr>
          <w:rFonts w:ascii="Arial" w:hAnsi="Arial" w:cs="Arial"/>
          <w:sz w:val="22"/>
          <w:szCs w:val="22"/>
          <w:lang w:val="en-GB"/>
        </w:rPr>
        <w:t xml:space="preserve"> is mainly present in the temperate zones of the earth. Occurrences of the species seems higher in coastal areas, suggesting a higher suitability in </w:t>
      </w:r>
      <w:r>
        <w:rPr>
          <w:rFonts w:ascii="Arial" w:hAnsi="Arial" w:cs="Arial"/>
          <w:sz w:val="22"/>
          <w:szCs w:val="22"/>
          <w:lang w:val="en-GB"/>
        </w:rPr>
        <w:t xml:space="preserve">an </w:t>
      </w:r>
      <w:r w:rsidR="00421994" w:rsidRPr="008946F3">
        <w:rPr>
          <w:rFonts w:ascii="Arial" w:hAnsi="Arial" w:cs="Arial"/>
          <w:sz w:val="22"/>
          <w:szCs w:val="22"/>
          <w:lang w:val="en-GB"/>
        </w:rPr>
        <w:t xml:space="preserve">oceanic or maritime climate. This type of climate is characterized by mild winters and warm summers, with moderate to high rainfall during the whole year. </w:t>
      </w:r>
    </w:p>
    <w:p w14:paraId="67CFF42C" w14:textId="77777777" w:rsidR="008946F3" w:rsidRDefault="008946F3" w:rsidP="00126193">
      <w:pPr>
        <w:rPr>
          <w:rFonts w:ascii="Arial" w:hAnsi="Arial" w:cs="Arial"/>
          <w:sz w:val="22"/>
          <w:szCs w:val="22"/>
          <w:lang w:val="en-GB"/>
        </w:rPr>
      </w:pPr>
    </w:p>
    <w:p w14:paraId="6014DE5D" w14:textId="1A5E79BF" w:rsidR="00126193" w:rsidRPr="008946F3" w:rsidRDefault="00DB5971" w:rsidP="008946F3">
      <w:pPr>
        <w:jc w:val="center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M</w:t>
      </w:r>
      <w:r w:rsidR="008946F3">
        <w:rPr>
          <w:rFonts w:ascii="Arial" w:hAnsi="Arial" w:cs="Arial"/>
          <w:sz w:val="26"/>
          <w:szCs w:val="26"/>
          <w:lang w:val="en-GB"/>
        </w:rPr>
        <w:t>ethod</w:t>
      </w:r>
      <w:r w:rsidR="00CD7D22">
        <w:rPr>
          <w:rFonts w:ascii="Arial" w:hAnsi="Arial" w:cs="Arial"/>
          <w:sz w:val="26"/>
          <w:szCs w:val="26"/>
          <w:lang w:val="en-GB"/>
        </w:rPr>
        <w:t>ology</w:t>
      </w:r>
    </w:p>
    <w:p w14:paraId="220DD87E" w14:textId="31FCDA34" w:rsidR="00582EA0" w:rsidRDefault="00126193" w:rsidP="00582EA0">
      <w:pPr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sz w:val="22"/>
          <w:szCs w:val="22"/>
          <w:lang w:val="en-GB"/>
        </w:rPr>
        <w:t>Occurrence data were download</w:t>
      </w:r>
      <w:r w:rsidR="0092016E">
        <w:rPr>
          <w:rFonts w:ascii="Arial" w:hAnsi="Arial" w:cs="Arial"/>
          <w:sz w:val="22"/>
          <w:szCs w:val="22"/>
          <w:lang w:val="en-GB"/>
        </w:rPr>
        <w:t>ed</w:t>
      </w:r>
      <w:r w:rsidRPr="008946F3">
        <w:rPr>
          <w:rFonts w:ascii="Arial" w:hAnsi="Arial" w:cs="Arial"/>
          <w:sz w:val="22"/>
          <w:szCs w:val="22"/>
          <w:lang w:val="en-GB"/>
        </w:rPr>
        <w:t xml:space="preserve"> from GBIF</w:t>
      </w:r>
      <w:r w:rsidRPr="008946F3">
        <w:rPr>
          <w:rStyle w:val="FootnoteReference"/>
          <w:rFonts w:ascii="Arial" w:hAnsi="Arial" w:cs="Arial"/>
          <w:sz w:val="22"/>
          <w:szCs w:val="22"/>
          <w:lang w:val="en-GB"/>
        </w:rPr>
        <w:footnoteReference w:id="1"/>
      </w:r>
      <w:r w:rsidRPr="008946F3">
        <w:rPr>
          <w:rFonts w:ascii="Arial" w:hAnsi="Arial" w:cs="Arial"/>
          <w:sz w:val="22"/>
          <w:szCs w:val="22"/>
          <w:lang w:val="en-GB"/>
        </w:rPr>
        <w:t xml:space="preserve">. </w:t>
      </w:r>
      <w:r w:rsidR="0092016E">
        <w:rPr>
          <w:rFonts w:ascii="Arial" w:hAnsi="Arial" w:cs="Arial"/>
          <w:sz w:val="22"/>
          <w:szCs w:val="22"/>
          <w:lang w:val="en-GB"/>
        </w:rPr>
        <w:t>F</w:t>
      </w:r>
      <w:r w:rsidRPr="008946F3">
        <w:rPr>
          <w:rFonts w:ascii="Arial" w:hAnsi="Arial" w:cs="Arial"/>
          <w:sz w:val="22"/>
          <w:szCs w:val="22"/>
          <w:lang w:val="en-GB"/>
        </w:rPr>
        <w:t xml:space="preserve">igure 1 shows the georeferenced records (n=427) in GBIF. </w:t>
      </w:r>
      <w:r w:rsidR="0092016E">
        <w:rPr>
          <w:rFonts w:ascii="Arial" w:hAnsi="Arial" w:cs="Arial"/>
          <w:sz w:val="22"/>
          <w:szCs w:val="22"/>
          <w:lang w:val="en-GB"/>
        </w:rPr>
        <w:t xml:space="preserve">Climate variables were downloaded from </w:t>
      </w:r>
      <w:proofErr w:type="spellStart"/>
      <w:r w:rsidR="0092016E">
        <w:rPr>
          <w:rFonts w:ascii="Arial" w:hAnsi="Arial" w:cs="Arial"/>
          <w:sz w:val="22"/>
          <w:szCs w:val="22"/>
          <w:lang w:val="en-GB"/>
        </w:rPr>
        <w:t>WorldClim</w:t>
      </w:r>
      <w:proofErr w:type="spellEnd"/>
      <w:r w:rsidR="0092016E">
        <w:rPr>
          <w:rFonts w:ascii="Arial" w:hAnsi="Arial" w:cs="Arial"/>
          <w:sz w:val="22"/>
          <w:szCs w:val="22"/>
          <w:lang w:val="en-GB"/>
        </w:rPr>
        <w:t xml:space="preserve"> 1.4: current and future bioclimatic variables both at 5 minute resolution. For the future bioclimatic variables </w:t>
      </w:r>
      <w:r w:rsidR="00700180">
        <w:rPr>
          <w:rFonts w:ascii="Arial" w:hAnsi="Arial" w:cs="Arial"/>
          <w:sz w:val="22"/>
          <w:szCs w:val="22"/>
          <w:lang w:val="en-GB"/>
        </w:rPr>
        <w:t>climate model HadGEM2-AO</w:t>
      </w:r>
      <w:r w:rsidR="00700180" w:rsidRPr="00FA02DB">
        <w:rPr>
          <w:rFonts w:ascii="Arial" w:hAnsi="Arial" w:cs="Arial"/>
          <w:sz w:val="22"/>
          <w:szCs w:val="22"/>
          <w:lang w:val="en-GB"/>
        </w:rPr>
        <w:t xml:space="preserve"> </w:t>
      </w:r>
      <w:r w:rsidR="00700180">
        <w:rPr>
          <w:rFonts w:ascii="Arial" w:hAnsi="Arial" w:cs="Arial"/>
          <w:sz w:val="22"/>
          <w:szCs w:val="22"/>
          <w:lang w:val="en-GB"/>
        </w:rPr>
        <w:t xml:space="preserve">has been selected with </w:t>
      </w:r>
      <w:r w:rsidR="00FA02DB" w:rsidRPr="00FA02DB">
        <w:rPr>
          <w:rFonts w:ascii="Arial" w:hAnsi="Arial" w:cs="Arial"/>
          <w:sz w:val="22"/>
          <w:szCs w:val="22"/>
          <w:lang w:val="en-GB"/>
        </w:rPr>
        <w:t>Representative Concentration Pathway</w:t>
      </w:r>
      <w:r w:rsidR="00FA02DB">
        <w:rPr>
          <w:rFonts w:ascii="Arial" w:hAnsi="Arial" w:cs="Arial"/>
          <w:sz w:val="22"/>
          <w:szCs w:val="22"/>
          <w:lang w:val="en-GB"/>
        </w:rPr>
        <w:t xml:space="preserve"> (</w:t>
      </w:r>
      <w:r w:rsidR="0092016E">
        <w:rPr>
          <w:rFonts w:ascii="Arial" w:hAnsi="Arial" w:cs="Arial"/>
          <w:sz w:val="22"/>
          <w:szCs w:val="22"/>
          <w:lang w:val="en-GB"/>
        </w:rPr>
        <w:t>RCP</w:t>
      </w:r>
      <w:r w:rsidR="00FA02DB">
        <w:rPr>
          <w:rFonts w:ascii="Arial" w:hAnsi="Arial" w:cs="Arial"/>
          <w:sz w:val="22"/>
          <w:szCs w:val="22"/>
          <w:lang w:val="en-GB"/>
        </w:rPr>
        <w:t>)</w:t>
      </w:r>
      <w:r w:rsidR="0092016E">
        <w:rPr>
          <w:rFonts w:ascii="Arial" w:hAnsi="Arial" w:cs="Arial"/>
          <w:sz w:val="22"/>
          <w:szCs w:val="22"/>
          <w:lang w:val="en-GB"/>
        </w:rPr>
        <w:t xml:space="preserve"> 6.0</w:t>
      </w:r>
      <w:r w:rsidR="00FA02DB">
        <w:rPr>
          <w:rFonts w:ascii="Arial" w:hAnsi="Arial" w:cs="Arial"/>
          <w:sz w:val="22"/>
          <w:szCs w:val="22"/>
          <w:lang w:val="en-GB"/>
        </w:rPr>
        <w:t xml:space="preserve">. According to this scenario the temperature will rise with 1.3 degrees in the period from </w:t>
      </w:r>
      <w:r w:rsidR="00FA02DB">
        <w:rPr>
          <w:rFonts w:ascii="Arial" w:hAnsi="Arial" w:cs="Arial"/>
          <w:sz w:val="22"/>
          <w:szCs w:val="22"/>
          <w:lang w:val="en-GB"/>
        </w:rPr>
        <w:lastRenderedPageBreak/>
        <w:t xml:space="preserve">2046 to 2065. </w:t>
      </w:r>
      <w:r w:rsidR="00582EA0">
        <w:rPr>
          <w:rFonts w:ascii="Arial" w:hAnsi="Arial" w:cs="Arial"/>
          <w:sz w:val="22"/>
          <w:szCs w:val="22"/>
          <w:lang w:val="en-GB"/>
        </w:rPr>
        <w:t>In RStudio correlation tests have been performed to check for highly correlated bioclimatic variables (</w:t>
      </w:r>
      <w:proofErr w:type="spellStart"/>
      <w:r w:rsidR="00582EA0">
        <w:rPr>
          <w:rFonts w:ascii="Arial" w:hAnsi="Arial" w:cs="Arial"/>
          <w:sz w:val="22"/>
          <w:szCs w:val="22"/>
          <w:lang w:val="en-GB"/>
        </w:rPr>
        <w:t>cor</w:t>
      </w:r>
      <w:proofErr w:type="spellEnd"/>
      <w:r w:rsidR="00582EA0">
        <w:rPr>
          <w:rFonts w:ascii="Arial" w:hAnsi="Arial" w:cs="Arial"/>
          <w:sz w:val="22"/>
          <w:szCs w:val="22"/>
          <w:lang w:val="en-GB"/>
        </w:rPr>
        <w:t xml:space="preserve"> &gt;= 0.7, </w:t>
      </w:r>
      <w:proofErr w:type="spellStart"/>
      <w:r w:rsidR="00582EA0">
        <w:rPr>
          <w:rFonts w:ascii="Arial" w:hAnsi="Arial" w:cs="Arial"/>
          <w:sz w:val="22"/>
          <w:szCs w:val="22"/>
          <w:lang w:val="en-GB"/>
        </w:rPr>
        <w:t>cor</w:t>
      </w:r>
      <w:proofErr w:type="spellEnd"/>
      <w:r w:rsidR="00582EA0">
        <w:rPr>
          <w:rFonts w:ascii="Arial" w:hAnsi="Arial" w:cs="Arial"/>
          <w:sz w:val="22"/>
          <w:szCs w:val="22"/>
          <w:lang w:val="en-GB"/>
        </w:rPr>
        <w:t xml:space="preserve"> &lt;=-0.7). </w:t>
      </w:r>
      <w:r w:rsidR="00582EA0" w:rsidRPr="008946F3">
        <w:rPr>
          <w:rFonts w:ascii="Arial" w:hAnsi="Arial" w:cs="Arial"/>
          <w:sz w:val="22"/>
          <w:szCs w:val="22"/>
          <w:lang w:val="en-GB"/>
        </w:rPr>
        <w:t xml:space="preserve">The variables that were selected after testing were BIO1 (Annual Mean Temperature), BIO12 (Annual Precipitation) and BIO15 (Precipitation Seasonality). As </w:t>
      </w:r>
      <w:r w:rsidR="00582EA0">
        <w:rPr>
          <w:rFonts w:ascii="Arial" w:hAnsi="Arial" w:cs="Arial"/>
          <w:sz w:val="22"/>
          <w:szCs w:val="22"/>
          <w:lang w:val="en-GB"/>
        </w:rPr>
        <w:t xml:space="preserve">the distribution of </w:t>
      </w:r>
      <w:r w:rsidR="00582EA0" w:rsidRPr="00582EA0">
        <w:rPr>
          <w:rFonts w:ascii="Arial" w:hAnsi="Arial" w:cs="Arial"/>
          <w:i/>
          <w:sz w:val="22"/>
          <w:szCs w:val="22"/>
          <w:lang w:val="en-GB"/>
        </w:rPr>
        <w:t xml:space="preserve">E. </w:t>
      </w:r>
      <w:proofErr w:type="spellStart"/>
      <w:r w:rsidR="00582EA0" w:rsidRPr="00582EA0">
        <w:rPr>
          <w:rFonts w:ascii="Arial" w:hAnsi="Arial" w:cs="Arial"/>
          <w:i/>
          <w:sz w:val="22"/>
          <w:szCs w:val="22"/>
          <w:lang w:val="en-GB"/>
        </w:rPr>
        <w:t>tef</w:t>
      </w:r>
      <w:proofErr w:type="spellEnd"/>
      <w:r w:rsidR="00582EA0" w:rsidRPr="008946F3">
        <w:rPr>
          <w:rFonts w:ascii="Arial" w:hAnsi="Arial" w:cs="Arial"/>
          <w:sz w:val="22"/>
          <w:szCs w:val="22"/>
          <w:lang w:val="en-GB"/>
        </w:rPr>
        <w:t xml:space="preserve"> widesprea</w:t>
      </w:r>
      <w:r w:rsidR="00582EA0">
        <w:rPr>
          <w:rFonts w:ascii="Arial" w:hAnsi="Arial" w:cs="Arial"/>
          <w:sz w:val="22"/>
          <w:szCs w:val="22"/>
          <w:lang w:val="en-GB"/>
        </w:rPr>
        <w:t>d</w:t>
      </w:r>
      <w:r w:rsidR="00582EA0" w:rsidRPr="008946F3">
        <w:rPr>
          <w:rFonts w:ascii="Arial" w:hAnsi="Arial" w:cs="Arial"/>
          <w:sz w:val="22"/>
          <w:szCs w:val="22"/>
          <w:lang w:val="en-GB"/>
        </w:rPr>
        <w:t xml:space="preserve">, the more general variables were selected. </w:t>
      </w:r>
    </w:p>
    <w:p w14:paraId="4C4BBB4E" w14:textId="622F7C50" w:rsidR="00582EA0" w:rsidRDefault="00582EA0" w:rsidP="00582EA0">
      <w:pPr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  <w:lang w:val="en-GB"/>
        </w:rPr>
        <w:t>MaxEnt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was used to make prediction models of the species distribution for the present and future climate. </w:t>
      </w:r>
      <w:r w:rsidR="00642EF8">
        <w:rPr>
          <w:rFonts w:ascii="Arial" w:hAnsi="Arial" w:cs="Arial"/>
          <w:sz w:val="22"/>
          <w:szCs w:val="22"/>
          <w:lang w:val="en-GB"/>
        </w:rPr>
        <w:t xml:space="preserve">The ‘Random test percentage’ was set to 0 and ‘Max number of background points’ to 10 000. </w:t>
      </w:r>
    </w:p>
    <w:p w14:paraId="52C0F82E" w14:textId="4FFDE4DC" w:rsidR="00CD7D22" w:rsidRDefault="00CD7D22" w:rsidP="00582EA0">
      <w:pPr>
        <w:rPr>
          <w:rFonts w:ascii="Arial" w:hAnsi="Arial" w:cs="Arial"/>
          <w:sz w:val="22"/>
          <w:szCs w:val="22"/>
          <w:lang w:val="en-GB"/>
        </w:rPr>
      </w:pPr>
    </w:p>
    <w:p w14:paraId="5A41B831" w14:textId="7FA23D74" w:rsidR="00CD7D22" w:rsidRPr="00CD7D22" w:rsidRDefault="00CD7D22" w:rsidP="00CD7D22">
      <w:pPr>
        <w:jc w:val="center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Model Output</w:t>
      </w:r>
    </w:p>
    <w:p w14:paraId="0B941CF8" w14:textId="2DC8222A" w:rsidR="003E7ABF" w:rsidRDefault="00382436" w:rsidP="00AC09F6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noProof/>
          <w:sz w:val="22"/>
          <w:szCs w:val="22"/>
          <w:lang w:val="en-GB"/>
        </w:rPr>
        <w:drawing>
          <wp:inline distT="0" distB="0" distL="0" distR="0" wp14:anchorId="4FB06E0F" wp14:editId="3E1103B6">
            <wp:extent cx="4305300" cy="235490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sentdistr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9974" r="1895" b="7802"/>
                    <a:stretch/>
                  </pic:blipFill>
                  <pic:spPr bwMode="auto">
                    <a:xfrm>
                      <a:off x="0" y="0"/>
                      <a:ext cx="4329893" cy="236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8DDB" w14:textId="643F7FC1" w:rsidR="00D347D2" w:rsidRPr="00D347D2" w:rsidRDefault="00D347D2" w:rsidP="00AC09F6">
      <w:pPr>
        <w:jc w:val="center"/>
        <w:rPr>
          <w:rFonts w:ascii="Arial" w:hAnsi="Arial" w:cs="Arial"/>
          <w:i/>
          <w:sz w:val="20"/>
          <w:szCs w:val="20"/>
          <w:lang w:val="en-GB"/>
        </w:rPr>
      </w:pPr>
      <w:r w:rsidRPr="00D347D2">
        <w:rPr>
          <w:rFonts w:ascii="Arial" w:hAnsi="Arial" w:cs="Arial"/>
          <w:b/>
          <w:i/>
          <w:sz w:val="20"/>
          <w:szCs w:val="20"/>
          <w:lang w:val="en-GB"/>
        </w:rPr>
        <w:t>Figure 2</w:t>
      </w:r>
      <w:r>
        <w:rPr>
          <w:rFonts w:ascii="Arial" w:hAnsi="Arial" w:cs="Arial"/>
          <w:i/>
          <w:sz w:val="20"/>
          <w:szCs w:val="20"/>
          <w:lang w:val="en-GB"/>
        </w:rPr>
        <w:t xml:space="preserve"> Habitat suitability prediction based on current bioclimatic variables</w:t>
      </w:r>
    </w:p>
    <w:p w14:paraId="3EC70EBD" w14:textId="50396981" w:rsidR="00D347D2" w:rsidRDefault="00AC09F6" w:rsidP="00CD7D22">
      <w:pPr>
        <w:jc w:val="center"/>
        <w:rPr>
          <w:rFonts w:ascii="Arial" w:hAnsi="Arial" w:cs="Arial"/>
          <w:noProof/>
          <w:sz w:val="22"/>
          <w:szCs w:val="22"/>
          <w:lang w:val="en-GB"/>
        </w:rPr>
      </w:pPr>
      <w:r w:rsidRPr="008946F3">
        <w:rPr>
          <w:rFonts w:ascii="Arial" w:hAnsi="Arial" w:cs="Arial"/>
          <w:sz w:val="22"/>
          <w:szCs w:val="22"/>
          <w:lang w:val="en-GB"/>
        </w:rPr>
        <w:t xml:space="preserve">In figure </w:t>
      </w:r>
      <w:r w:rsidR="00255AF3">
        <w:rPr>
          <w:rFonts w:ascii="Arial" w:hAnsi="Arial" w:cs="Arial"/>
          <w:sz w:val="22"/>
          <w:szCs w:val="22"/>
          <w:lang w:val="en-GB"/>
        </w:rPr>
        <w:t>2</w:t>
      </w:r>
      <w:r w:rsidRPr="008946F3">
        <w:rPr>
          <w:rFonts w:ascii="Arial" w:hAnsi="Arial" w:cs="Arial"/>
          <w:sz w:val="22"/>
          <w:szCs w:val="22"/>
          <w:lang w:val="en-GB"/>
        </w:rPr>
        <w:t xml:space="preserve"> the predicted distribution based on current climate data is shown.</w:t>
      </w:r>
      <w:r w:rsidR="00421994" w:rsidRPr="008946F3">
        <w:rPr>
          <w:rFonts w:ascii="Arial" w:hAnsi="Arial" w:cs="Arial"/>
          <w:sz w:val="22"/>
          <w:szCs w:val="22"/>
          <w:lang w:val="en-GB"/>
        </w:rPr>
        <w:t xml:space="preserve"> This predicted distribution map is highly similar to the GBIF georeferenced records map</w:t>
      </w:r>
      <w:r w:rsidR="0096720A" w:rsidRPr="008946F3">
        <w:rPr>
          <w:rFonts w:ascii="Arial" w:hAnsi="Arial" w:cs="Arial"/>
          <w:sz w:val="22"/>
          <w:szCs w:val="22"/>
          <w:lang w:val="en-GB"/>
        </w:rPr>
        <w:t xml:space="preserve"> (fig. </w:t>
      </w:r>
      <w:r w:rsidR="00255AF3">
        <w:rPr>
          <w:rFonts w:ascii="Arial" w:hAnsi="Arial" w:cs="Arial"/>
          <w:sz w:val="22"/>
          <w:szCs w:val="22"/>
          <w:lang w:val="en-GB"/>
        </w:rPr>
        <w:t>1</w:t>
      </w:r>
      <w:r w:rsidR="0096720A" w:rsidRPr="008946F3">
        <w:rPr>
          <w:rFonts w:ascii="Arial" w:hAnsi="Arial" w:cs="Arial"/>
          <w:sz w:val="22"/>
          <w:szCs w:val="22"/>
          <w:lang w:val="en-GB"/>
        </w:rPr>
        <w:t xml:space="preserve">) with </w:t>
      </w:r>
      <w:r w:rsidR="00CD7D22">
        <w:rPr>
          <w:rFonts w:ascii="Arial" w:hAnsi="Arial" w:cs="Arial"/>
          <w:sz w:val="22"/>
          <w:szCs w:val="22"/>
          <w:lang w:val="en-GB"/>
        </w:rPr>
        <w:t>some ex</w:t>
      </w:r>
      <w:r w:rsidR="0096720A" w:rsidRPr="008946F3">
        <w:rPr>
          <w:rFonts w:ascii="Arial" w:hAnsi="Arial" w:cs="Arial"/>
          <w:sz w:val="22"/>
          <w:szCs w:val="22"/>
          <w:lang w:val="en-GB"/>
        </w:rPr>
        <w:t xml:space="preserve">pansion among the coastal areas of the southern hemisphere. </w:t>
      </w:r>
    </w:p>
    <w:p w14:paraId="1CF86009" w14:textId="758D3F0D" w:rsidR="00FF4191" w:rsidRDefault="00FF4191" w:rsidP="00CD7D22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noProof/>
          <w:sz w:val="22"/>
          <w:szCs w:val="22"/>
          <w:lang w:val="en-GB"/>
        </w:rPr>
        <w:drawing>
          <wp:inline distT="0" distB="0" distL="0" distR="0" wp14:anchorId="3A5C4AD1" wp14:editId="082C58CE">
            <wp:extent cx="4794250" cy="25781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turepred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" t="10074" r="2162" b="8121"/>
                    <a:stretch/>
                  </pic:blipFill>
                  <pic:spPr bwMode="auto">
                    <a:xfrm>
                      <a:off x="0" y="0"/>
                      <a:ext cx="47942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C01F" w14:textId="3361EFBA" w:rsidR="00D347D2" w:rsidRPr="00D347D2" w:rsidRDefault="00D347D2" w:rsidP="00CD7D22">
      <w:pPr>
        <w:jc w:val="center"/>
        <w:rPr>
          <w:rFonts w:ascii="Arial" w:hAnsi="Arial" w:cs="Arial"/>
          <w:i/>
          <w:sz w:val="20"/>
          <w:szCs w:val="20"/>
          <w:lang w:val="en-GB"/>
        </w:rPr>
      </w:pPr>
      <w:r w:rsidRPr="00486BE2">
        <w:rPr>
          <w:rFonts w:ascii="Arial" w:hAnsi="Arial" w:cs="Arial"/>
          <w:b/>
          <w:i/>
          <w:sz w:val="20"/>
          <w:szCs w:val="20"/>
          <w:lang w:val="en-GB"/>
        </w:rPr>
        <w:t>Figure 3</w:t>
      </w:r>
      <w:r>
        <w:rPr>
          <w:rFonts w:ascii="Arial" w:hAnsi="Arial" w:cs="Arial"/>
          <w:i/>
          <w:sz w:val="20"/>
          <w:szCs w:val="20"/>
          <w:lang w:val="en-GB"/>
        </w:rPr>
        <w:t xml:space="preserve"> Habitat suitability prediction based on future (2050) bioclimatic variables</w:t>
      </w:r>
    </w:p>
    <w:p w14:paraId="3747649C" w14:textId="261A8D51" w:rsidR="0096720A" w:rsidRDefault="0096720A" w:rsidP="00FF4191">
      <w:pPr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sz w:val="22"/>
          <w:szCs w:val="22"/>
          <w:lang w:val="en-GB"/>
        </w:rPr>
        <w:lastRenderedPageBreak/>
        <w:t xml:space="preserve">Figure </w:t>
      </w:r>
      <w:r w:rsidR="00486BE2">
        <w:rPr>
          <w:rFonts w:ascii="Arial" w:hAnsi="Arial" w:cs="Arial"/>
          <w:sz w:val="22"/>
          <w:szCs w:val="22"/>
          <w:lang w:val="en-GB"/>
        </w:rPr>
        <w:t>3</w:t>
      </w:r>
      <w:r w:rsidRPr="008946F3">
        <w:rPr>
          <w:rFonts w:ascii="Arial" w:hAnsi="Arial" w:cs="Arial"/>
          <w:sz w:val="22"/>
          <w:szCs w:val="22"/>
          <w:lang w:val="en-GB"/>
        </w:rPr>
        <w:t xml:space="preserve"> gives the predicted distribution in 2050.</w:t>
      </w:r>
      <w:r w:rsidR="00FF4191" w:rsidRPr="008946F3">
        <w:rPr>
          <w:rFonts w:ascii="Arial" w:hAnsi="Arial" w:cs="Arial"/>
          <w:sz w:val="22"/>
          <w:szCs w:val="22"/>
          <w:lang w:val="en-GB"/>
        </w:rPr>
        <w:t xml:space="preserve"> In this scenario it is predicted that the distribution of </w:t>
      </w:r>
      <w:r w:rsidR="00FF4191" w:rsidRPr="00486BE2">
        <w:rPr>
          <w:rFonts w:ascii="Arial" w:hAnsi="Arial" w:cs="Arial"/>
          <w:i/>
          <w:sz w:val="22"/>
          <w:szCs w:val="22"/>
          <w:lang w:val="en-GB"/>
        </w:rPr>
        <w:t xml:space="preserve">E. </w:t>
      </w:r>
      <w:proofErr w:type="spellStart"/>
      <w:r w:rsidR="00FF4191" w:rsidRPr="00486BE2">
        <w:rPr>
          <w:rFonts w:ascii="Arial" w:hAnsi="Arial" w:cs="Arial"/>
          <w:i/>
          <w:sz w:val="22"/>
          <w:szCs w:val="22"/>
          <w:lang w:val="en-GB"/>
        </w:rPr>
        <w:t>tef</w:t>
      </w:r>
      <w:proofErr w:type="spellEnd"/>
      <w:r w:rsidR="00FF4191" w:rsidRPr="008946F3">
        <w:rPr>
          <w:rFonts w:ascii="Arial" w:hAnsi="Arial" w:cs="Arial"/>
          <w:sz w:val="22"/>
          <w:szCs w:val="22"/>
          <w:lang w:val="en-GB"/>
        </w:rPr>
        <w:t xml:space="preserve"> will move away from the equator towards the polar regions</w:t>
      </w:r>
      <w:r w:rsidR="006C23E6" w:rsidRPr="008946F3">
        <w:rPr>
          <w:rFonts w:ascii="Arial" w:hAnsi="Arial" w:cs="Arial"/>
          <w:sz w:val="22"/>
          <w:szCs w:val="22"/>
          <w:lang w:val="en-GB"/>
        </w:rPr>
        <w:t xml:space="preserve">: in middle Europe the occurrence of </w:t>
      </w:r>
      <w:proofErr w:type="spellStart"/>
      <w:r w:rsidR="00486BE2">
        <w:rPr>
          <w:rFonts w:ascii="Arial" w:hAnsi="Arial" w:cs="Arial"/>
          <w:sz w:val="22"/>
          <w:szCs w:val="22"/>
          <w:lang w:val="en-GB"/>
        </w:rPr>
        <w:t>t</w:t>
      </w:r>
      <w:r w:rsidR="006C23E6" w:rsidRPr="008946F3">
        <w:rPr>
          <w:rFonts w:ascii="Arial" w:hAnsi="Arial" w:cs="Arial"/>
          <w:sz w:val="22"/>
          <w:szCs w:val="22"/>
          <w:lang w:val="en-GB"/>
        </w:rPr>
        <w:t>ef</w:t>
      </w:r>
      <w:r w:rsidR="00486BE2">
        <w:rPr>
          <w:rFonts w:ascii="Arial" w:hAnsi="Arial" w:cs="Arial"/>
          <w:sz w:val="22"/>
          <w:szCs w:val="22"/>
          <w:lang w:val="en-GB"/>
        </w:rPr>
        <w:t>f</w:t>
      </w:r>
      <w:proofErr w:type="spellEnd"/>
      <w:r w:rsidR="006C23E6" w:rsidRPr="008946F3">
        <w:rPr>
          <w:rFonts w:ascii="Arial" w:hAnsi="Arial" w:cs="Arial"/>
          <w:sz w:val="22"/>
          <w:szCs w:val="22"/>
          <w:lang w:val="en-GB"/>
        </w:rPr>
        <w:t xml:space="preserve"> is predicted to dramatically decrease but seems to increase in the northern Scandinavian regions. In South Africa and Australia the distribution of </w:t>
      </w:r>
      <w:proofErr w:type="spellStart"/>
      <w:r w:rsidR="00486BE2"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 w:rsidR="00486BE2">
        <w:rPr>
          <w:rFonts w:ascii="Arial" w:hAnsi="Arial" w:cs="Arial"/>
          <w:sz w:val="22"/>
          <w:szCs w:val="22"/>
          <w:lang w:val="en-GB"/>
        </w:rPr>
        <w:t xml:space="preserve"> </w:t>
      </w:r>
      <w:r w:rsidR="006C23E6" w:rsidRPr="008946F3">
        <w:rPr>
          <w:rFonts w:ascii="Arial" w:hAnsi="Arial" w:cs="Arial"/>
          <w:sz w:val="22"/>
          <w:szCs w:val="22"/>
          <w:lang w:val="en-GB"/>
        </w:rPr>
        <w:t xml:space="preserve">is driven to the uttermost southern regions. </w:t>
      </w:r>
      <w:r w:rsidR="00CD7D22">
        <w:rPr>
          <w:rFonts w:ascii="Arial" w:hAnsi="Arial" w:cs="Arial"/>
          <w:sz w:val="22"/>
          <w:szCs w:val="22"/>
          <w:lang w:val="en-GB"/>
        </w:rPr>
        <w:t>It also seems that in this map</w:t>
      </w:r>
      <w:r w:rsidR="00486BE2">
        <w:rPr>
          <w:rFonts w:ascii="Arial" w:hAnsi="Arial" w:cs="Arial"/>
          <w:sz w:val="22"/>
          <w:szCs w:val="22"/>
          <w:lang w:val="en-GB"/>
        </w:rPr>
        <w:t xml:space="preserve"> the grass</w:t>
      </w:r>
      <w:r w:rsidR="00CD7D22">
        <w:rPr>
          <w:rFonts w:ascii="Arial" w:hAnsi="Arial" w:cs="Arial"/>
          <w:sz w:val="22"/>
          <w:szCs w:val="22"/>
          <w:lang w:val="en-GB"/>
        </w:rPr>
        <w:t xml:space="preserve"> is doing well in the mountain ranges of the Andes, </w:t>
      </w:r>
      <w:r w:rsidR="00486BE2">
        <w:rPr>
          <w:rFonts w:ascii="Arial" w:hAnsi="Arial" w:cs="Arial"/>
          <w:sz w:val="22"/>
          <w:szCs w:val="22"/>
          <w:lang w:val="en-GB"/>
        </w:rPr>
        <w:t xml:space="preserve">the </w:t>
      </w:r>
      <w:r w:rsidR="00CD7D22">
        <w:rPr>
          <w:rFonts w:ascii="Arial" w:hAnsi="Arial" w:cs="Arial"/>
          <w:sz w:val="22"/>
          <w:szCs w:val="22"/>
          <w:lang w:val="en-GB"/>
        </w:rPr>
        <w:t>Himalaya and</w:t>
      </w:r>
      <w:r w:rsidR="00486BE2">
        <w:rPr>
          <w:rFonts w:ascii="Arial" w:hAnsi="Arial" w:cs="Arial"/>
          <w:sz w:val="22"/>
          <w:szCs w:val="22"/>
          <w:lang w:val="en-GB"/>
        </w:rPr>
        <w:t xml:space="preserve"> the</w:t>
      </w:r>
      <w:r w:rsidR="00CD7D22">
        <w:rPr>
          <w:rFonts w:ascii="Arial" w:hAnsi="Arial" w:cs="Arial"/>
          <w:sz w:val="22"/>
          <w:szCs w:val="22"/>
          <w:lang w:val="en-GB"/>
        </w:rPr>
        <w:t xml:space="preserve"> Alpes. </w:t>
      </w:r>
      <w:r w:rsidR="00486BE2">
        <w:rPr>
          <w:rFonts w:ascii="Arial" w:hAnsi="Arial" w:cs="Arial"/>
          <w:sz w:val="22"/>
          <w:szCs w:val="22"/>
          <w:lang w:val="en-GB"/>
        </w:rPr>
        <w:t xml:space="preserve">In figure 4 this extreme shift is </w:t>
      </w:r>
      <w:r w:rsidR="003911E6">
        <w:rPr>
          <w:rFonts w:ascii="Arial" w:hAnsi="Arial" w:cs="Arial"/>
          <w:sz w:val="22"/>
          <w:szCs w:val="22"/>
          <w:lang w:val="en-GB"/>
        </w:rPr>
        <w:t xml:space="preserve">presented in a clear way. </w:t>
      </w:r>
    </w:p>
    <w:p w14:paraId="24F42651" w14:textId="149AD087" w:rsidR="00486BE2" w:rsidRPr="00CD7D22" w:rsidRDefault="00486BE2" w:rsidP="00486BE2">
      <w:pPr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6"/>
          <w:szCs w:val="26"/>
          <w:lang w:val="en-GB"/>
        </w:rPr>
        <w:drawing>
          <wp:inline distT="0" distB="0" distL="0" distR="0" wp14:anchorId="123E8723" wp14:editId="045AB904">
            <wp:extent cx="4965700" cy="2603499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angesuitablecc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" t="10408" r="1213" b="9072"/>
                    <a:stretch/>
                  </pic:blipFill>
                  <pic:spPr bwMode="auto">
                    <a:xfrm>
                      <a:off x="0" y="0"/>
                      <a:ext cx="4987054" cy="261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C9387" w14:textId="3FC023CE" w:rsidR="003E7ABF" w:rsidRPr="00486BE2" w:rsidRDefault="00486BE2" w:rsidP="00AC09F6">
      <w:pPr>
        <w:jc w:val="center"/>
        <w:rPr>
          <w:rFonts w:ascii="Arial" w:hAnsi="Arial" w:cs="Arial"/>
          <w:i/>
          <w:sz w:val="20"/>
          <w:szCs w:val="20"/>
          <w:lang w:val="en-GB"/>
        </w:rPr>
      </w:pPr>
      <w:r w:rsidRPr="00486BE2">
        <w:rPr>
          <w:rFonts w:ascii="Arial" w:hAnsi="Arial" w:cs="Arial"/>
          <w:b/>
          <w:i/>
          <w:sz w:val="20"/>
          <w:szCs w:val="20"/>
          <w:lang w:val="en-GB"/>
        </w:rPr>
        <w:t>Figure 4</w:t>
      </w:r>
      <w:r>
        <w:rPr>
          <w:rFonts w:ascii="Arial" w:hAnsi="Arial" w:cs="Arial"/>
          <w:i/>
          <w:sz w:val="20"/>
          <w:szCs w:val="20"/>
          <w:lang w:val="en-GB"/>
        </w:rPr>
        <w:t xml:space="preserve"> Response of future scenario. Yellow indicates areas that remain suitable, red indicates areas that lose their suitability and green indicates areas that gain suitability, grey is never suitable. </w:t>
      </w:r>
    </w:p>
    <w:p w14:paraId="7ED9E13D" w14:textId="4F368404" w:rsidR="003E7ABF" w:rsidRDefault="00A72A71" w:rsidP="00A72A71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sz w:val="22"/>
          <w:szCs w:val="22"/>
        </w:rPr>
        <w:drawing>
          <wp:inline distT="0" distB="0" distL="0" distR="0" wp14:anchorId="7500FE00" wp14:editId="57169DF0">
            <wp:extent cx="4733781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804" cy="30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84C" w14:textId="676C03A1" w:rsidR="00D347D2" w:rsidRPr="00D347D2" w:rsidRDefault="00D347D2" w:rsidP="00A72A71">
      <w:pPr>
        <w:jc w:val="center"/>
        <w:rPr>
          <w:rFonts w:ascii="Arial" w:hAnsi="Arial" w:cs="Arial"/>
          <w:i/>
          <w:sz w:val="20"/>
          <w:szCs w:val="20"/>
          <w:lang w:val="en-GB"/>
        </w:rPr>
      </w:pPr>
      <w:r w:rsidRPr="00486BE2">
        <w:rPr>
          <w:rFonts w:ascii="Arial" w:hAnsi="Arial" w:cs="Arial"/>
          <w:b/>
          <w:i/>
          <w:sz w:val="20"/>
          <w:szCs w:val="20"/>
          <w:lang w:val="en-GB"/>
        </w:rPr>
        <w:t xml:space="preserve">Figure </w:t>
      </w:r>
      <w:r w:rsidR="00486BE2" w:rsidRPr="00486BE2">
        <w:rPr>
          <w:rFonts w:ascii="Arial" w:hAnsi="Arial" w:cs="Arial"/>
          <w:b/>
          <w:i/>
          <w:sz w:val="20"/>
          <w:szCs w:val="20"/>
          <w:lang w:val="en-GB"/>
        </w:rPr>
        <w:t>5</w:t>
      </w:r>
      <w:r>
        <w:rPr>
          <w:rFonts w:ascii="Arial" w:hAnsi="Arial" w:cs="Arial"/>
          <w:i/>
          <w:sz w:val="20"/>
          <w:szCs w:val="20"/>
          <w:lang w:val="en-GB"/>
        </w:rPr>
        <w:t xml:space="preserve"> The ROC curve </w:t>
      </w:r>
      <w:r w:rsidR="00486BE2">
        <w:rPr>
          <w:rFonts w:ascii="Arial" w:hAnsi="Arial" w:cs="Arial"/>
          <w:i/>
          <w:sz w:val="20"/>
          <w:szCs w:val="20"/>
          <w:lang w:val="en-GB"/>
        </w:rPr>
        <w:t xml:space="preserve">for E. </w:t>
      </w:r>
      <w:proofErr w:type="spellStart"/>
      <w:r w:rsidR="00486BE2">
        <w:rPr>
          <w:rFonts w:ascii="Arial" w:hAnsi="Arial" w:cs="Arial"/>
          <w:i/>
          <w:sz w:val="20"/>
          <w:szCs w:val="20"/>
          <w:lang w:val="en-GB"/>
        </w:rPr>
        <w:t>tef</w:t>
      </w:r>
      <w:proofErr w:type="spellEnd"/>
      <w:r w:rsidR="00486BE2">
        <w:rPr>
          <w:rFonts w:ascii="Arial" w:hAnsi="Arial" w:cs="Arial"/>
          <w:i/>
          <w:sz w:val="20"/>
          <w:szCs w:val="20"/>
          <w:lang w:val="en-GB"/>
        </w:rPr>
        <w:t xml:space="preserve"> with AUC = 0.993 (</w:t>
      </w:r>
      <w:proofErr w:type="spellStart"/>
      <w:r w:rsidR="00486BE2">
        <w:rPr>
          <w:rFonts w:ascii="Arial" w:hAnsi="Arial" w:cs="Arial"/>
          <w:i/>
          <w:sz w:val="20"/>
          <w:szCs w:val="20"/>
          <w:lang w:val="en-GB"/>
        </w:rPr>
        <w:t>sd</w:t>
      </w:r>
      <w:proofErr w:type="spellEnd"/>
      <w:r w:rsidR="00486BE2">
        <w:rPr>
          <w:rFonts w:ascii="Arial" w:hAnsi="Arial" w:cs="Arial"/>
          <w:i/>
          <w:sz w:val="20"/>
          <w:szCs w:val="20"/>
          <w:lang w:val="en-GB"/>
        </w:rPr>
        <w:t>=0.011)</w:t>
      </w:r>
    </w:p>
    <w:p w14:paraId="5C4C9E54" w14:textId="0A2D7F33" w:rsidR="00A72A71" w:rsidRPr="008946F3" w:rsidRDefault="00116A28" w:rsidP="00BE772C">
      <w:pPr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sz w:val="22"/>
          <w:szCs w:val="22"/>
          <w:lang w:val="en-GB"/>
        </w:rPr>
        <w:t xml:space="preserve">In figure </w:t>
      </w:r>
      <w:r w:rsidR="003911E6">
        <w:rPr>
          <w:rFonts w:ascii="Arial" w:hAnsi="Arial" w:cs="Arial"/>
          <w:sz w:val="22"/>
          <w:szCs w:val="22"/>
          <w:lang w:val="en-GB"/>
        </w:rPr>
        <w:t>5</w:t>
      </w:r>
      <w:r w:rsidRPr="008946F3">
        <w:rPr>
          <w:rFonts w:ascii="Arial" w:hAnsi="Arial" w:cs="Arial"/>
          <w:sz w:val="22"/>
          <w:szCs w:val="22"/>
          <w:lang w:val="en-GB"/>
        </w:rPr>
        <w:t xml:space="preserve"> is the sensitivity (or True Positive Rate) plotted against 1-Specificity (or the False Positive Rate)</w:t>
      </w:r>
      <w:r w:rsidR="00192978" w:rsidRPr="008946F3">
        <w:rPr>
          <w:rFonts w:ascii="Arial" w:hAnsi="Arial" w:cs="Arial"/>
          <w:sz w:val="22"/>
          <w:szCs w:val="22"/>
          <w:lang w:val="en-GB"/>
        </w:rPr>
        <w:t xml:space="preserve"> for all possible classification thresholds which range from 0 to 1. With an AUC of 0.93</w:t>
      </w:r>
      <w:r w:rsidR="00A72A71" w:rsidRPr="008946F3">
        <w:rPr>
          <w:rFonts w:ascii="Arial" w:hAnsi="Arial" w:cs="Arial"/>
          <w:sz w:val="22"/>
          <w:szCs w:val="22"/>
          <w:lang w:val="en-GB"/>
        </w:rPr>
        <w:t>3 (</w:t>
      </w:r>
      <w:proofErr w:type="spellStart"/>
      <w:r w:rsidR="00A72A71" w:rsidRPr="008946F3">
        <w:rPr>
          <w:rFonts w:ascii="Arial" w:hAnsi="Arial" w:cs="Arial"/>
          <w:sz w:val="22"/>
          <w:szCs w:val="22"/>
          <w:lang w:val="en-GB"/>
        </w:rPr>
        <w:t>s</w:t>
      </w:r>
      <w:r w:rsidR="003911E6">
        <w:rPr>
          <w:rFonts w:ascii="Arial" w:hAnsi="Arial" w:cs="Arial"/>
          <w:sz w:val="22"/>
          <w:szCs w:val="22"/>
          <w:lang w:val="en-GB"/>
        </w:rPr>
        <w:t>d</w:t>
      </w:r>
      <w:proofErr w:type="spellEnd"/>
      <w:r w:rsidR="00A72A71" w:rsidRPr="008946F3">
        <w:rPr>
          <w:rFonts w:ascii="Arial" w:hAnsi="Arial" w:cs="Arial"/>
          <w:sz w:val="22"/>
          <w:szCs w:val="22"/>
          <w:lang w:val="en-GB"/>
        </w:rPr>
        <w:t xml:space="preserve"> = 0.011)</w:t>
      </w:r>
      <w:r w:rsidR="00192978" w:rsidRPr="008946F3">
        <w:rPr>
          <w:rFonts w:ascii="Arial" w:hAnsi="Arial" w:cs="Arial"/>
          <w:sz w:val="22"/>
          <w:szCs w:val="22"/>
          <w:lang w:val="en-GB"/>
        </w:rPr>
        <w:t xml:space="preserve"> this model has a high predictive power. </w:t>
      </w:r>
    </w:p>
    <w:p w14:paraId="10B1E742" w14:textId="1A5D6D86" w:rsidR="00BE772C" w:rsidRDefault="0078594D" w:rsidP="00BE772C">
      <w:pPr>
        <w:rPr>
          <w:rFonts w:ascii="Arial" w:hAnsi="Arial" w:cs="Arial"/>
          <w:color w:val="000000"/>
          <w:sz w:val="22"/>
          <w:szCs w:val="22"/>
        </w:rPr>
      </w:pPr>
      <w:r w:rsidRPr="008946F3">
        <w:rPr>
          <w:rFonts w:ascii="Arial" w:hAnsi="Arial" w:cs="Arial"/>
          <w:noProof/>
          <w:color w:val="0000FF"/>
          <w:sz w:val="22"/>
          <w:szCs w:val="22"/>
        </w:rPr>
        <w:lastRenderedPageBreak/>
        <w:drawing>
          <wp:inline distT="0" distB="0" distL="0" distR="0" wp14:anchorId="25835B4A" wp14:editId="47BAF7D4">
            <wp:extent cx="1733550" cy="1155700"/>
            <wp:effectExtent l="0" t="0" r="0" b="6350"/>
            <wp:docPr id="9" name="Picture 9" descr="C:\Species Distribution Model\MAXENT\tesrubf\plots\Eragrostis_tef__Zuccagni__Trotter_bio1_thumb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pecies Distribution Model\MAXENT\tesrubf\plots\Eragrostis_tef__Zuccagni__Trotter_bio1_thumb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17" cy="11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6F3">
        <w:rPr>
          <w:rFonts w:ascii="Arial" w:hAnsi="Arial" w:cs="Arial"/>
          <w:color w:val="000000"/>
          <w:sz w:val="22"/>
          <w:szCs w:val="22"/>
        </w:rPr>
        <w:t> </w:t>
      </w:r>
      <w:r w:rsidRPr="008946F3"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 wp14:anchorId="52FA5752" wp14:editId="421EDEA4">
            <wp:extent cx="1803400" cy="1202267"/>
            <wp:effectExtent l="0" t="0" r="6350" b="0"/>
            <wp:docPr id="6" name="Picture 6" descr="C:\Species Distribution Model\MAXENT\tesrubf\plots\Eragrostis_tef__Zuccagni__Trotter_bio12_thumb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pecies Distribution Model\MAXENT\tesrubf\plots\Eragrostis_tef__Zuccagni__Trotter_bio12_thumb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8" cy="12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6F3">
        <w:rPr>
          <w:rFonts w:ascii="Arial" w:hAnsi="Arial" w:cs="Arial"/>
          <w:color w:val="000000"/>
          <w:sz w:val="22"/>
          <w:szCs w:val="22"/>
        </w:rPr>
        <w:t>  </w:t>
      </w:r>
      <w:r w:rsidR="00A72A71" w:rsidRPr="008946F3"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 wp14:anchorId="7EB8DAE7" wp14:editId="148550B8">
            <wp:extent cx="1752600" cy="1168400"/>
            <wp:effectExtent l="0" t="0" r="0" b="0"/>
            <wp:docPr id="11" name="Picture 11" descr="C:\Species Distribution Model\MAXENT\tesrubf\plots\Eragrostis_tef__Zuccagni__Trotter_bio15_thumb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pecies Distribution Model\MAXENT\tesrubf\plots\Eragrostis_tef__Zuccagni__Trotter_bio15_thumb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01" cy="11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7CE2" w14:textId="6BD207A1" w:rsidR="003911E6" w:rsidRPr="003911E6" w:rsidRDefault="003911E6" w:rsidP="003911E6">
      <w:pPr>
        <w:jc w:val="center"/>
        <w:rPr>
          <w:rFonts w:ascii="Arial" w:hAnsi="Arial" w:cs="Arial"/>
          <w:i/>
          <w:sz w:val="20"/>
          <w:szCs w:val="20"/>
          <w:lang w:val="en-GB"/>
        </w:rPr>
      </w:pPr>
      <w:r w:rsidRPr="003911E6">
        <w:rPr>
          <w:rFonts w:ascii="Arial" w:hAnsi="Arial" w:cs="Arial"/>
          <w:b/>
          <w:i/>
          <w:sz w:val="20"/>
          <w:szCs w:val="20"/>
          <w:lang w:val="en-GB"/>
        </w:rPr>
        <w:t>Figure 6</w:t>
      </w:r>
      <w:r>
        <w:rPr>
          <w:rFonts w:ascii="Arial" w:hAnsi="Arial" w:cs="Arial"/>
          <w:i/>
          <w:sz w:val="20"/>
          <w:szCs w:val="20"/>
          <w:lang w:val="en-GB"/>
        </w:rPr>
        <w:t xml:space="preserve"> Response curves of bioclimatic variables</w:t>
      </w:r>
    </w:p>
    <w:p w14:paraId="01889248" w14:textId="31866337" w:rsidR="0078594D" w:rsidRPr="008946F3" w:rsidRDefault="003911E6" w:rsidP="00BE772C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The climatic variables that were selected for this model were BIO1, BIO12 and BIO15. </w:t>
      </w:r>
      <w:r w:rsidR="0078594D" w:rsidRPr="008946F3">
        <w:rPr>
          <w:rFonts w:ascii="Arial" w:hAnsi="Arial" w:cs="Arial"/>
          <w:sz w:val="22"/>
          <w:szCs w:val="22"/>
          <w:lang w:val="en-GB"/>
        </w:rPr>
        <w:t xml:space="preserve">The response of </w:t>
      </w:r>
      <w:r w:rsidR="0078594D" w:rsidRPr="003911E6">
        <w:rPr>
          <w:rFonts w:ascii="Arial" w:hAnsi="Arial" w:cs="Arial"/>
          <w:i/>
          <w:sz w:val="22"/>
          <w:szCs w:val="22"/>
          <w:lang w:val="en-GB"/>
        </w:rPr>
        <w:t xml:space="preserve">E. </w:t>
      </w:r>
      <w:proofErr w:type="spellStart"/>
      <w:r w:rsidR="0078594D" w:rsidRPr="003911E6">
        <w:rPr>
          <w:rFonts w:ascii="Arial" w:hAnsi="Arial" w:cs="Arial"/>
          <w:i/>
          <w:sz w:val="22"/>
          <w:szCs w:val="22"/>
          <w:lang w:val="en-GB"/>
        </w:rPr>
        <w:t>tef</w:t>
      </w:r>
      <w:proofErr w:type="spellEnd"/>
      <w:r w:rsidR="0078594D" w:rsidRPr="008946F3">
        <w:rPr>
          <w:rFonts w:ascii="Arial" w:hAnsi="Arial" w:cs="Arial"/>
          <w:sz w:val="22"/>
          <w:szCs w:val="22"/>
          <w:lang w:val="en-GB"/>
        </w:rPr>
        <w:t xml:space="preserve"> to the different variables are visualized in the curves of </w:t>
      </w:r>
      <w:r>
        <w:rPr>
          <w:rFonts w:ascii="Arial" w:hAnsi="Arial" w:cs="Arial"/>
          <w:sz w:val="22"/>
          <w:szCs w:val="22"/>
          <w:lang w:val="en-GB"/>
        </w:rPr>
        <w:t>f</w:t>
      </w:r>
      <w:r w:rsidR="0078594D" w:rsidRPr="008946F3">
        <w:rPr>
          <w:rFonts w:ascii="Arial" w:hAnsi="Arial" w:cs="Arial"/>
          <w:sz w:val="22"/>
          <w:szCs w:val="22"/>
          <w:lang w:val="en-GB"/>
        </w:rPr>
        <w:t xml:space="preserve">igure </w:t>
      </w:r>
      <w:r>
        <w:rPr>
          <w:rFonts w:ascii="Arial" w:hAnsi="Arial" w:cs="Arial"/>
          <w:sz w:val="22"/>
          <w:szCs w:val="22"/>
          <w:lang w:val="en-GB"/>
        </w:rPr>
        <w:t>6</w:t>
      </w:r>
      <w:r w:rsidR="0078594D" w:rsidRPr="008946F3">
        <w:rPr>
          <w:rFonts w:ascii="Arial" w:hAnsi="Arial" w:cs="Arial"/>
          <w:sz w:val="22"/>
          <w:szCs w:val="22"/>
          <w:lang w:val="en-GB"/>
        </w:rPr>
        <w:t xml:space="preserve">. </w:t>
      </w:r>
      <w:r w:rsidR="00E6482B" w:rsidRPr="008946F3">
        <w:rPr>
          <w:rFonts w:ascii="Arial" w:hAnsi="Arial" w:cs="Arial"/>
          <w:sz w:val="22"/>
          <w:szCs w:val="22"/>
          <w:lang w:val="en-GB"/>
        </w:rPr>
        <w:t xml:space="preserve">It is clearly visible </w:t>
      </w:r>
      <w:r w:rsidR="0058516F" w:rsidRPr="008946F3">
        <w:rPr>
          <w:rFonts w:ascii="Arial" w:hAnsi="Arial" w:cs="Arial"/>
          <w:sz w:val="22"/>
          <w:szCs w:val="22"/>
          <w:lang w:val="en-GB"/>
        </w:rPr>
        <w:t xml:space="preserve">that </w:t>
      </w:r>
      <w:r w:rsidR="00E6482B" w:rsidRPr="008946F3">
        <w:rPr>
          <w:rFonts w:ascii="Arial" w:hAnsi="Arial" w:cs="Arial"/>
          <w:sz w:val="22"/>
          <w:szCs w:val="22"/>
          <w:lang w:val="en-GB"/>
        </w:rPr>
        <w:t>the variables concerning precipitation have a</w:t>
      </w:r>
      <w:r w:rsidR="00E17D81" w:rsidRPr="008946F3">
        <w:rPr>
          <w:rFonts w:ascii="Arial" w:hAnsi="Arial" w:cs="Arial"/>
          <w:sz w:val="22"/>
          <w:szCs w:val="22"/>
          <w:lang w:val="en-GB"/>
        </w:rPr>
        <w:t>n</w:t>
      </w:r>
      <w:r w:rsidR="00E6482B" w:rsidRPr="008946F3">
        <w:rPr>
          <w:rFonts w:ascii="Arial" w:hAnsi="Arial" w:cs="Arial"/>
          <w:sz w:val="22"/>
          <w:szCs w:val="22"/>
          <w:lang w:val="en-GB"/>
        </w:rPr>
        <w:t xml:space="preserve"> effect on the predicted environmental suitability of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>
        <w:rPr>
          <w:rFonts w:ascii="Arial" w:hAnsi="Arial" w:cs="Arial"/>
          <w:sz w:val="22"/>
          <w:szCs w:val="22"/>
          <w:lang w:val="en-GB"/>
        </w:rPr>
        <w:t>. Both</w:t>
      </w:r>
      <w:r w:rsidR="00E17D81" w:rsidRPr="008946F3">
        <w:rPr>
          <w:rFonts w:ascii="Arial" w:hAnsi="Arial" w:cs="Arial"/>
          <w:sz w:val="22"/>
          <w:szCs w:val="22"/>
          <w:lang w:val="en-GB"/>
        </w:rPr>
        <w:t xml:space="preserve"> response curves show a</w:t>
      </w:r>
      <w:r>
        <w:rPr>
          <w:rFonts w:ascii="Arial" w:hAnsi="Arial" w:cs="Arial"/>
          <w:sz w:val="22"/>
          <w:szCs w:val="22"/>
          <w:lang w:val="en-GB"/>
        </w:rPr>
        <w:t xml:space="preserve"> peak</w:t>
      </w:r>
      <w:r w:rsidR="00E17D81" w:rsidRPr="008946F3">
        <w:rPr>
          <w:rFonts w:ascii="Arial" w:hAnsi="Arial" w:cs="Arial"/>
          <w:sz w:val="22"/>
          <w:szCs w:val="22"/>
          <w:lang w:val="en-GB"/>
        </w:rPr>
        <w:t xml:space="preserve">. </w:t>
      </w:r>
      <w:r w:rsidR="0058516F" w:rsidRPr="008946F3">
        <w:rPr>
          <w:rFonts w:ascii="Arial" w:hAnsi="Arial" w:cs="Arial"/>
          <w:sz w:val="22"/>
          <w:szCs w:val="22"/>
          <w:lang w:val="en-GB"/>
        </w:rPr>
        <w:t>The response curve of BIO1 has a slight, but not convincing optimum and</w:t>
      </w:r>
      <w:r>
        <w:rPr>
          <w:rFonts w:ascii="Arial" w:hAnsi="Arial" w:cs="Arial"/>
          <w:sz w:val="22"/>
          <w:szCs w:val="22"/>
          <w:lang w:val="en-GB"/>
        </w:rPr>
        <w:t xml:space="preserve"> is probably not the most useful variable for making prediction models. Also table 1 shows that BIO1 has</w:t>
      </w:r>
      <w:r w:rsidR="0058516F" w:rsidRPr="008946F3">
        <w:rPr>
          <w:rFonts w:ascii="Arial" w:hAnsi="Arial" w:cs="Arial"/>
          <w:sz w:val="22"/>
          <w:szCs w:val="22"/>
          <w:lang w:val="en-GB"/>
        </w:rPr>
        <w:t xml:space="preserve"> a low relative contribution compared to the other environmental variables. </w:t>
      </w:r>
    </w:p>
    <w:tbl>
      <w:tblPr>
        <w:tblStyle w:val="GridTable4-Accent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"/>
        <w:gridCol w:w="5414"/>
        <w:gridCol w:w="2694"/>
      </w:tblGrid>
      <w:tr w:rsidR="00AC09F6" w:rsidRPr="008946F3" w14:paraId="2B5C9B13" w14:textId="77777777" w:rsidTr="00AC0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2"/>
          </w:tcPr>
          <w:p w14:paraId="05D20312" w14:textId="1A6D1B10" w:rsidR="00AC09F6" w:rsidRPr="008946F3" w:rsidRDefault="00AC09F6" w:rsidP="00AC09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>Environmental Variable</w:t>
            </w:r>
          </w:p>
        </w:tc>
        <w:tc>
          <w:tcPr>
            <w:tcW w:w="2694" w:type="dxa"/>
          </w:tcPr>
          <w:p w14:paraId="2468C0A0" w14:textId="4F6372F0" w:rsidR="00AC09F6" w:rsidRPr="008946F3" w:rsidRDefault="00AC09F6" w:rsidP="00AC0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>Contribution %</w:t>
            </w:r>
          </w:p>
        </w:tc>
      </w:tr>
      <w:tr w:rsidR="00AC09F6" w:rsidRPr="008946F3" w14:paraId="10FD6F6E" w14:textId="77777777" w:rsidTr="00AC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314461AA" w14:textId="4AF3E6B3" w:rsidR="00AC09F6" w:rsidRPr="008946F3" w:rsidRDefault="00AC09F6" w:rsidP="00AC09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 xml:space="preserve">BIO1    </w:t>
            </w:r>
          </w:p>
        </w:tc>
        <w:tc>
          <w:tcPr>
            <w:tcW w:w="5414" w:type="dxa"/>
          </w:tcPr>
          <w:p w14:paraId="1AB5FA07" w14:textId="09E64BE1" w:rsidR="00AC09F6" w:rsidRPr="008946F3" w:rsidRDefault="00AC09F6" w:rsidP="00AC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>Annual Mean Temperature</w:t>
            </w:r>
          </w:p>
        </w:tc>
        <w:tc>
          <w:tcPr>
            <w:tcW w:w="2694" w:type="dxa"/>
          </w:tcPr>
          <w:p w14:paraId="16E10A93" w14:textId="0B63875E" w:rsidR="00AC09F6" w:rsidRPr="008946F3" w:rsidRDefault="00AC09F6" w:rsidP="00AC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>11.7</w:t>
            </w:r>
          </w:p>
        </w:tc>
      </w:tr>
      <w:tr w:rsidR="00AC09F6" w:rsidRPr="008946F3" w14:paraId="4F1960E9" w14:textId="525F69D7" w:rsidTr="00AC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4AAC0DB6" w14:textId="77777777" w:rsidR="00AC09F6" w:rsidRPr="008946F3" w:rsidRDefault="00AC09F6" w:rsidP="00AC09F6">
            <w:pPr>
              <w:rPr>
                <w:rFonts w:ascii="Arial" w:hAnsi="Arial" w:cs="Arial"/>
                <w:b w:val="0"/>
                <w:bCs w:val="0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 xml:space="preserve">BIO12 </w:t>
            </w:r>
          </w:p>
        </w:tc>
        <w:tc>
          <w:tcPr>
            <w:tcW w:w="5414" w:type="dxa"/>
          </w:tcPr>
          <w:p w14:paraId="0D222E8B" w14:textId="01A0BD0D" w:rsidR="00AC09F6" w:rsidRPr="008946F3" w:rsidRDefault="00AC09F6" w:rsidP="00AC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>Annual Precipitation</w:t>
            </w:r>
          </w:p>
        </w:tc>
        <w:tc>
          <w:tcPr>
            <w:tcW w:w="2694" w:type="dxa"/>
          </w:tcPr>
          <w:p w14:paraId="316C3F0A" w14:textId="6AFC25FC" w:rsidR="00AC09F6" w:rsidRPr="008946F3" w:rsidRDefault="00AC09F6" w:rsidP="00AC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>47.3</w:t>
            </w:r>
          </w:p>
        </w:tc>
      </w:tr>
      <w:tr w:rsidR="00AC09F6" w:rsidRPr="008946F3" w14:paraId="0E112657" w14:textId="77777777" w:rsidTr="00AC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43482108" w14:textId="2DFC485C" w:rsidR="00AC09F6" w:rsidRPr="008946F3" w:rsidRDefault="00AC09F6" w:rsidP="00AC09F6">
            <w:pPr>
              <w:rPr>
                <w:rFonts w:ascii="Arial" w:hAnsi="Arial" w:cs="Arial"/>
                <w:bCs w:val="0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bCs w:val="0"/>
                <w:sz w:val="22"/>
                <w:szCs w:val="22"/>
                <w:lang w:val="en-GB"/>
              </w:rPr>
              <w:t>BIO15</w:t>
            </w:r>
          </w:p>
        </w:tc>
        <w:tc>
          <w:tcPr>
            <w:tcW w:w="5414" w:type="dxa"/>
          </w:tcPr>
          <w:p w14:paraId="1BA7B7D1" w14:textId="49998F1B" w:rsidR="00AC09F6" w:rsidRPr="008946F3" w:rsidRDefault="00AC09F6" w:rsidP="00AC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>Precipitation Seasonality (Coefficient of Variation)</w:t>
            </w:r>
          </w:p>
        </w:tc>
        <w:tc>
          <w:tcPr>
            <w:tcW w:w="2694" w:type="dxa"/>
          </w:tcPr>
          <w:p w14:paraId="469F0713" w14:textId="47552164" w:rsidR="00AC09F6" w:rsidRPr="008946F3" w:rsidRDefault="00AC09F6" w:rsidP="00AC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946F3">
              <w:rPr>
                <w:rFonts w:ascii="Arial" w:hAnsi="Arial" w:cs="Arial"/>
                <w:sz w:val="22"/>
                <w:szCs w:val="22"/>
                <w:lang w:val="en-GB"/>
              </w:rPr>
              <w:t>41</w:t>
            </w:r>
          </w:p>
        </w:tc>
      </w:tr>
    </w:tbl>
    <w:p w14:paraId="37CF51C8" w14:textId="1231D2F3" w:rsidR="00CD7D22" w:rsidRDefault="003911E6" w:rsidP="00CD7D22">
      <w:pPr>
        <w:jc w:val="center"/>
        <w:rPr>
          <w:rFonts w:ascii="Arial" w:hAnsi="Arial" w:cs="Arial"/>
          <w:sz w:val="26"/>
          <w:szCs w:val="26"/>
          <w:lang w:val="en-GB"/>
        </w:rPr>
      </w:pPr>
      <w:r w:rsidRPr="003911E6">
        <w:rPr>
          <w:rFonts w:ascii="Arial" w:hAnsi="Arial" w:cs="Arial"/>
          <w:b/>
          <w:i/>
          <w:sz w:val="22"/>
          <w:szCs w:val="22"/>
          <w:lang w:val="en-GB"/>
        </w:rPr>
        <w:t>Table 1</w:t>
      </w:r>
      <w:r>
        <w:rPr>
          <w:rFonts w:ascii="Arial" w:hAnsi="Arial" w:cs="Arial"/>
          <w:i/>
          <w:sz w:val="22"/>
          <w:szCs w:val="22"/>
          <w:lang w:val="en-GB"/>
        </w:rPr>
        <w:t xml:space="preserve"> Contribution of the environmental variables</w:t>
      </w:r>
      <w:r w:rsidR="00AC09F6" w:rsidRPr="008946F3">
        <w:rPr>
          <w:rFonts w:ascii="Arial" w:hAnsi="Arial" w:cs="Arial"/>
          <w:sz w:val="22"/>
          <w:szCs w:val="22"/>
          <w:lang w:val="en-GB"/>
        </w:rPr>
        <w:br w:type="textWrapping" w:clear="all"/>
      </w:r>
    </w:p>
    <w:p w14:paraId="247C1C2A" w14:textId="77777777" w:rsidR="00CD7D22" w:rsidRDefault="00CD7D22" w:rsidP="00CD7D22">
      <w:pPr>
        <w:jc w:val="center"/>
        <w:rPr>
          <w:rFonts w:ascii="Arial" w:hAnsi="Arial" w:cs="Arial"/>
          <w:sz w:val="26"/>
          <w:szCs w:val="26"/>
          <w:lang w:val="en-GB"/>
        </w:rPr>
      </w:pPr>
    </w:p>
    <w:p w14:paraId="6F794218" w14:textId="55157105" w:rsidR="00CD7D22" w:rsidRDefault="00114B96" w:rsidP="00CD7D22">
      <w:pPr>
        <w:jc w:val="center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Biological interpretation</w:t>
      </w:r>
    </w:p>
    <w:p w14:paraId="329D9EB7" w14:textId="304336DF" w:rsidR="00114B96" w:rsidRDefault="00114B96" w:rsidP="00114B9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Even though not the most rosy scenario was picked for this model, the shift in suitable habitat for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in the coming 30 years is more extreme than expected. According to this model the places where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is currently cultivated will lose their suitability in the coming decades. Should Ethiopian farmers move to the Himalaya in order to keep cultivating their beloved and nutritious cereals? </w:t>
      </w:r>
      <w:r w:rsidR="00682232">
        <w:rPr>
          <w:rFonts w:ascii="Arial" w:hAnsi="Arial" w:cs="Arial"/>
          <w:sz w:val="22"/>
          <w:szCs w:val="22"/>
          <w:lang w:val="en-GB"/>
        </w:rPr>
        <w:t xml:space="preserve">Probably not. Should the writer of this report improve their model? Probably! </w:t>
      </w:r>
    </w:p>
    <w:p w14:paraId="3739FF4F" w14:textId="0A71A07B" w:rsidR="00682232" w:rsidRDefault="00682232" w:rsidP="00114B9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First of all, the model is based on only three variables. The environmental variable concerning temperature also has a low contribution, which means that most of this model is based on precipitation data. Even though these data are important </w:t>
      </w:r>
      <w:r w:rsidR="000C7226">
        <w:rPr>
          <w:rFonts w:ascii="Arial" w:hAnsi="Arial" w:cs="Arial"/>
          <w:sz w:val="22"/>
          <w:szCs w:val="22"/>
          <w:lang w:val="en-GB"/>
        </w:rPr>
        <w:t>to take into account for future scenarios a</w:t>
      </w:r>
      <w:r>
        <w:rPr>
          <w:rFonts w:ascii="Arial" w:hAnsi="Arial" w:cs="Arial"/>
          <w:sz w:val="22"/>
          <w:szCs w:val="22"/>
          <w:lang w:val="en-GB"/>
        </w:rPr>
        <w:t xml:space="preserve">s climate change </w:t>
      </w:r>
      <w:r w:rsidR="000C7226">
        <w:rPr>
          <w:rFonts w:ascii="Arial" w:hAnsi="Arial" w:cs="Arial"/>
          <w:sz w:val="22"/>
          <w:szCs w:val="22"/>
          <w:lang w:val="en-GB"/>
        </w:rPr>
        <w:t xml:space="preserve">will influence </w:t>
      </w:r>
      <w:r>
        <w:rPr>
          <w:rFonts w:ascii="Arial" w:hAnsi="Arial" w:cs="Arial"/>
          <w:sz w:val="22"/>
          <w:szCs w:val="22"/>
          <w:lang w:val="en-GB"/>
        </w:rPr>
        <w:t>precipitation patterns will change,</w:t>
      </w:r>
      <w:r w:rsidR="000C7226">
        <w:rPr>
          <w:rFonts w:ascii="Arial" w:hAnsi="Arial" w:cs="Arial"/>
          <w:sz w:val="22"/>
          <w:szCs w:val="22"/>
          <w:lang w:val="en-GB"/>
        </w:rPr>
        <w:t xml:space="preserve"> it is not enough to build a complete model. In hindsight other temperature variable could have been more useful, e.g. BIO4 (Temperature Seasonality) since most </w:t>
      </w:r>
      <w:r w:rsidR="000C7226">
        <w:rPr>
          <w:rFonts w:ascii="Arial" w:hAnsi="Arial" w:cs="Arial"/>
          <w:i/>
          <w:sz w:val="22"/>
          <w:szCs w:val="22"/>
          <w:lang w:val="en-GB"/>
        </w:rPr>
        <w:t xml:space="preserve">E. </w:t>
      </w:r>
      <w:proofErr w:type="spellStart"/>
      <w:r w:rsidR="000C7226">
        <w:rPr>
          <w:rFonts w:ascii="Arial" w:hAnsi="Arial" w:cs="Arial"/>
          <w:i/>
          <w:sz w:val="22"/>
          <w:szCs w:val="22"/>
          <w:lang w:val="en-GB"/>
        </w:rPr>
        <w:t>tef</w:t>
      </w:r>
      <w:proofErr w:type="spellEnd"/>
      <w:r w:rsidR="000C7226">
        <w:rPr>
          <w:rFonts w:ascii="Arial" w:hAnsi="Arial" w:cs="Arial"/>
          <w:sz w:val="22"/>
          <w:szCs w:val="22"/>
          <w:lang w:val="en-GB"/>
        </w:rPr>
        <w:t xml:space="preserve"> grows in regions with seasons (which means that the mean temperature does not give a lot of information). </w:t>
      </w:r>
    </w:p>
    <w:p w14:paraId="44264395" w14:textId="1E5661C7" w:rsidR="000C7226" w:rsidRPr="000C7226" w:rsidRDefault="000C7226" w:rsidP="00114B9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Second, in this model biotic climatic variables and geographical blockades are not taken into account. However, because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teff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is </w:t>
      </w:r>
      <w:r w:rsidR="001605CD">
        <w:rPr>
          <w:rFonts w:ascii="Arial" w:hAnsi="Arial" w:cs="Arial"/>
          <w:sz w:val="22"/>
          <w:szCs w:val="22"/>
          <w:lang w:val="en-GB"/>
        </w:rPr>
        <w:t xml:space="preserve">wind pollinated and is not a very demanding plant, a model with the right abiotic factors good probably give a good estimation of the future distribution of this species of love grass. </w:t>
      </w:r>
    </w:p>
    <w:p w14:paraId="5B20B952" w14:textId="62312BA7" w:rsidR="00D769A4" w:rsidRPr="008946F3" w:rsidRDefault="001668CF" w:rsidP="00BE772C">
      <w:pPr>
        <w:rPr>
          <w:rFonts w:ascii="Arial" w:hAnsi="Arial" w:cs="Arial"/>
          <w:sz w:val="22"/>
          <w:szCs w:val="22"/>
          <w:lang w:val="en-GB"/>
        </w:rPr>
      </w:pPr>
      <w:bookmarkStart w:id="1" w:name="_GoBack"/>
      <w:bookmarkEnd w:id="1"/>
      <w:r w:rsidRPr="008946F3">
        <w:rPr>
          <w:rFonts w:ascii="Arial" w:hAnsi="Arial" w:cs="Arial"/>
          <w:sz w:val="22"/>
          <w:szCs w:val="22"/>
          <w:lang w:val="en-GB"/>
        </w:rPr>
        <w:lastRenderedPageBreak/>
        <w:t xml:space="preserve">Assefa et al. (2015) </w:t>
      </w:r>
      <w:r w:rsidRPr="008946F3">
        <w:rPr>
          <w:rFonts w:ascii="Arial" w:hAnsi="Arial" w:cs="Arial"/>
          <w:sz w:val="22"/>
          <w:szCs w:val="22"/>
          <w:lang w:val="en-GB"/>
        </w:rPr>
        <w:t xml:space="preserve">Genetic diversity in </w:t>
      </w: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tef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 xml:space="preserve"> [</w:t>
      </w: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Eragrostis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tef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 xml:space="preserve"> (</w:t>
      </w: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Zucc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>.) Trotter]</w:t>
      </w:r>
      <w:r w:rsidRPr="008946F3">
        <w:rPr>
          <w:rFonts w:ascii="Arial" w:hAnsi="Arial" w:cs="Arial"/>
          <w:sz w:val="22"/>
          <w:szCs w:val="22"/>
          <w:lang w:val="en-GB"/>
        </w:rPr>
        <w:t xml:space="preserve"> </w:t>
      </w:r>
      <w:r w:rsidRPr="008946F3">
        <w:rPr>
          <w:rFonts w:ascii="Arial" w:hAnsi="Arial" w:cs="Arial"/>
          <w:sz w:val="22"/>
          <w:szCs w:val="22"/>
          <w:lang w:val="en-GB"/>
        </w:rPr>
        <w:t>Front. Plant Sci., 26 March 2015 | https://doi.org/10.3389/fpls.2015.00177</w:t>
      </w:r>
    </w:p>
    <w:p w14:paraId="6B82615D" w14:textId="6AFE067B" w:rsidR="00D769A4" w:rsidRPr="008946F3" w:rsidRDefault="00D769A4" w:rsidP="00BE772C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D’Andrea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>, A.C. Econ Bot (2008)</w:t>
      </w:r>
      <w:r w:rsidRPr="008946F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T’ef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 xml:space="preserve"> (</w:t>
      </w: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Eragrostis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8946F3">
        <w:rPr>
          <w:rFonts w:ascii="Arial" w:hAnsi="Arial" w:cs="Arial"/>
          <w:sz w:val="22"/>
          <w:szCs w:val="22"/>
          <w:lang w:val="en-GB"/>
        </w:rPr>
        <w:t>tef</w:t>
      </w:r>
      <w:proofErr w:type="spellEnd"/>
      <w:r w:rsidRPr="008946F3">
        <w:rPr>
          <w:rFonts w:ascii="Arial" w:hAnsi="Arial" w:cs="Arial"/>
          <w:sz w:val="22"/>
          <w:szCs w:val="22"/>
          <w:lang w:val="en-GB"/>
        </w:rPr>
        <w:t xml:space="preserve">) in Ancient Agricultural Systems of Highland Ethiopia 62: 547. </w:t>
      </w:r>
      <w:hyperlink r:id="rId19" w:history="1">
        <w:r w:rsidR="008946F3" w:rsidRPr="008946F3">
          <w:rPr>
            <w:rStyle w:val="Hyperlink"/>
            <w:rFonts w:ascii="Arial" w:hAnsi="Arial" w:cs="Arial"/>
            <w:sz w:val="22"/>
            <w:szCs w:val="22"/>
            <w:lang w:val="en-GB"/>
          </w:rPr>
          <w:t>https://doi.org/10.1007/s12231-008-9053-4</w:t>
        </w:r>
      </w:hyperlink>
    </w:p>
    <w:p w14:paraId="0A8B5F8A" w14:textId="2E4B8775" w:rsidR="008946F3" w:rsidRPr="008946F3" w:rsidRDefault="008946F3" w:rsidP="00BE772C">
      <w:pPr>
        <w:rPr>
          <w:rFonts w:ascii="Arial" w:hAnsi="Arial" w:cs="Arial"/>
          <w:sz w:val="22"/>
          <w:szCs w:val="22"/>
          <w:lang w:val="en-GB"/>
        </w:rPr>
      </w:pPr>
    </w:p>
    <w:p w14:paraId="4BBBE53F" w14:textId="77777777" w:rsidR="008946F3" w:rsidRPr="008946F3" w:rsidRDefault="008946F3" w:rsidP="008946F3">
      <w:pPr>
        <w:rPr>
          <w:rFonts w:ascii="Arial" w:hAnsi="Arial" w:cs="Arial"/>
          <w:sz w:val="22"/>
          <w:szCs w:val="22"/>
        </w:rPr>
      </w:pPr>
      <w:hyperlink r:id="rId20" w:history="1">
        <w:r w:rsidRPr="008946F3">
          <w:rPr>
            <w:rStyle w:val="Hyperlink"/>
            <w:rFonts w:ascii="Arial" w:hAnsi="Arial" w:cs="Arial"/>
            <w:sz w:val="22"/>
            <w:szCs w:val="22"/>
          </w:rPr>
          <w:t>https://github.com/judithtijm/mebioda/tree/master/data/s1252143</w:t>
        </w:r>
      </w:hyperlink>
    </w:p>
    <w:p w14:paraId="025673F0" w14:textId="77777777" w:rsidR="008946F3" w:rsidRPr="008946F3" w:rsidRDefault="008946F3" w:rsidP="008946F3">
      <w:pPr>
        <w:rPr>
          <w:rFonts w:ascii="Arial" w:hAnsi="Arial" w:cs="Arial"/>
          <w:sz w:val="22"/>
          <w:szCs w:val="22"/>
          <w:lang w:val="en-GB"/>
        </w:rPr>
      </w:pPr>
      <w:r w:rsidRPr="008946F3">
        <w:rPr>
          <w:rFonts w:ascii="Arial" w:hAnsi="Arial" w:cs="Arial"/>
          <w:sz w:val="22"/>
          <w:szCs w:val="22"/>
          <w:lang w:val="en-GB"/>
        </w:rPr>
        <w:t>upload files</w:t>
      </w:r>
    </w:p>
    <w:p w14:paraId="22986733" w14:textId="77777777" w:rsidR="008946F3" w:rsidRPr="008946F3" w:rsidRDefault="008946F3" w:rsidP="00BE772C">
      <w:pPr>
        <w:rPr>
          <w:rFonts w:ascii="Arial" w:hAnsi="Arial" w:cs="Arial"/>
          <w:sz w:val="22"/>
          <w:szCs w:val="22"/>
          <w:lang w:val="en-GB"/>
        </w:rPr>
      </w:pPr>
    </w:p>
    <w:sectPr w:rsidR="008946F3" w:rsidRPr="0089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2B451" w14:textId="77777777" w:rsidR="00DF7966" w:rsidRDefault="00DF7966" w:rsidP="00126193">
      <w:pPr>
        <w:spacing w:after="0" w:line="240" w:lineRule="auto"/>
      </w:pPr>
      <w:r>
        <w:separator/>
      </w:r>
    </w:p>
  </w:endnote>
  <w:endnote w:type="continuationSeparator" w:id="0">
    <w:p w14:paraId="7F4FA619" w14:textId="77777777" w:rsidR="00DF7966" w:rsidRDefault="00DF7966" w:rsidP="0012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265D8" w14:textId="77777777" w:rsidR="00DF7966" w:rsidRDefault="00DF7966" w:rsidP="00126193">
      <w:pPr>
        <w:spacing w:after="0" w:line="240" w:lineRule="auto"/>
      </w:pPr>
      <w:r>
        <w:separator/>
      </w:r>
    </w:p>
  </w:footnote>
  <w:footnote w:type="continuationSeparator" w:id="0">
    <w:p w14:paraId="5DBEAA99" w14:textId="77777777" w:rsidR="00DF7966" w:rsidRDefault="00DF7966" w:rsidP="00126193">
      <w:pPr>
        <w:spacing w:after="0" w:line="240" w:lineRule="auto"/>
      </w:pPr>
      <w:r>
        <w:continuationSeparator/>
      </w:r>
    </w:p>
  </w:footnote>
  <w:footnote w:id="1">
    <w:p w14:paraId="15C85532" w14:textId="05BF53D3" w:rsidR="00126193" w:rsidRPr="008946F3" w:rsidRDefault="00126193" w:rsidP="00126193">
      <w:pPr>
        <w:rPr>
          <w:rFonts w:ascii="Arial" w:hAnsi="Arial" w:cs="Arial"/>
          <w:lang w:val="en-GB"/>
        </w:rPr>
      </w:pPr>
      <w:r w:rsidRPr="008946F3">
        <w:rPr>
          <w:rStyle w:val="FootnoteReference"/>
          <w:rFonts w:ascii="Arial" w:hAnsi="Arial" w:cs="Arial"/>
        </w:rPr>
        <w:footnoteRef/>
      </w:r>
      <w:r w:rsidRPr="008946F3">
        <w:rPr>
          <w:rFonts w:ascii="Arial" w:hAnsi="Arial" w:cs="Arial"/>
        </w:rPr>
        <w:t xml:space="preserve"> </w:t>
      </w:r>
      <w:r w:rsidRPr="008946F3">
        <w:rPr>
          <w:rFonts w:ascii="Arial" w:hAnsi="Arial" w:cs="Arial"/>
          <w:color w:val="212121"/>
          <w:shd w:val="clear" w:color="auto" w:fill="FFFFFF"/>
        </w:rPr>
        <w:t>GBIF.org (6th December 2018) GBIF Occurrence</w:t>
      </w:r>
      <w:r w:rsidRPr="008946F3">
        <w:rPr>
          <w:rFonts w:ascii="Arial" w:hAnsi="Arial" w:cs="Arial"/>
          <w:color w:val="212121"/>
          <w:shd w:val="clear" w:color="auto" w:fill="FFFFFF"/>
          <w:lang w:val="en-GB"/>
        </w:rPr>
        <w:t>. D</w:t>
      </w:r>
      <w:r w:rsidRPr="008946F3">
        <w:rPr>
          <w:rFonts w:ascii="Arial" w:hAnsi="Arial" w:cs="Arial"/>
          <w:color w:val="212121"/>
          <w:shd w:val="clear" w:color="auto" w:fill="FFFFFF"/>
        </w:rPr>
        <w:t>ownload </w:t>
      </w:r>
      <w:hyperlink r:id="rId1" w:tgtFrame="_blank" w:history="1">
        <w:r w:rsidRPr="008946F3">
          <w:rPr>
            <w:rFonts w:ascii="Arial" w:hAnsi="Arial" w:cs="Arial"/>
            <w:color w:val="0000FF"/>
            <w:u w:val="single"/>
            <w:bdr w:val="none" w:sz="0" w:space="0" w:color="auto" w:frame="1"/>
            <w:shd w:val="clear" w:color="auto" w:fill="FFFFFF"/>
          </w:rPr>
          <w:t>https://doi.org/10.15468/dl.lyqquc</w:t>
        </w:r>
      </w:hyperlink>
      <w:r w:rsidRPr="008946F3">
        <w:rPr>
          <w:rFonts w:ascii="Arial" w:hAnsi="Arial" w:cs="Arial"/>
          <w:lang w:val="en-GB"/>
        </w:rPr>
        <w:t>.</w:t>
      </w:r>
    </w:p>
    <w:p w14:paraId="11EFE718" w14:textId="6B14BDF5" w:rsidR="00126193" w:rsidRPr="00126193" w:rsidRDefault="00126193">
      <w:pPr>
        <w:pStyle w:val="FootnoteText"/>
        <w:rPr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50CF"/>
    <w:multiLevelType w:val="hybridMultilevel"/>
    <w:tmpl w:val="B3067482"/>
    <w:lvl w:ilvl="0" w:tplc="63A0859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209336C"/>
    <w:multiLevelType w:val="hybridMultilevel"/>
    <w:tmpl w:val="F10AD3F0"/>
    <w:lvl w:ilvl="0" w:tplc="6E0EA9A6">
      <w:start w:val="47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04"/>
    <w:rsid w:val="000004D1"/>
    <w:rsid w:val="000C7226"/>
    <w:rsid w:val="00114B96"/>
    <w:rsid w:val="00116A28"/>
    <w:rsid w:val="00126193"/>
    <w:rsid w:val="001605CD"/>
    <w:rsid w:val="001668CF"/>
    <w:rsid w:val="00192978"/>
    <w:rsid w:val="00255AF3"/>
    <w:rsid w:val="002F5604"/>
    <w:rsid w:val="00342ACA"/>
    <w:rsid w:val="00382436"/>
    <w:rsid w:val="003911E6"/>
    <w:rsid w:val="003E7ABF"/>
    <w:rsid w:val="00421994"/>
    <w:rsid w:val="00486BE2"/>
    <w:rsid w:val="00582EA0"/>
    <w:rsid w:val="0058516F"/>
    <w:rsid w:val="005D4FEB"/>
    <w:rsid w:val="00642EF8"/>
    <w:rsid w:val="006517DC"/>
    <w:rsid w:val="00682232"/>
    <w:rsid w:val="006C23E6"/>
    <w:rsid w:val="00700180"/>
    <w:rsid w:val="00714F70"/>
    <w:rsid w:val="0078594D"/>
    <w:rsid w:val="007B2E00"/>
    <w:rsid w:val="00825151"/>
    <w:rsid w:val="008946F3"/>
    <w:rsid w:val="0092016E"/>
    <w:rsid w:val="0096720A"/>
    <w:rsid w:val="00A72A71"/>
    <w:rsid w:val="00AC09F6"/>
    <w:rsid w:val="00B550FC"/>
    <w:rsid w:val="00BE772C"/>
    <w:rsid w:val="00C0251C"/>
    <w:rsid w:val="00C51722"/>
    <w:rsid w:val="00CB5077"/>
    <w:rsid w:val="00CD7D22"/>
    <w:rsid w:val="00D00C8B"/>
    <w:rsid w:val="00D347D2"/>
    <w:rsid w:val="00D769A4"/>
    <w:rsid w:val="00DB5971"/>
    <w:rsid w:val="00DF7966"/>
    <w:rsid w:val="00E17D81"/>
    <w:rsid w:val="00E6482B"/>
    <w:rsid w:val="00FA02DB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603C"/>
  <w15:chartTrackingRefBased/>
  <w15:docId w15:val="{1C049A36-08E8-4DE7-BCB9-4ADAFFD9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6F3"/>
  </w:style>
  <w:style w:type="paragraph" w:styleId="Heading1">
    <w:name w:val="heading 1"/>
    <w:basedOn w:val="Normal"/>
    <w:next w:val="Normal"/>
    <w:link w:val="Heading1Char"/>
    <w:uiPriority w:val="9"/>
    <w:qFormat/>
    <w:rsid w:val="008946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6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6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6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6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6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6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6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6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6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7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61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61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6193"/>
    <w:rPr>
      <w:vertAlign w:val="superscript"/>
    </w:rPr>
  </w:style>
  <w:style w:type="table" w:styleId="TableGrid">
    <w:name w:val="Table Grid"/>
    <w:basedOn w:val="TableNormal"/>
    <w:uiPriority w:val="39"/>
    <w:rsid w:val="00A72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2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A72A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A72A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4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6F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6F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6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6F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6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6F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6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6F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6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46F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6F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6F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6F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946F3"/>
    <w:rPr>
      <w:b/>
      <w:bCs/>
    </w:rPr>
  </w:style>
  <w:style w:type="character" w:styleId="Emphasis">
    <w:name w:val="Emphasis"/>
    <w:basedOn w:val="DefaultParagraphFont"/>
    <w:uiPriority w:val="20"/>
    <w:qFormat/>
    <w:rsid w:val="008946F3"/>
    <w:rPr>
      <w:i/>
      <w:iCs/>
      <w:color w:val="000000" w:themeColor="text1"/>
    </w:rPr>
  </w:style>
  <w:style w:type="paragraph" w:styleId="NoSpacing">
    <w:name w:val="No Spacing"/>
    <w:uiPriority w:val="1"/>
    <w:qFormat/>
    <w:rsid w:val="008946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6F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6F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6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6F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946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6F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946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46F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946F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6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Species%20Distribution%20Model\MAXENT\tesrubf\plots\Eragrostis_tef__Zuccagni__Trotter_bio1.png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C:\Species%20Distribution%20Model\MAXENT\tesrubf\plots\Eragrostis_tef__Zuccagni__Trotter_bio15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judithtijm/mebioda/tree/master/data/s12521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file:///C:\Species%20Distribution%20Model\MAXENT\tesrubf\plots\Eragrostis_tef__Zuccagni__Trotter_bio12.pn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doi.org/10.1007/s12231-008-9053-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5468/dl.lyqq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1AB3-8F87-483D-8E48-A5484FD2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 </cp:lastModifiedBy>
  <cp:revision>9</cp:revision>
  <dcterms:created xsi:type="dcterms:W3CDTF">2018-12-12T12:46:00Z</dcterms:created>
  <dcterms:modified xsi:type="dcterms:W3CDTF">2018-12-12T22:58:00Z</dcterms:modified>
</cp:coreProperties>
</file>