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72696B" w14:textId="1F7AEEC2" w:rsidR="001C24E3" w:rsidRPr="00337714" w:rsidRDefault="00F26CAE" w:rsidP="001C24E3">
      <w:pPr>
        <w:jc w:val="center"/>
        <w:rPr>
          <w:b/>
          <w:sz w:val="36"/>
          <w:szCs w:val="36"/>
          <w:highlight w:val="yellow"/>
        </w:rPr>
      </w:pPr>
      <w:r w:rsidRPr="003C1F3E">
        <w:rPr>
          <w:b/>
          <w:sz w:val="36"/>
          <w:szCs w:val="36"/>
        </w:rPr>
        <w:t>Modelling t</w:t>
      </w:r>
      <w:r w:rsidR="00337714" w:rsidRPr="003C1F3E">
        <w:rPr>
          <w:b/>
          <w:sz w:val="36"/>
          <w:szCs w:val="36"/>
        </w:rPr>
        <w:t xml:space="preserve">he </w:t>
      </w:r>
      <w:r w:rsidRPr="003C1F3E">
        <w:rPr>
          <w:b/>
          <w:sz w:val="36"/>
          <w:szCs w:val="36"/>
        </w:rPr>
        <w:t xml:space="preserve">global </w:t>
      </w:r>
      <w:r w:rsidR="00337714" w:rsidRPr="003C1F3E">
        <w:rPr>
          <w:b/>
          <w:sz w:val="36"/>
          <w:szCs w:val="36"/>
        </w:rPr>
        <w:t xml:space="preserve">distribution of </w:t>
      </w:r>
      <w:proofErr w:type="spellStart"/>
      <w:r w:rsidR="001C24E3" w:rsidRPr="003C1F3E">
        <w:rPr>
          <w:b/>
          <w:i/>
          <w:sz w:val="36"/>
          <w:szCs w:val="36"/>
        </w:rPr>
        <w:t>Zea</w:t>
      </w:r>
      <w:proofErr w:type="spellEnd"/>
      <w:r w:rsidR="001C24E3" w:rsidRPr="003C1F3E">
        <w:rPr>
          <w:b/>
          <w:i/>
          <w:sz w:val="36"/>
          <w:szCs w:val="36"/>
        </w:rPr>
        <w:t xml:space="preserve"> mays</w:t>
      </w:r>
      <w:r w:rsidR="001C24E3" w:rsidRPr="003C1F3E">
        <w:rPr>
          <w:b/>
          <w:sz w:val="36"/>
          <w:szCs w:val="36"/>
        </w:rPr>
        <w:t xml:space="preserve"> </w:t>
      </w:r>
      <w:r w:rsidRPr="003C1F3E">
        <w:rPr>
          <w:b/>
          <w:sz w:val="36"/>
          <w:szCs w:val="36"/>
        </w:rPr>
        <w:t>for 2050 with species distribution modelling</w:t>
      </w:r>
      <w:r>
        <w:rPr>
          <w:b/>
          <w:sz w:val="36"/>
          <w:szCs w:val="36"/>
          <w:highlight w:val="yellow"/>
        </w:rPr>
        <w:t xml:space="preserve"> </w:t>
      </w:r>
    </w:p>
    <w:p w14:paraId="0442DD74" w14:textId="66F8A429" w:rsidR="001C24E3" w:rsidRDefault="001C24E3" w:rsidP="001C24E3">
      <w:pPr>
        <w:rPr>
          <w:b/>
          <w:i/>
        </w:rPr>
      </w:pPr>
      <w:r w:rsidRPr="00F26CAE">
        <w:rPr>
          <w:b/>
          <w:i/>
        </w:rPr>
        <w:t xml:space="preserve">Name: Surendra </w:t>
      </w:r>
      <w:proofErr w:type="spellStart"/>
      <w:r w:rsidRPr="00F26CAE">
        <w:rPr>
          <w:b/>
          <w:i/>
        </w:rPr>
        <w:t>Balraadjsing</w:t>
      </w:r>
      <w:proofErr w:type="spellEnd"/>
      <w:r w:rsidRPr="00F26CAE">
        <w:rPr>
          <w:b/>
          <w:i/>
        </w:rPr>
        <w:t xml:space="preserve"> (1559362)</w:t>
      </w:r>
    </w:p>
    <w:p w14:paraId="386C4A97" w14:textId="57701BE5" w:rsidR="000630E0" w:rsidRDefault="000630E0"/>
    <w:p w14:paraId="14366BBB" w14:textId="2027FAB7" w:rsidR="001C24E3" w:rsidRDefault="001C24E3" w:rsidP="00AA112F">
      <w:pPr>
        <w:pStyle w:val="Heading1"/>
        <w:rPr>
          <w:b/>
          <w:color w:val="auto"/>
          <w:u w:val="single"/>
        </w:rPr>
      </w:pPr>
      <w:r w:rsidRPr="00547E2F">
        <w:rPr>
          <w:b/>
          <w:color w:val="auto"/>
          <w:u w:val="single"/>
        </w:rPr>
        <w:t>Introduction</w:t>
      </w:r>
    </w:p>
    <w:p w14:paraId="38C9EF8F" w14:textId="77777777" w:rsidR="004012F3" w:rsidRPr="004012F3" w:rsidRDefault="004012F3" w:rsidP="004012F3"/>
    <w:p w14:paraId="06CFAE71" w14:textId="51DE1869" w:rsidR="001C24E3" w:rsidRDefault="001C24E3" w:rsidP="001C24E3">
      <w:r>
        <w:t xml:space="preserve">Since the advent of agriculture about 10.000 years ago, cereal grains have been cultivated by humans and have played an important role in human nutrition ever since </w:t>
      </w:r>
      <w:r>
        <w:fldChar w:fldCharType="begin" w:fldLock="1"/>
      </w:r>
      <w:r>
        <w:instrText>ADDIN CSL_CITATION {"citationItems":[{"id":"ITEM-1","itemData":{"ISBN":"978-92-5-108519-6","author":[{"dropping-particle":"","family":"FAO","given":"","non-dropping-particle":"","parse-names":false,"suffix":""}],"id":"ITEM-1","issued":{"date-parts":[["2016"]]},"number-of-pages":"124","publisher-place":"Rome","title":"Save and Grow in practice Maize-Rice-Wheat: A guide to sustainable cereal production","type":"book"},"uris":["http://www.mendeley.com/documents/?uuid=94c096bf-ba41-32fd-a46e-b0e4917712d4"]}],"mendeley":{"formattedCitation":"(FAO, 2016)","plainTextFormattedCitation":"(FAO, 2016)","previouslyFormattedCitation":"(FAO, 2016)"},"properties":{"noteIndex":0},"schema":"https://github.com/citation-style-language/schema/raw/master/csl-citation.json"}</w:instrText>
      </w:r>
      <w:r>
        <w:fldChar w:fldCharType="separate"/>
      </w:r>
      <w:r w:rsidRPr="00FA0E68">
        <w:rPr>
          <w:noProof/>
        </w:rPr>
        <w:t>(FAO, 2016)</w:t>
      </w:r>
      <w:r>
        <w:fldChar w:fldCharType="end"/>
      </w:r>
      <w:r>
        <w:t>. Cereal grains (maize, rice, wheats, barley</w:t>
      </w:r>
      <w:r w:rsidR="00AA72EF">
        <w:t xml:space="preserve"> etc.</w:t>
      </w:r>
      <w:r>
        <w:t xml:space="preserve">) are the most produced and most valuable crops worldwide, making up about 60% of the total world crop production in 2016 </w:t>
      </w:r>
      <w:r>
        <w:fldChar w:fldCharType="begin" w:fldLock="1"/>
      </w:r>
      <w:r>
        <w:instrText>ADDIN CSL_CITATION {"citationItems":[{"id":"ITEM-1","itemData":{"URL":"http://www.fao.org/faostat/","accessed":{"date-parts":[["2018","12","9"]]},"author":[{"dropping-particle":"","family":"FAOSTAT","given":"","non-dropping-particle":"","parse-names":false,"suffix":""}],"id":"ITEM-1","issued":{"date-parts":[["2018"]]},"title":"FAO statistical database","type":"webpage"},"uris":["http://www.mendeley.com/documents/?uuid=a7a7155f-3d1c-36f0-9f78-da1ff5eb4a58"]}],"mendeley":{"formattedCitation":"(FAOSTAT, 2018)","plainTextFormattedCitation":"(FAOSTAT, 2018)","previouslyFormattedCitation":"(FAOSTAT, 2018)"},"properties":{"noteIndex":0},"schema":"https://github.com/citation-style-language/schema/raw/master/csl-citation.json"}</w:instrText>
      </w:r>
      <w:r>
        <w:fldChar w:fldCharType="separate"/>
      </w:r>
      <w:r w:rsidRPr="001C4853">
        <w:rPr>
          <w:noProof/>
        </w:rPr>
        <w:t>(FAOSTAT, 2018)</w:t>
      </w:r>
      <w:r>
        <w:fldChar w:fldCharType="end"/>
      </w:r>
      <w:r>
        <w:t xml:space="preserve">. In addition to being used for human consumption, cereals also serve as an important food source for livestock and is </w:t>
      </w:r>
      <w:r w:rsidR="00AA72EF">
        <w:t>furthermore</w:t>
      </w:r>
      <w:r>
        <w:t xml:space="preserve"> used in the production of biofuels. However, with the growing human population and increases in livestock and biofuel productions, the</w:t>
      </w:r>
      <w:r w:rsidR="00AA72EF">
        <w:t xml:space="preserve"> food</w:t>
      </w:r>
      <w:r>
        <w:t xml:space="preserve"> demand </w:t>
      </w:r>
      <w:r w:rsidR="00AA72EF">
        <w:t>i</w:t>
      </w:r>
      <w:r>
        <w:t>s expected to increase</w:t>
      </w:r>
      <w:r w:rsidR="00AA72EF">
        <w:t xml:space="preserve"> as well</w:t>
      </w:r>
      <w:r>
        <w:t xml:space="preserve"> </w:t>
      </w:r>
      <w:r>
        <w:fldChar w:fldCharType="begin" w:fldLock="1"/>
      </w:r>
      <w:r>
        <w:instrText>ADDIN CSL_CITATION {"citationItems":[{"id":"ITEM-1","itemData":{"ISBN":"9789251310120","ISSN":"0021-9258","author":[{"dropping-particle":"","family":"FAO","given":"","non-dropping-particle":"","parse-names":false,"suffix":""}],"id":"ITEM-1","issued":{"date-parts":[["2018"]]},"number-of-pages":"254","publisher-place":"Rome","title":"World Food and Agriculture Statistical Pocketbook 2018","type":"book"},"uris":["http://www.mendeley.com/documents/?uuid=f8951da0-407c-3532-a492-585f6de64521"]}],"mendeley":{"formattedCitation":"(FAO, 2018b)","plainTextFormattedCitation":"(FAO, 2018b)","previouslyFormattedCitation":"(FAO, 2018b)"},"properties":{"noteIndex":0},"schema":"https://github.com/citation-style-language/schema/raw/master/csl-citation.json"}</w:instrText>
      </w:r>
      <w:r>
        <w:fldChar w:fldCharType="separate"/>
      </w:r>
      <w:r w:rsidRPr="00B25CDE">
        <w:rPr>
          <w:noProof/>
        </w:rPr>
        <w:t>(FAO, 2018b)</w:t>
      </w:r>
      <w:r>
        <w:fldChar w:fldCharType="end"/>
      </w:r>
      <w:r>
        <w:t xml:space="preserve">. It is expected that the world annual demand for cereals will reach 3.3 billion tons by 2050, about 800 million tons more than </w:t>
      </w:r>
      <w:r w:rsidR="00AA72EF">
        <w:t xml:space="preserve">what is being produced </w:t>
      </w:r>
      <w:r>
        <w:t xml:space="preserve">currently </w:t>
      </w:r>
      <w:r>
        <w:fldChar w:fldCharType="begin" w:fldLock="1"/>
      </w:r>
      <w:r>
        <w:instrText>ADDIN CSL_CITATION {"citationItems":[{"id":"ITEM-1","itemData":{"ISBN":"978-92-5-108519-6","author":[{"dropping-particle":"","family":"FAO","given":"","non-dropping-particle":"","parse-names":false,"suffix":""}],"id":"ITEM-1","issued":{"date-parts":[["2016"]]},"number-of-pages":"124","publisher-place":"Rome","title":"Save and Grow in practice Maize-Rice-Wheat: A guide to sustainable cereal production","type":"book"},"uris":["http://www.mendeley.com/documents/?uuid=94c096bf-ba41-32fd-a46e-b0e4917712d4"]}],"mendeley":{"formattedCitation":"(FAO, 2016)","plainTextFormattedCitation":"(FAO, 2016)","previouslyFormattedCitation":"(FAO, 2016)"},"properties":{"noteIndex":0},"schema":"https://github.com/citation-style-language/schema/raw/master/csl-citation.json"}</w:instrText>
      </w:r>
      <w:r>
        <w:fldChar w:fldCharType="separate"/>
      </w:r>
      <w:r w:rsidRPr="000A6A75">
        <w:rPr>
          <w:noProof/>
        </w:rPr>
        <w:t>(FAO, 2016)</w:t>
      </w:r>
      <w:r>
        <w:fldChar w:fldCharType="end"/>
      </w:r>
      <w:r>
        <w:t xml:space="preserve">. </w:t>
      </w:r>
    </w:p>
    <w:p w14:paraId="6863DFCB" w14:textId="554C1095" w:rsidR="001C24E3" w:rsidRDefault="001C24E3" w:rsidP="001C24E3">
      <w:r>
        <w:t>Among the cereals, maize (</w:t>
      </w:r>
      <w:r w:rsidRPr="00982A59">
        <w:rPr>
          <w:i/>
        </w:rPr>
        <w:t>Z. mays</w:t>
      </w:r>
      <w:r w:rsidRPr="00982A59">
        <w:t xml:space="preserve"> L. </w:t>
      </w:r>
      <w:r w:rsidRPr="00982A59">
        <w:rPr>
          <w:i/>
        </w:rPr>
        <w:t>mays</w:t>
      </w:r>
      <w:r>
        <w:t xml:space="preserve">) was the most produced (1.06 billion ton) in 2016 alone, the second highest cultivated crop that year </w:t>
      </w:r>
      <w:r>
        <w:fldChar w:fldCharType="begin" w:fldLock="1"/>
      </w:r>
      <w:r>
        <w:instrText>ADDIN CSL_CITATION {"citationItems":[{"id":"ITEM-1","itemData":{"URL":"http://www.fao.org/faostat/","accessed":{"date-parts":[["2018","12","9"]]},"author":[{"dropping-particle":"","family":"FAOSTAT","given":"","non-dropping-particle":"","parse-names":false,"suffix":""}],"id":"ITEM-1","issued":{"date-parts":[["2018"]]},"title":"FAO statistical database","type":"webpage"},"uris":["http://www.mendeley.com/documents/?uuid=a7a7155f-3d1c-36f0-9f78-da1ff5eb4a58"]}],"mendeley":{"formattedCitation":"(FAOSTAT, 2018)","plainTextFormattedCitation":"(FAOSTAT, 2018)","previouslyFormattedCitation":"(FAOSTAT, 2018)"},"properties":{"noteIndex":0},"schema":"https://github.com/citation-style-language/schema/raw/master/csl-citation.json"}</w:instrText>
      </w:r>
      <w:r>
        <w:fldChar w:fldCharType="separate"/>
      </w:r>
      <w:r w:rsidRPr="00FA0E68">
        <w:rPr>
          <w:noProof/>
        </w:rPr>
        <w:t>(FAOSTAT, 2018)</w:t>
      </w:r>
      <w:r>
        <w:fldChar w:fldCharType="end"/>
      </w:r>
      <w:r>
        <w:t>. Maize belongs to the grass family, Gramineae, which consists of four species within its genus</w:t>
      </w:r>
      <w:r w:rsidR="00AA72EF">
        <w:t xml:space="preserve"> </w:t>
      </w:r>
      <w:proofErr w:type="spellStart"/>
      <w:r w:rsidR="00AA72EF" w:rsidRPr="00AA72EF">
        <w:rPr>
          <w:i/>
        </w:rPr>
        <w:t>Zea</w:t>
      </w:r>
      <w:proofErr w:type="spellEnd"/>
      <w:r>
        <w:t xml:space="preserve">: </w:t>
      </w:r>
      <w:r w:rsidRPr="00CE14FA">
        <w:rPr>
          <w:i/>
        </w:rPr>
        <w:t>Z</w:t>
      </w:r>
      <w:r>
        <w:rPr>
          <w:i/>
        </w:rPr>
        <w:t>.</w:t>
      </w:r>
      <w:r w:rsidRPr="00CE14FA">
        <w:rPr>
          <w:i/>
        </w:rPr>
        <w:t xml:space="preserve"> </w:t>
      </w:r>
      <w:proofErr w:type="spellStart"/>
      <w:r w:rsidRPr="00CE14FA">
        <w:rPr>
          <w:i/>
        </w:rPr>
        <w:t>luxurians</w:t>
      </w:r>
      <w:proofErr w:type="spellEnd"/>
      <w:r>
        <w:t xml:space="preserve">, </w:t>
      </w:r>
      <w:r w:rsidRPr="00CE14FA">
        <w:rPr>
          <w:i/>
        </w:rPr>
        <w:t>Z</w:t>
      </w:r>
      <w:r>
        <w:rPr>
          <w:i/>
        </w:rPr>
        <w:t>.</w:t>
      </w:r>
      <w:r w:rsidRPr="00CE14FA">
        <w:rPr>
          <w:i/>
        </w:rPr>
        <w:t xml:space="preserve"> perennis</w:t>
      </w:r>
      <w:r>
        <w:t xml:space="preserve">, </w:t>
      </w:r>
      <w:r w:rsidRPr="00CE14FA">
        <w:rPr>
          <w:i/>
        </w:rPr>
        <w:t>Z</w:t>
      </w:r>
      <w:r>
        <w:rPr>
          <w:i/>
        </w:rPr>
        <w:t>.</w:t>
      </w:r>
      <w:r w:rsidRPr="00CE14FA">
        <w:rPr>
          <w:i/>
        </w:rPr>
        <w:t xml:space="preserve"> </w:t>
      </w:r>
      <w:proofErr w:type="spellStart"/>
      <w:r w:rsidRPr="00CE14FA">
        <w:rPr>
          <w:i/>
        </w:rPr>
        <w:t>diploperennis</w:t>
      </w:r>
      <w:proofErr w:type="spellEnd"/>
      <w:r>
        <w:t xml:space="preserve"> and </w:t>
      </w:r>
      <w:r w:rsidRPr="00CE14FA">
        <w:rPr>
          <w:i/>
        </w:rPr>
        <w:t>Z</w:t>
      </w:r>
      <w:r>
        <w:rPr>
          <w:i/>
        </w:rPr>
        <w:t>.</w:t>
      </w:r>
      <w:r w:rsidRPr="00CE14FA">
        <w:rPr>
          <w:i/>
        </w:rPr>
        <w:t xml:space="preserve"> mays</w:t>
      </w:r>
      <w:r>
        <w:rPr>
          <w:i/>
        </w:rPr>
        <w:t xml:space="preserve"> </w:t>
      </w:r>
      <w:r>
        <w:rPr>
          <w:i/>
        </w:rPr>
        <w:fldChar w:fldCharType="begin" w:fldLock="1"/>
      </w:r>
      <w:r>
        <w:rPr>
          <w:i/>
        </w:rPr>
        <w:instrText>ADDIN CSL_CITATION {"citationItems":[{"id":"ITEM-1","itemData":{"DOI":"10.1111/tpj.13907","ISBN":"0000000256","ISSN":"1365313X","author":[{"dropping-particle":"","family":"Li","given":"Xinxin","non-dropping-particle":"","parse-names":false,"suffix":""},{"dropping-particle":"","family":"Han","given":"Yang","non-dropping-particle":"","parse-names":false,"suffix":""},{"dropping-particle":"","family":"Yan","given":"Yan","non-dropping-particle":"","parse-names":false,"suffix":""},{"dropping-particle":"","family":"Messing","given":"Joachim","non-dropping-particle":"","parse-names":false,"suffix":""},{"dropping-particle":"","family":"Xu","given":"Jian Hong","non-dropping-particle":"","parse-names":false,"suffix":""}],"container-title":"Plant Journal","id":"ITEM-1","issue":"6","issued":{"date-parts":[["2018"]]},"page":"943-955","title":"Genetic diversity and evolution of reduced sulfur storage during domestication of maize","type":"article-journal","volume":"94"},"uris":["http://www.mendeley.com/documents/?uuid=786293f5-84ec-45cc-98e0-efa51f196d68"]}],"mendeley":{"formattedCitation":"(Li et al., 2018)","plainTextFormattedCitation":"(Li et al., 2018)","previouslyFormattedCitation":"(Li et al., 2018)"},"properties":{"noteIndex":0},"schema":"https://github.com/citation-style-language/schema/raw/master/csl-citation.json"}</w:instrText>
      </w:r>
      <w:r>
        <w:rPr>
          <w:i/>
        </w:rPr>
        <w:fldChar w:fldCharType="separate"/>
      </w:r>
      <w:r w:rsidRPr="00FA0E68">
        <w:rPr>
          <w:noProof/>
        </w:rPr>
        <w:t>(Li et al., 2018)</w:t>
      </w:r>
      <w:r>
        <w:rPr>
          <w:i/>
        </w:rPr>
        <w:fldChar w:fldCharType="end"/>
      </w:r>
      <w:r>
        <w:t xml:space="preserve">. </w:t>
      </w:r>
      <w:proofErr w:type="spellStart"/>
      <w:r w:rsidRPr="00CE14FA">
        <w:rPr>
          <w:i/>
        </w:rPr>
        <w:t>Z</w:t>
      </w:r>
      <w:r>
        <w:rPr>
          <w:i/>
        </w:rPr>
        <w:t>ea</w:t>
      </w:r>
      <w:proofErr w:type="spellEnd"/>
      <w:r w:rsidRPr="00CE14FA">
        <w:rPr>
          <w:i/>
        </w:rPr>
        <w:t xml:space="preserve"> mays</w:t>
      </w:r>
      <w:r>
        <w:t xml:space="preserve"> is furthermore comprised of four subspecies (</w:t>
      </w:r>
      <w:r w:rsidRPr="00CE14FA">
        <w:rPr>
          <w:i/>
        </w:rPr>
        <w:t>Z. mays</w:t>
      </w:r>
      <w:r>
        <w:t xml:space="preserve"> L. </w:t>
      </w:r>
      <w:r w:rsidRPr="00CE14FA">
        <w:rPr>
          <w:i/>
        </w:rPr>
        <w:t>mays</w:t>
      </w:r>
      <w:r>
        <w:t xml:space="preserve">, </w:t>
      </w:r>
      <w:r w:rsidRPr="00CE14FA">
        <w:rPr>
          <w:i/>
        </w:rPr>
        <w:t>Z. mays</w:t>
      </w:r>
      <w:r>
        <w:t xml:space="preserve"> L. </w:t>
      </w:r>
      <w:proofErr w:type="spellStart"/>
      <w:r w:rsidRPr="00CE14FA">
        <w:rPr>
          <w:i/>
        </w:rPr>
        <w:t>mexicana</w:t>
      </w:r>
      <w:proofErr w:type="spellEnd"/>
      <w:r>
        <w:t xml:space="preserve">, </w:t>
      </w:r>
      <w:r w:rsidRPr="00CE14FA">
        <w:rPr>
          <w:i/>
        </w:rPr>
        <w:t>Z. mays</w:t>
      </w:r>
      <w:r>
        <w:t xml:space="preserve"> L. </w:t>
      </w:r>
      <w:proofErr w:type="spellStart"/>
      <w:r w:rsidRPr="00CE14FA">
        <w:rPr>
          <w:i/>
        </w:rPr>
        <w:t>parviglumis</w:t>
      </w:r>
      <w:proofErr w:type="spellEnd"/>
      <w:r>
        <w:t xml:space="preserve">, </w:t>
      </w:r>
      <w:r w:rsidRPr="00CE14FA">
        <w:rPr>
          <w:i/>
        </w:rPr>
        <w:t>Z. mays</w:t>
      </w:r>
      <w:r>
        <w:t xml:space="preserve"> L.</w:t>
      </w:r>
      <w:r w:rsidRPr="00CE14FA">
        <w:rPr>
          <w:i/>
        </w:rPr>
        <w:t xml:space="preserve"> </w:t>
      </w:r>
      <w:proofErr w:type="spellStart"/>
      <w:r w:rsidRPr="00CE14FA">
        <w:rPr>
          <w:i/>
        </w:rPr>
        <w:t>huehuetenangensis</w:t>
      </w:r>
      <w:proofErr w:type="spellEnd"/>
      <w:r>
        <w:t xml:space="preserve">) with </w:t>
      </w:r>
      <w:r w:rsidRPr="00C4160C">
        <w:rPr>
          <w:i/>
        </w:rPr>
        <w:t>Z. mays</w:t>
      </w:r>
      <w:r>
        <w:t xml:space="preserve"> L. </w:t>
      </w:r>
      <w:r w:rsidRPr="00CE14FA">
        <w:rPr>
          <w:i/>
        </w:rPr>
        <w:t>mays</w:t>
      </w:r>
      <w:r>
        <w:rPr>
          <w:i/>
        </w:rPr>
        <w:t xml:space="preserve"> </w:t>
      </w:r>
      <w:r>
        <w:t xml:space="preserve">being the well-known cultivated species that was domesticated about 9000 years ago from the wild grass, </w:t>
      </w:r>
      <w:r w:rsidRPr="007D354E">
        <w:rPr>
          <w:i/>
        </w:rPr>
        <w:t>Z. mays</w:t>
      </w:r>
      <w:r>
        <w:t xml:space="preserve"> L. </w:t>
      </w:r>
      <w:proofErr w:type="spellStart"/>
      <w:r w:rsidRPr="007D354E">
        <w:rPr>
          <w:i/>
        </w:rPr>
        <w:t>parviglumis</w:t>
      </w:r>
      <w:proofErr w:type="spellEnd"/>
      <w:r>
        <w:t xml:space="preserve"> in Mexico </w:t>
      </w:r>
      <w:r>
        <w:fldChar w:fldCharType="begin" w:fldLock="1"/>
      </w:r>
      <w:r>
        <w:instrText>ADDIN CSL_CITATION {"citationItems":[{"id":"ITEM-1","itemData":{"DOI":"10.1111/tpj.13907","ISBN":"0000000256","ISSN":"1365313X","author":[{"dropping-particle":"","family":"Li","given":"Xinxin","non-dropping-particle":"","parse-names":false,"suffix":""},{"dropping-particle":"","family":"Han","given":"Yang","non-dropping-particle":"","parse-names":false,"suffix":""},{"dropping-particle":"","family":"Yan","given":"Yan","non-dropping-particle":"","parse-names":false,"suffix":""},{"dropping-particle":"","family":"Messing","given":"Joachim","non-dropping-particle":"","parse-names":false,"suffix":""},{"dropping-particle":"","family":"Xu","given":"Jian Hong","non-dropping-particle":"","parse-names":false,"suffix":""}],"container-title":"Plant Journal","id":"ITEM-1","issue":"6","issued":{"date-parts":[["2018"]]},"page":"943-955","title":"Genetic diversity and evolution of reduced sulfur storage during domestication of maize","type":"article-journal","volume":"94"},"uris":["http://www.mendeley.com/documents/?uuid=786293f5-84ec-45cc-98e0-efa51f196d68"]},{"id":"ITEM-2","itemData":{"DOI":"10.3389/fpls.2018.00886","ISSN":"1664-462X","PMID":"30002665","abstract":"Global food demand is expected to nearly double by 2050 due to an increase in the world's population. The Green Revolution has played a key role in the past century by increasing agricultural productivity worldwide, however, limited availability and continued depletion of natural resources such as arable land and water will continue to pose a serious challenge for global food security in the coming decades. High yielding varieties with proven tolerance to biotic and abiotic stresses, superior nutritional profiles, and the ability to adapt to the changing environment are needed for continued agricultural sustainability. The narrow genetic base of modern cultivars is becoming a major bottleneck for crop improvement efforts and, therefore, the use of crop wild relatives (CWRs) is a promising approach to enhance genetic diversity of cultivated crops. This article provides a review of the efforts to date on the exploration of CWRs as a source of tolerance to multiple biotic and abiotic stresses in four global crops of importance; maize, rice, cotton, and soybean. In addition to the overview of the repertoire and geographical spread of CWRs in each of the respective crops, we have provided a comprehensive discussion on the morphological and/or genetic basis of the traits along with some examples, when available, of the research in the transfer of traits from CWRs to cultivated varieties. The emergence of modern molecular and genomic technologies has not only accelerated the pace of dissecting the genetics underlying the traits found in CWRs, but also enabled rapid and efficient trait transfer and genome manipulation. The potential and promise of these technologies has also been highlighted in this review.","author":[{"dropping-particle":"","family":"Mammadov","given":"Jafar","non-dropping-particle":"","parse-names":false,"suffix":""},{"dropping-particle":"","family":"Buyyarapu","given":"Ramesh","non-dropping-particle":"","parse-names":false,"suffix":""},{"dropping-particle":"","family":"Guttikonda","given":"Satish K.","non-dropping-particle":"","parse-names":false,"suffix":""},{"dropping-particle":"","family":"Parliament","given":"Kelly","non-dropping-particle":"","parse-names":false,"suffix":""},{"dropping-particle":"","family":"Abdurakhmonov","given":"Ibrokhim Y.","non-dropping-particle":"","parse-names":false,"suffix":""},{"dropping-particle":"","family":"Kumpatla","given":"Siva P.","non-dropping-particle":"","parse-names":false,"suffix":""}],"container-title":"Frontiers in Plant Science","id":"ITEM-2","issue":"June","issued":{"date-parts":[["2018"]]},"title":"Wild Relatives of Maize, Rice, Cotton, and Soybean: Treasure Troves for Tolerance to Biotic and Abiotic Stresses","type":"article-journal","volume":"9"},"uris":["http://www.mendeley.com/documents/?uuid=fb8554c8-7127-4496-a7a9-d8e6ee99d061"]}],"mendeley":{"formattedCitation":"(Li et al., 2018; Mammadov et al., 2018)","plainTextFormattedCitation":"(Li et al., 2018; Mammadov et al., 2018)","previouslyFormattedCitation":"(Li et al., 2018; Mammadov et al., 2018)"},"properties":{"noteIndex":0},"schema":"https://github.com/citation-style-language/schema/raw/master/csl-citation.json"}</w:instrText>
      </w:r>
      <w:r>
        <w:fldChar w:fldCharType="separate"/>
      </w:r>
      <w:r w:rsidRPr="00342FB3">
        <w:rPr>
          <w:noProof/>
        </w:rPr>
        <w:t>(Li et al., 2018; Mammadov et al., 2018)</w:t>
      </w:r>
      <w:r>
        <w:fldChar w:fldCharType="end"/>
      </w:r>
      <w:r>
        <w:t>.</w:t>
      </w:r>
    </w:p>
    <w:p w14:paraId="5A8D582B" w14:textId="52C42D2C" w:rsidR="001C24E3" w:rsidRDefault="001C24E3" w:rsidP="001C24E3">
      <w:r>
        <w:t>With the demand for cereals</w:t>
      </w:r>
      <w:r w:rsidR="00AA72EF">
        <w:t xml:space="preserve">, including maize, </w:t>
      </w:r>
      <w:r>
        <w:t>expect</w:t>
      </w:r>
      <w:r w:rsidR="00AA72EF">
        <w:t>ed</w:t>
      </w:r>
      <w:r>
        <w:t xml:space="preserve"> to increase in the </w:t>
      </w:r>
      <w:r w:rsidR="00AA72EF">
        <w:t>near-</w:t>
      </w:r>
      <w:r>
        <w:t>future</w:t>
      </w:r>
      <w:r w:rsidR="00AA72EF">
        <w:t xml:space="preserve">, </w:t>
      </w:r>
      <w:r>
        <w:t xml:space="preserve">achieving higher yields will become a difficult task </w:t>
      </w:r>
      <w:r>
        <w:fldChar w:fldCharType="begin" w:fldLock="1"/>
      </w:r>
      <w:r>
        <w:instrText>ADDIN CSL_CITATION {"citationItems":[{"id":"ITEM-1","itemData":{"ISBN":"978-92-5-108519-6","author":[{"dropping-particle":"","family":"FAO","given":"","non-dropping-particle":"","parse-names":false,"suffix":""}],"id":"ITEM-1","issued":{"date-parts":[["2016"]]},"number-of-pages":"124","publisher-place":"Rome","title":"Save and Grow in practice Maize-Rice-Wheat: A guide to sustainable cereal production","type":"book"},"uris":["http://www.mendeley.com/documents/?uuid=94c096bf-ba41-32fd-a46e-b0e4917712d4"]}],"mendeley":{"formattedCitation":"(FAO, 2016)","plainTextFormattedCitation":"(FAO, 2016)","previouslyFormattedCitation":"(FAO, 2016)"},"properties":{"noteIndex":0},"schema":"https://github.com/citation-style-language/schema/raw/master/csl-citation.json"}</w:instrText>
      </w:r>
      <w:r>
        <w:fldChar w:fldCharType="separate"/>
      </w:r>
      <w:r w:rsidRPr="00B22390">
        <w:rPr>
          <w:noProof/>
        </w:rPr>
        <w:t>(FAO, 2016)</w:t>
      </w:r>
      <w:r>
        <w:fldChar w:fldCharType="end"/>
      </w:r>
      <w:r>
        <w:t xml:space="preserve">. </w:t>
      </w:r>
      <w:r w:rsidR="00AA72EF">
        <w:t>One of</w:t>
      </w:r>
      <w:r>
        <w:t xml:space="preserve"> those difficulties</w:t>
      </w:r>
      <w:r w:rsidR="00AA72EF">
        <w:t xml:space="preserve"> will be due to</w:t>
      </w:r>
      <w:r>
        <w:t xml:space="preserve"> climate change which is predicted to have a negative effect on both agricultural outputs and productivity </w:t>
      </w:r>
      <w:r>
        <w:fldChar w:fldCharType="begin" w:fldLock="1"/>
      </w:r>
      <w:r>
        <w:instrText>ADDIN CSL_CITATION {"citationItems":[{"id":"ITEM-1","itemData":{"DOI":"10.3389/fpls.2018.01249","ISBN":"1664-462X","ISSN":"1664-462X","PMID":"30210519","abstract":"Drought and heat in dryland agriculture challenge the enhancement of crop productivity and threaten global food security. This review is centered on harnessing genetic variation through biotechnology-led approaches to select for increased productivity and stress tolerance that will enhance crop adaptation in dryland environments. Peer-reviewed literature, mostly from the last decade and involving experiments with at least two seasons’ data, form the basis of this review. It begins by highlighting the adverse impact of the increasing intensity and duration of drought and heat stress due to global warming on crop productivity and its impact on food and nutritional security in dryland environments. This is followed by (1) an overview of the physiological and molecular basis of plant adaptation to eCO2, drought and heat stress; (2) the critical role of high-throughput phenotyping platforms to study phenomes and genomes to increase breeding efficiency; (3) opportunities to enhance stress tolerance and productivity in food crops (cereals and grain legumes) by deploying biotechnology-led approaches (pyramiding quantitative trait loci [QTL], genomic selection, marker-assisted recurrent selection, epigenetic variation, genome editing, and transgene) and inducing flowering independent of environmental clues to match the length of growing season; (4) opportunities to increase productivity in C3 crops by harnessing novel variations (genes and network) in crops’ (C3, C4) germplasm pools associated with increased photosynthesis; and (5) the adoption, impact, risk assessment and enabling policy environments to scale up the adoption of seed-technology to enhance food and nutritional security. This synthesis of technological innovations and insights in seed-based technology offers crop genetic enhancers further opportunities to increase crop productivity in dryland environments","author":[{"dropping-particle":"","family":"Dwivedi","given":"Sangam L.","non-dropping-particle":"","parse-names":false,"suffix":""},{"dropping-particle":"","family":"Siddique","given":"Kadambot H. M.","non-dropping-particle":"","parse-names":false,"suffix":""},{"dropping-particle":"","family":"Farooq","given":"Muhammad","non-dropping-particle":"","parse-names":false,"suffix":""},{"dropping-particle":"","family":"Thornton","given":"Philip K.","non-dropping-particle":"","parse-names":false,"suffix":""},{"dropping-particle":"","family":"Ortiz","given":"Rodomiro","non-dropping-particle":"","parse-names":false,"suffix":""}],"container-title":"Frontiers in Plant Science","id":"ITEM-1","issued":{"date-parts":[["2018","8","27"]]},"page":"1249","publisher":"Frontiers","title":"Using Biotechnology-Led Approaches to Uplift Cereal and Food Legume Yields in Dryland Environments","type":"article-journal","volume":"9"},"uris":["http://www.mendeley.com/documents/?uuid=c1e3a9c0-f5ce-3ff4-8b39-066a97053488"]}],"mendeley":{"formattedCitation":"(Dwivedi et al., 2018)","plainTextFormattedCitation":"(Dwivedi et al., 2018)","previouslyFormattedCitation":"(Dwivedi et al., 2018)"},"properties":{"noteIndex":0},"schema":"https://github.com/citation-style-language/schema/raw/master/csl-citation.json"}</w:instrText>
      </w:r>
      <w:r>
        <w:fldChar w:fldCharType="separate"/>
      </w:r>
      <w:r w:rsidRPr="00B22390">
        <w:rPr>
          <w:noProof/>
        </w:rPr>
        <w:t>(Dwivedi et al., 2018)</w:t>
      </w:r>
      <w:r>
        <w:fldChar w:fldCharType="end"/>
      </w:r>
      <w:r>
        <w:t>. As a result of climate change, the rising temperatures and precipitation trends observed since the 1980s have lowered maize yields by 3.8% globally compared to what it would</w:t>
      </w:r>
      <w:r w:rsidR="00AA72EF">
        <w:t xml:space="preserve"> ha</w:t>
      </w:r>
      <w:r>
        <w:t xml:space="preserve">ve been under a stable climate </w:t>
      </w:r>
      <w:r>
        <w:fldChar w:fldCharType="begin" w:fldLock="1"/>
      </w:r>
      <w:r>
        <w:instrText>ADDIN CSL_CITATION {"citationItems":[{"id":"ITEM-1","itemData":{"ISBN":"978-92-5-108519-6","author":[{"dropping-particle":"","family":"FAO","given":"","non-dropping-particle":"","parse-names":false,"suffix":""}],"id":"ITEM-1","issued":{"date-parts":[["2016"]]},"number-of-pages":"124","publisher-place":"Rome","title":"Save and Grow in practice Maize-Rice-Wheat: A guide to sustainable cereal production","type":"book"},"uris":["http://www.mendeley.com/documents/?uuid=94c096bf-ba41-32fd-a46e-b0e4917712d4"]}],"mendeley":{"formattedCitation":"(FAO, 2016)","plainTextFormattedCitation":"(FAO, 2016)","previouslyFormattedCitation":"(FAO, 2016)"},"properties":{"noteIndex":0},"schema":"https://github.com/citation-style-language/schema/raw/master/csl-citation.json"}</w:instrText>
      </w:r>
      <w:r>
        <w:fldChar w:fldCharType="separate"/>
      </w:r>
      <w:r w:rsidRPr="00062B83">
        <w:rPr>
          <w:noProof/>
        </w:rPr>
        <w:t>(FAO, 2016)</w:t>
      </w:r>
      <w:r>
        <w:fldChar w:fldCharType="end"/>
      </w:r>
      <w:r>
        <w:t xml:space="preserve">. This number is expected to increase further by 2050 as a result of climate change, threatening food safety </w:t>
      </w:r>
      <w:r>
        <w:fldChar w:fldCharType="begin" w:fldLock="1"/>
      </w:r>
      <w:r>
        <w:instrText>ADDIN CSL_CITATION {"citationItems":[{"id":"ITEM-1","itemData":{"ISBN":"978-92-5-108519-6","author":[{"dropping-particle":"","family":"FAO","given":"","non-dropping-particle":"","parse-names":false,"suffix":""}],"id":"ITEM-1","issued":{"date-parts":[["2016"]]},"number-of-pages":"124","publisher-place":"Rome","title":"Save and Grow in practice Maize-Rice-Wheat: A guide to sustainable cereal production","type":"book"},"uris":["http://www.mendeley.com/documents/?uuid=94c096bf-ba41-32fd-a46e-b0e4917712d4"]}],"mendeley":{"formattedCitation":"(FAO, 2016)","plainTextFormattedCitation":"(FAO, 2016)","previouslyFormattedCitation":"(FAO, 2016)"},"properties":{"noteIndex":0},"schema":"https://github.com/citation-style-language/schema/raw/master/csl-citation.json"}</w:instrText>
      </w:r>
      <w:r>
        <w:fldChar w:fldCharType="separate"/>
      </w:r>
      <w:r w:rsidRPr="00B22390">
        <w:rPr>
          <w:noProof/>
        </w:rPr>
        <w:t>(FAO, 2016)</w:t>
      </w:r>
      <w:r>
        <w:fldChar w:fldCharType="end"/>
      </w:r>
      <w:r>
        <w:t xml:space="preserve">. </w:t>
      </w:r>
    </w:p>
    <w:p w14:paraId="4A79F3C7" w14:textId="7C8D4BC7" w:rsidR="001C24E3" w:rsidRDefault="001C24E3" w:rsidP="001C24E3">
      <w:r>
        <w:t xml:space="preserve">To find out more about how the effects of climate change will affect the distribution of </w:t>
      </w:r>
      <w:r w:rsidRPr="007D354E">
        <w:rPr>
          <w:i/>
        </w:rPr>
        <w:t>Z</w:t>
      </w:r>
      <w:r>
        <w:rPr>
          <w:i/>
        </w:rPr>
        <w:t>.</w:t>
      </w:r>
      <w:r w:rsidRPr="007D354E">
        <w:rPr>
          <w:i/>
        </w:rPr>
        <w:t xml:space="preserve"> mays</w:t>
      </w:r>
      <w:r>
        <w:rPr>
          <w:i/>
        </w:rPr>
        <w:t xml:space="preserve"> </w:t>
      </w:r>
      <w:r>
        <w:t xml:space="preserve">worldwide by 2050, a species distribution model for </w:t>
      </w:r>
      <w:r w:rsidRPr="007265CD">
        <w:rPr>
          <w:i/>
        </w:rPr>
        <w:t>Z</w:t>
      </w:r>
      <w:r>
        <w:rPr>
          <w:i/>
        </w:rPr>
        <w:t>.</w:t>
      </w:r>
      <w:r w:rsidRPr="007265CD">
        <w:rPr>
          <w:i/>
        </w:rPr>
        <w:t xml:space="preserve"> mays</w:t>
      </w:r>
      <w:r>
        <w:t xml:space="preserve"> </w:t>
      </w:r>
      <w:r w:rsidR="00436607">
        <w:t xml:space="preserve">was created to </w:t>
      </w:r>
      <w:r>
        <w:t xml:space="preserve">look at </w:t>
      </w:r>
      <w:r w:rsidR="00436607">
        <w:t xml:space="preserve">its </w:t>
      </w:r>
      <w:r>
        <w:t xml:space="preserve">range change in a future situation.   </w:t>
      </w:r>
    </w:p>
    <w:p w14:paraId="53A11C49" w14:textId="098AC3F6" w:rsidR="00D05525" w:rsidRDefault="00D05525" w:rsidP="001C24E3">
      <w:r>
        <w:rPr>
          <w:noProof/>
        </w:rPr>
        <w:lastRenderedPageBreak/>
        <w:drawing>
          <wp:inline distT="0" distB="0" distL="0" distR="0" wp14:anchorId="6C7F04C0" wp14:editId="5FE62C17">
            <wp:extent cx="5847619" cy="3447619"/>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47619" cy="3447619"/>
                    </a:xfrm>
                    <a:prstGeom prst="rect">
                      <a:avLst/>
                    </a:prstGeom>
                  </pic:spPr>
                </pic:pic>
              </a:graphicData>
            </a:graphic>
          </wp:inline>
        </w:drawing>
      </w:r>
    </w:p>
    <w:p w14:paraId="353F5777" w14:textId="56DAEE30" w:rsidR="004F6AA8" w:rsidRDefault="004F6AA8" w:rsidP="004F6AA8">
      <w:pPr>
        <w:rPr>
          <w:b/>
        </w:rPr>
      </w:pPr>
      <w:r w:rsidRPr="001D1EE4">
        <w:rPr>
          <w:b/>
        </w:rPr>
        <w:t xml:space="preserve">Figure 1. </w:t>
      </w:r>
      <w:r w:rsidRPr="001D1EE4">
        <w:rPr>
          <w:b/>
          <w:sz w:val="20"/>
          <w:szCs w:val="20"/>
        </w:rPr>
        <w:t xml:space="preserve">The global distribution of </w:t>
      </w:r>
      <w:r w:rsidRPr="001D1EE4">
        <w:rPr>
          <w:b/>
          <w:i/>
          <w:sz w:val="20"/>
          <w:szCs w:val="20"/>
        </w:rPr>
        <w:t>Z. mays</w:t>
      </w:r>
      <w:r w:rsidRPr="001D1EE4">
        <w:rPr>
          <w:b/>
          <w:sz w:val="20"/>
          <w:szCs w:val="20"/>
        </w:rPr>
        <w:t xml:space="preserve"> </w:t>
      </w:r>
      <w:r>
        <w:rPr>
          <w:b/>
          <w:sz w:val="20"/>
          <w:szCs w:val="20"/>
        </w:rPr>
        <w:t>from the GBIF</w:t>
      </w:r>
      <w:r w:rsidRPr="001D1EE4">
        <w:rPr>
          <w:b/>
          <w:sz w:val="20"/>
          <w:szCs w:val="20"/>
        </w:rPr>
        <w:t xml:space="preserve"> data.</w:t>
      </w:r>
      <w:r w:rsidRPr="001D1EE4">
        <w:rPr>
          <w:b/>
        </w:rPr>
        <w:t xml:space="preserve"> </w:t>
      </w:r>
    </w:p>
    <w:p w14:paraId="58175826" w14:textId="35F819D1" w:rsidR="001C24E3" w:rsidRDefault="001C24E3" w:rsidP="00AA112F">
      <w:pPr>
        <w:pStyle w:val="Heading1"/>
        <w:rPr>
          <w:b/>
          <w:color w:val="auto"/>
          <w:u w:val="single"/>
        </w:rPr>
      </w:pPr>
      <w:r w:rsidRPr="0008388E">
        <w:rPr>
          <w:b/>
          <w:color w:val="auto"/>
          <w:u w:val="single"/>
        </w:rPr>
        <w:t>Methodology</w:t>
      </w:r>
    </w:p>
    <w:p w14:paraId="0A032ABD" w14:textId="77777777" w:rsidR="004012F3" w:rsidRPr="004012F3" w:rsidRDefault="004012F3" w:rsidP="004012F3"/>
    <w:p w14:paraId="129D85BF" w14:textId="2C3E9668" w:rsidR="001C24E3" w:rsidRDefault="001C24E3" w:rsidP="001C24E3">
      <w:r>
        <w:t xml:space="preserve">The methodology used for generating the species distribution model and the settings used in Maxent is as described in “Exercise: Model your chosen species’ habitat suitability under present and future climate conditions”. </w:t>
      </w:r>
    </w:p>
    <w:p w14:paraId="40209EFE" w14:textId="78C25BD0" w:rsidR="001C24E3" w:rsidRDefault="001C24E3" w:rsidP="001C24E3">
      <w:r>
        <w:t xml:space="preserve">Data used for modeling included </w:t>
      </w:r>
      <w:r w:rsidRPr="00A4548B">
        <w:rPr>
          <w:i/>
        </w:rPr>
        <w:t>Z</w:t>
      </w:r>
      <w:r>
        <w:rPr>
          <w:i/>
        </w:rPr>
        <w:t>.</w:t>
      </w:r>
      <w:r w:rsidRPr="00A4548B">
        <w:rPr>
          <w:i/>
        </w:rPr>
        <w:t xml:space="preserve"> mays</w:t>
      </w:r>
      <w:r w:rsidRPr="00D5047A">
        <w:t>’</w:t>
      </w:r>
      <w:r>
        <w:t xml:space="preserve"> occurrence data with coordinates and global climate data with bioclimatic variables </w:t>
      </w:r>
      <w:r>
        <w:fldChar w:fldCharType="begin" w:fldLock="1"/>
      </w:r>
      <w:r w:rsidR="00D57F65">
        <w:instrText>ADDIN CSL_CITATION {"citationItems":[{"id":"ITEM-1","itemData":{"DOI":"https://doi.org/10.15468/dl.qko5um","URL":"https://www.gbif.org/","accessed":{"date-parts":[["2018","12","5"]]},"author":[{"dropping-particle":"","family":"GBIF","given":"","non-dropping-particle":"","parse-names":false,"suffix":""}],"id":"ITEM-1","issued":{"date-parts":[["2018"]]},"title":"GBIF Occurrence data","type":"webpage"},"uris":["http://www.mendeley.com/documents/?uuid=d1d4cddf-d426-3db3-99ac-4295447c7f8a"]},{"id":"ITEM-2","itemData":{"URL":"http://worldclim.org/version1","accessed":{"date-parts":[["2018","12","7"]]},"author":[{"dropping-particle":"","family":"WorldClim - Global Climate data","given":"","non-dropping-particle":"","parse-names":false,"suffix":""}],"id":"ITEM-2","issued":{"date-parts":[["2018"]]},"title":"WorldClim version 1.4","type":"webpage"},"uris":["http://www.mendeley.com/documents/?uuid=eff5805c-d3b4-36ed-b345-799d3f0dd721"]}],"mendeley":{"formattedCitation":"(GBIF, 2018; WorldClim - Global Climate data, 2018)","plainTextFormattedCitation":"(GBIF, 2018; WorldClim - Global Climate data, 2018)","previouslyFormattedCitation":"(GBIF, 2018; WorldClim - Global Climate data, 2018)"},"properties":{"noteIndex":0},"schema":"https://github.com/citation-style-language/schema/raw/master/csl-citation.json"}</w:instrText>
      </w:r>
      <w:r>
        <w:fldChar w:fldCharType="separate"/>
      </w:r>
      <w:r w:rsidRPr="00C17271">
        <w:rPr>
          <w:noProof/>
        </w:rPr>
        <w:t>(GBIF, 2018; WorldClim - Global Climate data, 2018)</w:t>
      </w:r>
      <w:r>
        <w:fldChar w:fldCharType="end"/>
      </w:r>
      <w:r>
        <w:t xml:space="preserve">. In the occurrence data, </w:t>
      </w:r>
      <w:r w:rsidR="0005092F">
        <w:t>coordinates</w:t>
      </w:r>
      <w:r>
        <w:t xml:space="preserve"> occurring at latitude of -90</w:t>
      </w:r>
      <w:r>
        <w:rPr>
          <w:rFonts w:cstheme="minorHAnsi"/>
        </w:rPr>
        <w:t>°</w:t>
      </w:r>
      <w:r>
        <w:t xml:space="preserve"> were </w:t>
      </w:r>
      <w:r w:rsidR="00AB4906">
        <w:t>regarded as</w:t>
      </w:r>
      <w:r>
        <w:t xml:space="preserve"> incorrect data</w:t>
      </w:r>
      <w:r w:rsidR="00AB4906">
        <w:t xml:space="preserve"> and were subsequently removed</w:t>
      </w:r>
      <w:r>
        <w:t xml:space="preserve">. For the future global climate data, </w:t>
      </w:r>
      <w:r w:rsidR="00AB4906">
        <w:t xml:space="preserve">data generated by the </w:t>
      </w:r>
      <w:r>
        <w:t xml:space="preserve">HadGEM2-AO climate model was chosen along with the RCP 4.5 climate scenario for the year 2050. RCP 4.5 is a climate scenario that </w:t>
      </w:r>
      <w:bookmarkStart w:id="0" w:name="_GoBack"/>
      <w:bookmarkEnd w:id="0"/>
      <w:r>
        <w:t>predicts radiative forcing to stabilize at 4.5 W/m</w:t>
      </w:r>
      <w:r>
        <w:rPr>
          <w:rFonts w:cstheme="minorHAnsi"/>
        </w:rPr>
        <w:t>²</w:t>
      </w:r>
      <w:r>
        <w:t xml:space="preserve"> in 2100 and assumes the imposition of emission mitigation policies </w:t>
      </w:r>
      <w:r>
        <w:fldChar w:fldCharType="begin" w:fldLock="1"/>
      </w:r>
      <w:r>
        <w:instrText>ADDIN CSL_CITATION {"citationItems":[{"id":"ITEM-1","itemData":{"DOI":"10.1007/s10584-011-0151-4","ISBN":"0165-0009","ISSN":"01650009","abstract":"Representative Concentration Pathway (RCP) 4.5 is a scenario that stabilizes radiative forcing at 4.5 W m in the year 2100 without ever exceeding that value. Simulated with the Global Change Assessment Model (GCAM), RCP4.5 includes long-term, global emissions of greenhouse gases, short-lived species, and land-use-land-cover in a global economic framework. RCP4.5 was updated from earlier GCAM scenarios to incorporate historical emissions and land cover information common to the RCP process and follows a cost-minimizing pathway to reach the target radiative forcing. The imperative to limit emissions in order to reach this target drives changes in the energy system, including shifts to electricity, to lower emissions energy technologies and to the deployment of carbon capture and geologic storage technology. In addition, the RCP4.5 emissions price also applies to land use emissions; as a result, forest lands expand from their present day extent. The simulated future emissions and land use were downscaled from the regional simulation to a grid to facilitate transfer to climate models. While there are many alternative pathways to achieve a radiative forcing level of 4.5 W m, the application of the RCP4.5 provides a common platform for climate models to explore the climate system response to stabilizing the anthropogenic components of radiative forcing.","author":[{"dropping-particle":"","family":"Thomson","given":"Allison M.","non-dropping-particle":"","parse-names":false,"suffix":""},{"dropping-particle":"V.","family":"Calvin","given":"Katherine","non-dropping-particle":"","parse-names":false,"suffix":""},{"dropping-particle":"","family":"Smith","given":"Steven J.","non-dropping-particle":"","parse-names":false,"suffix":""},{"dropping-particle":"","family":"Kyle","given":"G. Page","non-dropping-particle":"","parse-names":false,"suffix":""},{"dropping-particle":"","family":"Volke","given":"April","non-dropping-particle":"","parse-names":false,"suffix":""},{"dropping-particle":"","family":"Patel","given":"Pralit","non-dropping-particle":"","parse-names":false,"suffix":""},{"dropping-particle":"","family":"Delgado-Arias","given":"Sabrina","non-dropping-particle":"","parse-names":false,"suffix":""},{"dropping-particle":"","family":"Bond-Lamberty","given":"Ben","non-dropping-particle":"","parse-names":false,"suffix":""},{"dropping-particle":"","family":"Wise","given":"Marshall A.","non-dropping-particle":"","parse-names":false,"suffix":""},{"dropping-particle":"","family":"Clarke","given":"Leon E.","non-dropping-particle":"","parse-names":false,"suffix":""},{"dropping-particle":"","family":"Edmonds","given":"James A.","non-dropping-particle":"","parse-names":false,"suffix":""}],"container-title":"Climatic Change","id":"ITEM-1","issue":"1","issued":{"date-parts":[["2011","11","29"]]},"page":"77-94","publisher":"Springer Netherlands","title":"RCP4.5: A pathway for stabilization of radiative forcing by 2100","type":"article-journal","volume":"109"},"uris":["http://www.mendeley.com/documents/?uuid=4abaa957-2811-358b-bc6c-a8becf029bbb"]}],"mendeley":{"formattedCitation":"(Thomson et al., 2011)","plainTextFormattedCitation":"(Thomson et al., 2011)","previouslyFormattedCitation":"(Thomson et al., 2011)"},"properties":{"noteIndex":0},"schema":"https://github.com/citation-style-language/schema/raw/master/csl-citation.json"}</w:instrText>
      </w:r>
      <w:r>
        <w:fldChar w:fldCharType="separate"/>
      </w:r>
      <w:r w:rsidRPr="00BC6315">
        <w:rPr>
          <w:noProof/>
        </w:rPr>
        <w:t>(Thomson et al., 2011)</w:t>
      </w:r>
      <w:r>
        <w:fldChar w:fldCharType="end"/>
      </w:r>
      <w:r>
        <w:t xml:space="preserve">. The HadGEM2-AO climate model consists of several troposphere, land surface, hydrology, aerosols, ocean and sea-ice processes that are used in simulating a future climate </w:t>
      </w:r>
      <w:r>
        <w:fldChar w:fldCharType="begin" w:fldLock="1"/>
      </w:r>
      <w:r>
        <w:instrText>ADDIN CSL_CITATION {"citationItems":[{"id":"ITEM-1","itemData":{"DOI":"10.1007/s13143-013-0053-7","ISBN":"1976-7633","ISSN":"19767633","PMID":"22529571","abstract":"We present climate responses of Representative Concentration Pathways (RCPs) using the coupled climate model HadGEM2-AO for the Coupled Model Intercomparison Project phase 5 (CMIP5). The RCPs are selected as standard scenarios for the IPCC Fifth Assessment Report and these scenarios include time paths for emissions and concentrations of greenhouse gas and aerosols and land-use/land cover. The global average warming and precipitation increases for the last 20 years of the 21st century relative to the period 1986-2005 are +1.1 C/+2.1% for RCP2.6, +2.4 C/+4.0% for RCP4.5, +2.5 C/+3.3% for RCP6.0 and +4.1 C/+4.6% for RCP8.5, respectively. The climate response on RCP 2.6 scenario meets the UN Copenhagen Accord to limit global warming within two degrees at the end of 21st century, the mitigation effect is about 3 C between RCP2.6 and RCP8.5. The projected precipitation changes over the 21st century are expected to increase in tropical regions and at high latitudes, and decrease in subtropical regions associated with projected poleward expansions of the Hadley cell. Total soil moisture change is projected to decrease in northern hemisphere high latitudes and increase in central Africa and Asia whereas near-surface soil moisture tends to decrease in most areas according to the warming and evaporation increase. The trend and magnitude of future climate extremes are also projected to increase in proportion to radiative forcing of RCPs. For RCP 8.5, at the end of the summer season the Arctic is projected to be free of sea ice. © 2013 Korean Meteorological Society and Springer Science+Business Media Dordrecht.","author":[{"dropping-particle":"","family":"Baek","given":"Hee Jeong","non-dropping-particle":"","parse-names":false,"suffix":""},{"dropping-particle":"","family":"Lee","given":"Johan","non-dropping-particle":"","parse-names":false,"suffix":""},{"dropping-particle":"","family":"Lee","given":"Hyo Shin","non-dropping-particle":"","parse-names":false,"suffix":""},{"dropping-particle":"","family":"Hyun","given":"Yu Kyung","non-dropping-particle":"","parse-names":false,"suffix":""},{"dropping-particle":"","family":"Cho","given":"ChunHo","non-dropping-particle":"","parse-names":false,"suffix":""},{"dropping-particle":"","family":"Kwon","given":"Won Tae","non-dropping-particle":"","parse-names":false,"suffix":""},{"dropping-particle":"","family":"Marzin","given":"Charline","non-dropping-particle":"","parse-names":false,"suffix":""},{"dropping-particle":"","family":"Gan","given":"Sun Yeong","non-dropping-particle":"","parse-names":false,"suffix":""},{"dropping-particle":"","family":"Kim","given":"Min Ji","non-dropping-particle":"","parse-names":false,"suffix":""},{"dropping-particle":"","family":"Choi","given":"Da Hee","non-dropping-particle":"","parse-names":false,"suffix":""},{"dropping-particle":"","family":"Lee","given":"Jonghwa","non-dropping-particle":"","parse-names":false,"suffix":""},{"dropping-particle":"","family":"Lee","given":"Jaeho","non-dropping-particle":"","parse-names":false,"suffix":""},{"dropping-particle":"","family":"Boo","given":"Kyung On","non-dropping-particle":"","parse-names":false,"suffix":""},{"dropping-particle":"","family":"Kang","given":"Hyun Suk","non-dropping-particle":"","parse-names":false,"suffix":""},{"dropping-particle":"","family":"Byun","given":"Young Hwa","non-dropping-particle":"","parse-names":false,"suffix":""}],"container-title":"Asia-Pacific Journal of Atmospheric Sciences","id":"ITEM-1","issue":"5","issued":{"date-parts":[["2013","11","20"]]},"page":"603-618","publisher":"Springer Netherlands","title":"Climate change in the 21st century simulated by HadGEM2-AO under representative concentration pathways","type":"article-journal","volume":"49"},"uris":["http://www.mendeley.com/documents/?uuid=c1f0563b-66a8-31ae-9565-5977d6cada5c"]}],"mendeley":{"formattedCitation":"(Baek et al., 2013)","plainTextFormattedCitation":"(Baek et al., 2013)","previouslyFormattedCitation":"(Baek et al., 2013)"},"properties":{"noteIndex":0},"schema":"https://github.com/citation-style-language/schema/raw/master/csl-citation.json"}</w:instrText>
      </w:r>
      <w:r>
        <w:fldChar w:fldCharType="separate"/>
      </w:r>
      <w:r w:rsidRPr="00BC6315">
        <w:rPr>
          <w:noProof/>
        </w:rPr>
        <w:t>(Baek et al., 2013)</w:t>
      </w:r>
      <w:r>
        <w:fldChar w:fldCharType="end"/>
      </w:r>
      <w:r>
        <w:t xml:space="preserve">.              </w:t>
      </w:r>
    </w:p>
    <w:p w14:paraId="292FB3FA" w14:textId="5F0EEB3E" w:rsidR="004F6AA8" w:rsidRDefault="001C24E3" w:rsidP="001C24E3">
      <w:r>
        <w:t>Several variables were excluded from the distribution model due to high correlations (correlations &gt; 0.7) with each other, implying redundan</w:t>
      </w:r>
      <w:r w:rsidR="00CB50F7">
        <w:t>t information</w:t>
      </w:r>
      <w:r>
        <w:t xml:space="preserve">. Of the 19 bioclimatic variables only four were included in the species distribution model: Bio 1 (annual mean temperature), Bio 2 (mean diurnal range), Bio 12 (annual precipitation) and Bio 15 (precipitation seasonality). </w:t>
      </w:r>
      <w:r w:rsidRPr="00C41635">
        <w:rPr>
          <w:i/>
        </w:rPr>
        <w:t>Z. mays</w:t>
      </w:r>
      <w:r>
        <w:t xml:space="preserve"> is grown in climates ranging from tropic to temperate requiring daily temperatures between 15 and 45</w:t>
      </w:r>
      <w:r>
        <w:rPr>
          <w:rFonts w:cstheme="minorHAnsi"/>
        </w:rPr>
        <w:t>°</w:t>
      </w:r>
      <w:r>
        <w:t xml:space="preserve">C </w:t>
      </w:r>
      <w:r>
        <w:fldChar w:fldCharType="begin" w:fldLock="1"/>
      </w:r>
      <w:r>
        <w:instrText>ADDIN CSL_CITATION {"citationItems":[{"id":"ITEM-1","itemData":{"URL":"http://www.fao.org/land-water/databases-and-software/crop-information/maize/en/","accessed":{"date-parts":[["2018","12","9"]]},"author":[{"dropping-particle":"","family":"FAO","given":"","non-dropping-particle":"","parse-names":false,"suffix":""}],"id":"ITEM-1","issued":{"date-parts":[["2018"]]},"title":"Maize Crop Description and Climate","type":"webpage"},"uris":["http://www.mendeley.com/documents/?uuid=5aba608a-efe2-3111-9384-cf1625303f63"]}],"mendeley":{"formattedCitation":"(FAO, 2018a)","plainTextFormattedCitation":"(FAO, 2018a)","previouslyFormattedCitation":"(FAO, 2018a)"},"properties":{"noteIndex":0},"schema":"https://github.com/citation-style-language/schema/raw/master/csl-citation.json"}</w:instrText>
      </w:r>
      <w:r>
        <w:fldChar w:fldCharType="separate"/>
      </w:r>
      <w:r w:rsidRPr="00B25CDE">
        <w:rPr>
          <w:noProof/>
        </w:rPr>
        <w:t>(FAO, 2018a)</w:t>
      </w:r>
      <w:r>
        <w:fldChar w:fldCharType="end"/>
      </w:r>
      <w:r>
        <w:t xml:space="preserve">. While </w:t>
      </w:r>
      <w:r w:rsidRPr="00C41635">
        <w:rPr>
          <w:i/>
        </w:rPr>
        <w:t>Z. mays</w:t>
      </w:r>
      <w:r>
        <w:t xml:space="preserve"> is able to tolerate hot and dry conditions as long as there</w:t>
      </w:r>
      <w:r w:rsidR="00CB50F7">
        <w:t xml:space="preserve"> i</w:t>
      </w:r>
      <w:r>
        <w:t xml:space="preserve">s sufficient water available, it is </w:t>
      </w:r>
      <w:r>
        <w:lastRenderedPageBreak/>
        <w:t xml:space="preserve">also susceptible to waterlogged soils </w:t>
      </w:r>
      <w:r>
        <w:fldChar w:fldCharType="begin" w:fldLock="1"/>
      </w:r>
      <w:r>
        <w:instrText>ADDIN CSL_CITATION {"citationItems":[{"id":"ITEM-1","itemData":{"URL":"http://www.fao.org/land-water/databases-and-software/crop-information/maize/en/","accessed":{"date-parts":[["2018","12","9"]]},"author":[{"dropping-particle":"","family":"FAO","given":"","non-dropping-particle":"","parse-names":false,"suffix":""}],"id":"ITEM-1","issued":{"date-parts":[["2018"]]},"title":"Maize Crop Description and Climate","type":"webpage"},"uris":["http://www.mendeley.com/documents/?uuid=5aba608a-efe2-3111-9384-cf1625303f63"]}],"mendeley":{"formattedCitation":"(FAO, 2018a)","plainTextFormattedCitation":"(FAO, 2018a)","previouslyFormattedCitation":"(FAO, 2018a)"},"properties":{"noteIndex":0},"schema":"https://github.com/citation-style-language/schema/raw/master/csl-citation.json"}</w:instrText>
      </w:r>
      <w:r>
        <w:fldChar w:fldCharType="separate"/>
      </w:r>
      <w:r w:rsidRPr="00874632">
        <w:rPr>
          <w:noProof/>
        </w:rPr>
        <w:t>(FAO, 2018a)</w:t>
      </w:r>
      <w:r>
        <w:fldChar w:fldCharType="end"/>
      </w:r>
      <w:r>
        <w:t>. These make the chosen bioclimatic variables important factors in determining their</w:t>
      </w:r>
      <w:r w:rsidR="00AB4906">
        <w:t xml:space="preserve"> global</w:t>
      </w:r>
      <w:r>
        <w:t xml:space="preserve"> distribution.</w:t>
      </w:r>
    </w:p>
    <w:p w14:paraId="0AF3D5EB" w14:textId="775C545D" w:rsidR="001C24E3" w:rsidRPr="0008388E" w:rsidRDefault="001C24E3" w:rsidP="00AA112F">
      <w:pPr>
        <w:pStyle w:val="Heading1"/>
        <w:rPr>
          <w:b/>
          <w:color w:val="auto"/>
          <w:u w:val="single"/>
        </w:rPr>
      </w:pPr>
      <w:r w:rsidRPr="0008388E">
        <w:rPr>
          <w:b/>
          <w:color w:val="auto"/>
          <w:u w:val="single"/>
        </w:rPr>
        <w:t>Model output</w:t>
      </w:r>
    </w:p>
    <w:p w14:paraId="3ACA2CA1" w14:textId="77777777" w:rsidR="001C24E3" w:rsidRDefault="001C24E3" w:rsidP="001C24E3">
      <w:r w:rsidRPr="00587135">
        <w:rPr>
          <w:noProof/>
        </w:rPr>
        <w:drawing>
          <wp:inline distT="0" distB="0" distL="0" distR="0" wp14:anchorId="7CD29DF4" wp14:editId="2A01FF43">
            <wp:extent cx="5848350" cy="32861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b="4697"/>
                    <a:stretch/>
                  </pic:blipFill>
                  <pic:spPr bwMode="auto">
                    <a:xfrm>
                      <a:off x="0" y="0"/>
                      <a:ext cx="5848350" cy="3286125"/>
                    </a:xfrm>
                    <a:prstGeom prst="rect">
                      <a:avLst/>
                    </a:prstGeom>
                    <a:noFill/>
                    <a:ln>
                      <a:noFill/>
                    </a:ln>
                    <a:extLst>
                      <a:ext uri="{53640926-AAD7-44D8-BBD7-CCE9431645EC}">
                        <a14:shadowObscured xmlns:a14="http://schemas.microsoft.com/office/drawing/2010/main"/>
                      </a:ext>
                    </a:extLst>
                  </pic:spPr>
                </pic:pic>
              </a:graphicData>
            </a:graphic>
          </wp:inline>
        </w:drawing>
      </w:r>
    </w:p>
    <w:p w14:paraId="791EF487" w14:textId="04487612" w:rsidR="001C24E3" w:rsidRDefault="001C24E3" w:rsidP="001C24E3">
      <w:pPr>
        <w:rPr>
          <w:b/>
        </w:rPr>
      </w:pPr>
      <w:r w:rsidRPr="001D1EE4">
        <w:rPr>
          <w:b/>
        </w:rPr>
        <w:t>Fig</w:t>
      </w:r>
      <w:r w:rsidR="001D1EE4" w:rsidRPr="001D1EE4">
        <w:rPr>
          <w:b/>
        </w:rPr>
        <w:t>ure</w:t>
      </w:r>
      <w:r w:rsidRPr="001D1EE4">
        <w:rPr>
          <w:b/>
        </w:rPr>
        <w:t xml:space="preserve"> </w:t>
      </w:r>
      <w:r w:rsidR="004F6AA8">
        <w:rPr>
          <w:b/>
        </w:rPr>
        <w:t>2</w:t>
      </w:r>
      <w:r w:rsidR="001D1EE4" w:rsidRPr="001D1EE4">
        <w:rPr>
          <w:b/>
        </w:rPr>
        <w:t>.</w:t>
      </w:r>
      <w:r w:rsidRPr="001D1EE4">
        <w:rPr>
          <w:b/>
        </w:rPr>
        <w:t xml:space="preserve"> </w:t>
      </w:r>
      <w:r w:rsidR="00CD7781" w:rsidRPr="001D1EE4">
        <w:rPr>
          <w:b/>
          <w:sz w:val="20"/>
          <w:szCs w:val="20"/>
        </w:rPr>
        <w:t>T</w:t>
      </w:r>
      <w:r w:rsidRPr="001D1EE4">
        <w:rPr>
          <w:b/>
          <w:sz w:val="20"/>
          <w:szCs w:val="20"/>
        </w:rPr>
        <w:t xml:space="preserve">he </w:t>
      </w:r>
      <w:r w:rsidR="00CD7781" w:rsidRPr="001D1EE4">
        <w:rPr>
          <w:b/>
          <w:sz w:val="20"/>
          <w:szCs w:val="20"/>
        </w:rPr>
        <w:t xml:space="preserve">global </w:t>
      </w:r>
      <w:r w:rsidRPr="001D1EE4">
        <w:rPr>
          <w:b/>
          <w:sz w:val="20"/>
          <w:szCs w:val="20"/>
        </w:rPr>
        <w:t xml:space="preserve">distribution of </w:t>
      </w:r>
      <w:r w:rsidRPr="001D1EE4">
        <w:rPr>
          <w:b/>
          <w:i/>
          <w:sz w:val="20"/>
          <w:szCs w:val="20"/>
        </w:rPr>
        <w:t>Z. mays</w:t>
      </w:r>
      <w:r w:rsidRPr="001D1EE4">
        <w:rPr>
          <w:b/>
          <w:sz w:val="20"/>
          <w:szCs w:val="20"/>
        </w:rPr>
        <w:t xml:space="preserve"> under the current climate data</w:t>
      </w:r>
      <w:r w:rsidR="00765104" w:rsidRPr="001D1EE4">
        <w:rPr>
          <w:b/>
          <w:sz w:val="20"/>
          <w:szCs w:val="20"/>
        </w:rPr>
        <w:t xml:space="preserve">. Green areas indicate the </w:t>
      </w:r>
      <w:r w:rsidR="00D965AF">
        <w:rPr>
          <w:b/>
          <w:sz w:val="20"/>
          <w:szCs w:val="20"/>
        </w:rPr>
        <w:t>suitable habitats for</w:t>
      </w:r>
      <w:r w:rsidR="00765104" w:rsidRPr="001D1EE4">
        <w:rPr>
          <w:b/>
          <w:sz w:val="20"/>
          <w:szCs w:val="20"/>
        </w:rPr>
        <w:t xml:space="preserve"> </w:t>
      </w:r>
      <w:r w:rsidR="00765104" w:rsidRPr="001D1EE4">
        <w:rPr>
          <w:b/>
          <w:i/>
          <w:sz w:val="20"/>
          <w:szCs w:val="20"/>
        </w:rPr>
        <w:t>Z. mays</w:t>
      </w:r>
      <w:r w:rsidR="00765104" w:rsidRPr="001D1EE4">
        <w:rPr>
          <w:b/>
          <w:sz w:val="20"/>
          <w:szCs w:val="20"/>
        </w:rPr>
        <w:t xml:space="preserve"> and grey areas represent </w:t>
      </w:r>
      <w:r w:rsidR="00D965AF">
        <w:rPr>
          <w:b/>
          <w:sz w:val="20"/>
          <w:szCs w:val="20"/>
        </w:rPr>
        <w:t>unsuitable habitats</w:t>
      </w:r>
      <w:r w:rsidR="00765104" w:rsidRPr="001D1EE4">
        <w:rPr>
          <w:b/>
          <w:sz w:val="20"/>
          <w:szCs w:val="20"/>
        </w:rPr>
        <w:t>.</w:t>
      </w:r>
      <w:r w:rsidRPr="001D1EE4">
        <w:rPr>
          <w:b/>
        </w:rPr>
        <w:t xml:space="preserve"> </w:t>
      </w:r>
    </w:p>
    <w:p w14:paraId="52213568" w14:textId="704D81B5" w:rsidR="004F6AA8" w:rsidRDefault="004F6AA8">
      <w:pPr>
        <w:rPr>
          <w:b/>
        </w:rPr>
      </w:pPr>
      <w:r>
        <w:rPr>
          <w:b/>
        </w:rPr>
        <w:br w:type="page"/>
      </w:r>
    </w:p>
    <w:p w14:paraId="6875FF0D" w14:textId="77777777" w:rsidR="001D1EE4" w:rsidRPr="001D1EE4" w:rsidRDefault="001D1EE4" w:rsidP="001C24E3">
      <w:pPr>
        <w:rPr>
          <w:b/>
        </w:rPr>
      </w:pPr>
    </w:p>
    <w:p w14:paraId="3397C94B" w14:textId="77777777" w:rsidR="001C24E3" w:rsidRDefault="001C24E3" w:rsidP="001C24E3">
      <w:r w:rsidRPr="00587135">
        <w:rPr>
          <w:noProof/>
        </w:rPr>
        <w:drawing>
          <wp:inline distT="0" distB="0" distL="0" distR="0" wp14:anchorId="769EAA33" wp14:editId="367FB1A2">
            <wp:extent cx="5848350" cy="3076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9">
                      <a:extLst>
                        <a:ext uri="{28A0092B-C50C-407E-A947-70E740481C1C}">
                          <a14:useLocalDpi xmlns:a14="http://schemas.microsoft.com/office/drawing/2010/main" val="0"/>
                        </a:ext>
                      </a:extLst>
                    </a:blip>
                    <a:srcRect t="6353" b="4420"/>
                    <a:stretch/>
                  </pic:blipFill>
                  <pic:spPr bwMode="auto">
                    <a:xfrm>
                      <a:off x="0" y="0"/>
                      <a:ext cx="5848350" cy="3076575"/>
                    </a:xfrm>
                    <a:prstGeom prst="rect">
                      <a:avLst/>
                    </a:prstGeom>
                    <a:noFill/>
                    <a:ln>
                      <a:noFill/>
                    </a:ln>
                    <a:extLst>
                      <a:ext uri="{53640926-AAD7-44D8-BBD7-CCE9431645EC}">
                        <a14:shadowObscured xmlns:a14="http://schemas.microsoft.com/office/drawing/2010/main"/>
                      </a:ext>
                    </a:extLst>
                  </pic:spPr>
                </pic:pic>
              </a:graphicData>
            </a:graphic>
          </wp:inline>
        </w:drawing>
      </w:r>
    </w:p>
    <w:p w14:paraId="61120B99" w14:textId="1F225B3F" w:rsidR="001C24E3" w:rsidRPr="001D1EE4" w:rsidRDefault="001C24E3" w:rsidP="001C24E3">
      <w:pPr>
        <w:rPr>
          <w:b/>
        </w:rPr>
      </w:pPr>
      <w:r w:rsidRPr="001D1EE4">
        <w:rPr>
          <w:b/>
        </w:rPr>
        <w:t>Fig</w:t>
      </w:r>
      <w:r w:rsidR="001D1EE4" w:rsidRPr="001D1EE4">
        <w:rPr>
          <w:b/>
        </w:rPr>
        <w:t>ure</w:t>
      </w:r>
      <w:r w:rsidRPr="001D1EE4">
        <w:rPr>
          <w:b/>
        </w:rPr>
        <w:t xml:space="preserve"> </w:t>
      </w:r>
      <w:r w:rsidR="004F6AA8">
        <w:rPr>
          <w:b/>
        </w:rPr>
        <w:t>3</w:t>
      </w:r>
      <w:r w:rsidR="001D1EE4" w:rsidRPr="001D1EE4">
        <w:rPr>
          <w:b/>
        </w:rPr>
        <w:t>.</w:t>
      </w:r>
      <w:r w:rsidRPr="001D1EE4">
        <w:rPr>
          <w:b/>
        </w:rPr>
        <w:t xml:space="preserve"> </w:t>
      </w:r>
      <w:r w:rsidR="00CD7781" w:rsidRPr="001D1EE4">
        <w:rPr>
          <w:b/>
          <w:sz w:val="20"/>
          <w:szCs w:val="20"/>
        </w:rPr>
        <w:t>T</w:t>
      </w:r>
      <w:r w:rsidRPr="001D1EE4">
        <w:rPr>
          <w:b/>
          <w:sz w:val="20"/>
          <w:szCs w:val="20"/>
        </w:rPr>
        <w:t xml:space="preserve">he </w:t>
      </w:r>
      <w:r w:rsidR="00CD7781" w:rsidRPr="001D1EE4">
        <w:rPr>
          <w:b/>
          <w:sz w:val="20"/>
          <w:szCs w:val="20"/>
        </w:rPr>
        <w:t>global</w:t>
      </w:r>
      <w:r w:rsidRPr="001D1EE4">
        <w:rPr>
          <w:b/>
          <w:sz w:val="20"/>
          <w:szCs w:val="20"/>
        </w:rPr>
        <w:t xml:space="preserve"> distribution of </w:t>
      </w:r>
      <w:r w:rsidRPr="001D1EE4">
        <w:rPr>
          <w:b/>
          <w:i/>
          <w:sz w:val="20"/>
          <w:szCs w:val="20"/>
        </w:rPr>
        <w:t>Z. mays</w:t>
      </w:r>
      <w:r w:rsidRPr="001D1EE4">
        <w:rPr>
          <w:b/>
          <w:sz w:val="20"/>
          <w:szCs w:val="20"/>
        </w:rPr>
        <w:t xml:space="preserve"> </w:t>
      </w:r>
      <w:r w:rsidR="00CD7781" w:rsidRPr="001D1EE4">
        <w:rPr>
          <w:b/>
          <w:sz w:val="20"/>
          <w:szCs w:val="20"/>
        </w:rPr>
        <w:t>under</w:t>
      </w:r>
      <w:r w:rsidRPr="001D1EE4">
        <w:rPr>
          <w:b/>
          <w:sz w:val="20"/>
          <w:szCs w:val="20"/>
        </w:rPr>
        <w:t xml:space="preserve"> the</w:t>
      </w:r>
      <w:r w:rsidR="00CD7781" w:rsidRPr="001D1EE4">
        <w:rPr>
          <w:b/>
          <w:sz w:val="20"/>
          <w:szCs w:val="20"/>
        </w:rPr>
        <w:t xml:space="preserve"> predicted</w:t>
      </w:r>
      <w:r w:rsidRPr="001D1EE4">
        <w:rPr>
          <w:b/>
          <w:sz w:val="20"/>
          <w:szCs w:val="20"/>
        </w:rPr>
        <w:t xml:space="preserve"> 2050 climate data</w:t>
      </w:r>
      <w:r w:rsidR="00765104" w:rsidRPr="001D1EE4">
        <w:rPr>
          <w:b/>
          <w:sz w:val="20"/>
          <w:szCs w:val="20"/>
        </w:rPr>
        <w:t xml:space="preserve">. </w:t>
      </w:r>
      <w:r w:rsidR="00D965AF" w:rsidRPr="001D1EE4">
        <w:rPr>
          <w:b/>
          <w:sz w:val="20"/>
          <w:szCs w:val="20"/>
        </w:rPr>
        <w:t xml:space="preserve">Green areas indicate the </w:t>
      </w:r>
      <w:r w:rsidR="00D965AF">
        <w:rPr>
          <w:b/>
          <w:sz w:val="20"/>
          <w:szCs w:val="20"/>
        </w:rPr>
        <w:t>suitable habitats for</w:t>
      </w:r>
      <w:r w:rsidR="00D965AF" w:rsidRPr="001D1EE4">
        <w:rPr>
          <w:b/>
          <w:sz w:val="20"/>
          <w:szCs w:val="20"/>
        </w:rPr>
        <w:t xml:space="preserve"> </w:t>
      </w:r>
      <w:r w:rsidR="00D965AF" w:rsidRPr="001D1EE4">
        <w:rPr>
          <w:b/>
          <w:i/>
          <w:sz w:val="20"/>
          <w:szCs w:val="20"/>
        </w:rPr>
        <w:t>Z. mays</w:t>
      </w:r>
      <w:r w:rsidR="00D965AF" w:rsidRPr="001D1EE4">
        <w:rPr>
          <w:b/>
          <w:sz w:val="20"/>
          <w:szCs w:val="20"/>
        </w:rPr>
        <w:t xml:space="preserve"> and grey areas represent </w:t>
      </w:r>
      <w:r w:rsidR="00D965AF">
        <w:rPr>
          <w:b/>
          <w:sz w:val="20"/>
          <w:szCs w:val="20"/>
        </w:rPr>
        <w:t>unsuitable habitats</w:t>
      </w:r>
      <w:r w:rsidR="00D965AF" w:rsidRPr="001D1EE4">
        <w:rPr>
          <w:b/>
          <w:sz w:val="20"/>
          <w:szCs w:val="20"/>
        </w:rPr>
        <w:t>.</w:t>
      </w:r>
    </w:p>
    <w:p w14:paraId="6FDAB816" w14:textId="217CA008" w:rsidR="001C24E3" w:rsidRDefault="001C24E3" w:rsidP="001C24E3">
      <w:r>
        <w:t>The ROC plot exhibits an AUC of 0.627 which is just above the threshold of 0.5 and implies that the quality of the model is fairly acceptable although not reliable (</w:t>
      </w:r>
      <w:r w:rsidR="00B34B87" w:rsidRPr="001D1EE4">
        <w:t xml:space="preserve">Appendix </w:t>
      </w:r>
      <w:r w:rsidR="00F464C3">
        <w:t>A</w:t>
      </w:r>
      <w:r>
        <w:t>). However, this value should be taken with some caution as a drawback of using AUC values is that when using presence-only data, the maximum achievable AUC is 1-a/2 instead of 1. Furthermore, the model resulted in a logistic threshold of 0.442 for maximum training sensitivity plus specificity</w:t>
      </w:r>
      <w:r w:rsidR="00B34B87">
        <w:t xml:space="preserve"> </w:t>
      </w:r>
      <w:r w:rsidR="00B34B87" w:rsidRPr="001D1EE4">
        <w:t xml:space="preserve">(Appendix </w:t>
      </w:r>
      <w:r w:rsidR="00F464C3">
        <w:t>A</w:t>
      </w:r>
      <w:r w:rsidR="00B34B87" w:rsidRPr="001D1EE4">
        <w:t>)</w:t>
      </w:r>
      <w:r>
        <w:t xml:space="preserve">. </w:t>
      </w:r>
      <w:r w:rsidRPr="005870EA">
        <w:t xml:space="preserve">This threshold was used in determining the </w:t>
      </w:r>
      <w:r w:rsidRPr="005870EA">
        <w:rPr>
          <w:i/>
        </w:rPr>
        <w:t>Z. mays</w:t>
      </w:r>
      <w:r w:rsidRPr="005870EA">
        <w:t xml:space="preserve"> occurrence</w:t>
      </w:r>
      <w:r w:rsidR="00D8114D">
        <w:t xml:space="preserve"> globally (</w:t>
      </w:r>
      <w:r w:rsidR="00D8114D" w:rsidRPr="001D1EE4">
        <w:t xml:space="preserve">Fig. </w:t>
      </w:r>
      <w:r w:rsidR="00612A9A">
        <w:t>2</w:t>
      </w:r>
      <w:r w:rsidR="00D8114D" w:rsidRPr="001D1EE4">
        <w:t xml:space="preserve"> &amp; </w:t>
      </w:r>
      <w:r w:rsidR="00612A9A">
        <w:t>3</w:t>
      </w:r>
      <w:r w:rsidR="00D8114D">
        <w:t>)</w:t>
      </w:r>
      <w:r w:rsidRPr="00DD769A">
        <w:t>.</w:t>
      </w:r>
      <w:r>
        <w:t xml:space="preserve"> </w:t>
      </w:r>
    </w:p>
    <w:p w14:paraId="437C2A9A" w14:textId="156079F9" w:rsidR="005D2171" w:rsidRDefault="005D2171" w:rsidP="005D2171">
      <w:pPr>
        <w:rPr>
          <w:lang w:val="en-GB"/>
        </w:rPr>
      </w:pPr>
      <w:r w:rsidRPr="001D1EE4">
        <w:rPr>
          <w:lang w:val="en-GB"/>
        </w:rPr>
        <w:t xml:space="preserve">Table </w:t>
      </w:r>
      <w:r w:rsidR="00B34B87" w:rsidRPr="001D1EE4">
        <w:rPr>
          <w:lang w:val="en-GB"/>
        </w:rPr>
        <w:t>1</w:t>
      </w:r>
      <w:r>
        <w:rPr>
          <w:lang w:val="en-GB"/>
        </w:rPr>
        <w:t xml:space="preserve"> shows the importance of the bioclimatic variables that were used with bio 1</w:t>
      </w:r>
      <w:r w:rsidR="00CB50F7">
        <w:rPr>
          <w:lang w:val="en-GB"/>
        </w:rPr>
        <w:t xml:space="preserve"> (annual mean temperature)</w:t>
      </w:r>
      <w:r>
        <w:rPr>
          <w:lang w:val="en-GB"/>
        </w:rPr>
        <w:t xml:space="preserve"> and bio 12</w:t>
      </w:r>
      <w:r w:rsidR="00CB50F7">
        <w:rPr>
          <w:lang w:val="en-GB"/>
        </w:rPr>
        <w:t xml:space="preserve"> (annual precipitation)</w:t>
      </w:r>
      <w:r>
        <w:rPr>
          <w:lang w:val="en-GB"/>
        </w:rPr>
        <w:t xml:space="preserve"> acting as the strongest drivers for the distribution patterns that are observed. </w:t>
      </w:r>
    </w:p>
    <w:p w14:paraId="0CA62A9F" w14:textId="77777777" w:rsidR="005D490F" w:rsidRDefault="005D490F" w:rsidP="001D1EE4">
      <w:pPr>
        <w:pStyle w:val="NoSpacing"/>
        <w:rPr>
          <w:b/>
          <w:lang w:val="en-GB"/>
        </w:rPr>
      </w:pPr>
    </w:p>
    <w:p w14:paraId="5F2BC6A5" w14:textId="175AACDC" w:rsidR="005D2171" w:rsidRPr="001D1EE4" w:rsidRDefault="005D2171" w:rsidP="001D1EE4">
      <w:pPr>
        <w:pStyle w:val="NoSpacing"/>
        <w:rPr>
          <w:b/>
          <w:lang w:val="en-GB"/>
        </w:rPr>
      </w:pPr>
      <w:r w:rsidRPr="001D1EE4">
        <w:rPr>
          <w:b/>
          <w:lang w:val="en-GB"/>
        </w:rPr>
        <w:t xml:space="preserve">Table </w:t>
      </w:r>
      <w:r w:rsidR="00B34B87" w:rsidRPr="001D1EE4">
        <w:rPr>
          <w:b/>
          <w:lang w:val="en-GB"/>
        </w:rPr>
        <w:t>1</w:t>
      </w:r>
      <w:r w:rsidR="001D1EE4" w:rsidRPr="001D1EE4">
        <w:rPr>
          <w:b/>
          <w:lang w:val="en-GB"/>
        </w:rPr>
        <w:t>.</w:t>
      </w:r>
      <w:r w:rsidRPr="001D1EE4">
        <w:rPr>
          <w:b/>
          <w:lang w:val="en-GB"/>
        </w:rPr>
        <w:t xml:space="preserve"> </w:t>
      </w:r>
      <w:r w:rsidRPr="001D1EE4">
        <w:rPr>
          <w:b/>
          <w:sz w:val="20"/>
          <w:szCs w:val="20"/>
          <w:lang w:val="en-GB"/>
        </w:rPr>
        <w:t>The contributions of the four climatic variables used in the species distribution model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8"/>
        <w:gridCol w:w="1953"/>
        <w:gridCol w:w="2333"/>
      </w:tblGrid>
      <w:tr w:rsidR="005D2171" w:rsidRPr="000011BE" w14:paraId="2E56E6A1" w14:textId="77777777" w:rsidTr="00281D71">
        <w:trPr>
          <w:tblCellSpacing w:w="15" w:type="dxa"/>
        </w:trPr>
        <w:tc>
          <w:tcPr>
            <w:tcW w:w="0" w:type="auto"/>
            <w:tcBorders>
              <w:bottom w:val="single" w:sz="4" w:space="0" w:color="auto"/>
            </w:tcBorders>
            <w:vAlign w:val="center"/>
            <w:hideMark/>
          </w:tcPr>
          <w:p w14:paraId="2D70A021" w14:textId="77777777" w:rsidR="005D2171" w:rsidRPr="00BD19BA" w:rsidRDefault="005D2171" w:rsidP="00281D71">
            <w:pPr>
              <w:pStyle w:val="NoSpacing"/>
              <w:rPr>
                <w:b/>
                <w:lang w:val="en-GB"/>
              </w:rPr>
            </w:pPr>
            <w:r w:rsidRPr="00BD19BA">
              <w:rPr>
                <w:b/>
                <w:lang w:val="en-GB"/>
              </w:rPr>
              <w:t>Variable</w:t>
            </w:r>
          </w:p>
        </w:tc>
        <w:tc>
          <w:tcPr>
            <w:tcW w:w="0" w:type="auto"/>
            <w:tcBorders>
              <w:bottom w:val="single" w:sz="4" w:space="0" w:color="auto"/>
            </w:tcBorders>
            <w:vAlign w:val="center"/>
            <w:hideMark/>
          </w:tcPr>
          <w:p w14:paraId="54BBD2F3" w14:textId="77777777" w:rsidR="005D2171" w:rsidRPr="00BD19BA" w:rsidRDefault="005D2171" w:rsidP="00281D71">
            <w:pPr>
              <w:pStyle w:val="NoSpacing"/>
              <w:rPr>
                <w:b/>
                <w:lang w:val="en-GB"/>
              </w:rPr>
            </w:pPr>
            <w:r w:rsidRPr="00BD19BA">
              <w:rPr>
                <w:b/>
                <w:lang w:val="en-GB"/>
              </w:rPr>
              <w:t>Percent contribution</w:t>
            </w:r>
          </w:p>
        </w:tc>
        <w:tc>
          <w:tcPr>
            <w:tcW w:w="0" w:type="auto"/>
            <w:tcBorders>
              <w:bottom w:val="single" w:sz="4" w:space="0" w:color="auto"/>
            </w:tcBorders>
            <w:vAlign w:val="center"/>
            <w:hideMark/>
          </w:tcPr>
          <w:p w14:paraId="4498A0A0" w14:textId="77777777" w:rsidR="005D2171" w:rsidRPr="00BD19BA" w:rsidRDefault="005D2171" w:rsidP="00281D71">
            <w:pPr>
              <w:pStyle w:val="NoSpacing"/>
              <w:rPr>
                <w:b/>
                <w:lang w:val="en-GB"/>
              </w:rPr>
            </w:pPr>
            <w:r w:rsidRPr="00BD19BA">
              <w:rPr>
                <w:b/>
                <w:lang w:val="en-GB"/>
              </w:rPr>
              <w:t>Permutation importance</w:t>
            </w:r>
          </w:p>
        </w:tc>
      </w:tr>
      <w:tr w:rsidR="005D2171" w:rsidRPr="000011BE" w14:paraId="78041CAA" w14:textId="77777777" w:rsidTr="00281D71">
        <w:trPr>
          <w:tblCellSpacing w:w="15" w:type="dxa"/>
        </w:trPr>
        <w:tc>
          <w:tcPr>
            <w:tcW w:w="0" w:type="auto"/>
            <w:vAlign w:val="center"/>
            <w:hideMark/>
          </w:tcPr>
          <w:p w14:paraId="56DA736C" w14:textId="77777777" w:rsidR="005D2171" w:rsidRPr="000011BE" w:rsidRDefault="005D2171" w:rsidP="00281D71">
            <w:pPr>
              <w:pStyle w:val="NoSpacing"/>
              <w:rPr>
                <w:lang w:val="en-GB"/>
              </w:rPr>
            </w:pPr>
            <w:r>
              <w:rPr>
                <w:lang w:val="en-GB"/>
              </w:rPr>
              <w:t>B</w:t>
            </w:r>
            <w:r w:rsidRPr="000011BE">
              <w:rPr>
                <w:lang w:val="en-GB"/>
              </w:rPr>
              <w:t>io</w:t>
            </w:r>
            <w:r>
              <w:rPr>
                <w:lang w:val="en-GB"/>
              </w:rPr>
              <w:t xml:space="preserve"> </w:t>
            </w:r>
            <w:r w:rsidRPr="000011BE">
              <w:rPr>
                <w:lang w:val="en-GB"/>
              </w:rPr>
              <w:t>1</w:t>
            </w:r>
          </w:p>
        </w:tc>
        <w:tc>
          <w:tcPr>
            <w:tcW w:w="0" w:type="auto"/>
            <w:vAlign w:val="center"/>
            <w:hideMark/>
          </w:tcPr>
          <w:p w14:paraId="158AD446" w14:textId="77777777" w:rsidR="005D2171" w:rsidRPr="000011BE" w:rsidRDefault="005D2171" w:rsidP="00281D71">
            <w:pPr>
              <w:pStyle w:val="NoSpacing"/>
              <w:rPr>
                <w:lang w:val="en-GB"/>
              </w:rPr>
            </w:pPr>
            <w:r w:rsidRPr="000011BE">
              <w:rPr>
                <w:lang w:val="en-GB"/>
              </w:rPr>
              <w:t>73.2</w:t>
            </w:r>
          </w:p>
        </w:tc>
        <w:tc>
          <w:tcPr>
            <w:tcW w:w="0" w:type="auto"/>
            <w:vAlign w:val="center"/>
            <w:hideMark/>
          </w:tcPr>
          <w:p w14:paraId="09FE3356" w14:textId="77777777" w:rsidR="005D2171" w:rsidRPr="000011BE" w:rsidRDefault="005D2171" w:rsidP="00281D71">
            <w:pPr>
              <w:pStyle w:val="NoSpacing"/>
              <w:rPr>
                <w:lang w:val="en-GB"/>
              </w:rPr>
            </w:pPr>
            <w:r w:rsidRPr="000011BE">
              <w:rPr>
                <w:lang w:val="en-GB"/>
              </w:rPr>
              <w:t>60.4</w:t>
            </w:r>
          </w:p>
        </w:tc>
      </w:tr>
      <w:tr w:rsidR="005D2171" w:rsidRPr="000011BE" w14:paraId="39D9D2C0" w14:textId="77777777" w:rsidTr="00281D71">
        <w:trPr>
          <w:tblCellSpacing w:w="15" w:type="dxa"/>
        </w:trPr>
        <w:tc>
          <w:tcPr>
            <w:tcW w:w="0" w:type="auto"/>
            <w:vAlign w:val="center"/>
          </w:tcPr>
          <w:p w14:paraId="50CCAF53" w14:textId="77777777" w:rsidR="005D2171" w:rsidRPr="000011BE" w:rsidRDefault="005D2171" w:rsidP="00281D71">
            <w:pPr>
              <w:pStyle w:val="NoSpacing"/>
              <w:rPr>
                <w:lang w:val="en-GB"/>
              </w:rPr>
            </w:pPr>
            <w:r>
              <w:rPr>
                <w:lang w:val="en-GB"/>
              </w:rPr>
              <w:t>B</w:t>
            </w:r>
            <w:r w:rsidRPr="000011BE">
              <w:rPr>
                <w:lang w:val="en-GB"/>
              </w:rPr>
              <w:t>io</w:t>
            </w:r>
            <w:r>
              <w:rPr>
                <w:lang w:val="en-GB"/>
              </w:rPr>
              <w:t xml:space="preserve"> </w:t>
            </w:r>
            <w:r w:rsidRPr="000011BE">
              <w:rPr>
                <w:lang w:val="en-GB"/>
              </w:rPr>
              <w:t>2</w:t>
            </w:r>
          </w:p>
        </w:tc>
        <w:tc>
          <w:tcPr>
            <w:tcW w:w="0" w:type="auto"/>
            <w:vAlign w:val="center"/>
          </w:tcPr>
          <w:p w14:paraId="576EEFDF" w14:textId="77777777" w:rsidR="005D2171" w:rsidRPr="000011BE" w:rsidRDefault="005D2171" w:rsidP="00281D71">
            <w:pPr>
              <w:pStyle w:val="NoSpacing"/>
              <w:rPr>
                <w:lang w:val="en-GB"/>
              </w:rPr>
            </w:pPr>
            <w:r w:rsidRPr="000011BE">
              <w:rPr>
                <w:lang w:val="en-GB"/>
              </w:rPr>
              <w:t>1.1</w:t>
            </w:r>
          </w:p>
        </w:tc>
        <w:tc>
          <w:tcPr>
            <w:tcW w:w="0" w:type="auto"/>
            <w:vAlign w:val="center"/>
          </w:tcPr>
          <w:p w14:paraId="55F52D5B" w14:textId="77777777" w:rsidR="005D2171" w:rsidRPr="000011BE" w:rsidRDefault="005D2171" w:rsidP="00281D71">
            <w:pPr>
              <w:pStyle w:val="NoSpacing"/>
              <w:rPr>
                <w:lang w:val="en-GB"/>
              </w:rPr>
            </w:pPr>
            <w:r w:rsidRPr="000011BE">
              <w:rPr>
                <w:lang w:val="en-GB"/>
              </w:rPr>
              <w:t>3.1</w:t>
            </w:r>
          </w:p>
        </w:tc>
      </w:tr>
      <w:tr w:rsidR="005D2171" w:rsidRPr="000011BE" w14:paraId="299B03D9" w14:textId="77777777" w:rsidTr="00281D71">
        <w:trPr>
          <w:tblCellSpacing w:w="15" w:type="dxa"/>
        </w:trPr>
        <w:tc>
          <w:tcPr>
            <w:tcW w:w="0" w:type="auto"/>
            <w:vAlign w:val="center"/>
          </w:tcPr>
          <w:p w14:paraId="7476EFA8" w14:textId="77777777" w:rsidR="005D2171" w:rsidRPr="000011BE" w:rsidRDefault="005D2171" w:rsidP="00281D71">
            <w:pPr>
              <w:pStyle w:val="NoSpacing"/>
              <w:rPr>
                <w:lang w:val="en-GB"/>
              </w:rPr>
            </w:pPr>
            <w:r>
              <w:rPr>
                <w:lang w:val="en-GB"/>
              </w:rPr>
              <w:t>Bio 12</w:t>
            </w:r>
          </w:p>
        </w:tc>
        <w:tc>
          <w:tcPr>
            <w:tcW w:w="0" w:type="auto"/>
            <w:vAlign w:val="center"/>
          </w:tcPr>
          <w:p w14:paraId="11D4ED0E" w14:textId="77777777" w:rsidR="005D2171" w:rsidRPr="000011BE" w:rsidRDefault="005D2171" w:rsidP="00281D71">
            <w:pPr>
              <w:pStyle w:val="NoSpacing"/>
              <w:rPr>
                <w:lang w:val="en-GB"/>
              </w:rPr>
            </w:pPr>
            <w:r>
              <w:rPr>
                <w:lang w:val="en-GB"/>
              </w:rPr>
              <w:t>25.2</w:t>
            </w:r>
          </w:p>
        </w:tc>
        <w:tc>
          <w:tcPr>
            <w:tcW w:w="0" w:type="auto"/>
            <w:vAlign w:val="center"/>
          </w:tcPr>
          <w:p w14:paraId="3096F0A7" w14:textId="77777777" w:rsidR="005D2171" w:rsidRPr="000011BE" w:rsidRDefault="005D2171" w:rsidP="00281D71">
            <w:pPr>
              <w:pStyle w:val="NoSpacing"/>
              <w:rPr>
                <w:lang w:val="en-GB"/>
              </w:rPr>
            </w:pPr>
            <w:r>
              <w:rPr>
                <w:lang w:val="en-GB"/>
              </w:rPr>
              <w:t>34.6</w:t>
            </w:r>
          </w:p>
        </w:tc>
      </w:tr>
      <w:tr w:rsidR="005D2171" w:rsidRPr="000011BE" w14:paraId="1CA2E979" w14:textId="77777777" w:rsidTr="00281D71">
        <w:trPr>
          <w:tblCellSpacing w:w="15" w:type="dxa"/>
        </w:trPr>
        <w:tc>
          <w:tcPr>
            <w:tcW w:w="0" w:type="auto"/>
            <w:vAlign w:val="center"/>
            <w:hideMark/>
          </w:tcPr>
          <w:p w14:paraId="3AEF52C1" w14:textId="77777777" w:rsidR="005D2171" w:rsidRPr="000011BE" w:rsidRDefault="005D2171" w:rsidP="00281D71">
            <w:pPr>
              <w:pStyle w:val="NoSpacing"/>
              <w:rPr>
                <w:lang w:val="en-GB"/>
              </w:rPr>
            </w:pPr>
            <w:r>
              <w:rPr>
                <w:lang w:val="en-GB"/>
              </w:rPr>
              <w:t>B</w:t>
            </w:r>
            <w:r w:rsidRPr="000011BE">
              <w:rPr>
                <w:lang w:val="en-GB"/>
              </w:rPr>
              <w:t>io</w:t>
            </w:r>
            <w:r>
              <w:rPr>
                <w:lang w:val="en-GB"/>
              </w:rPr>
              <w:t xml:space="preserve"> </w:t>
            </w:r>
            <w:r w:rsidRPr="000011BE">
              <w:rPr>
                <w:lang w:val="en-GB"/>
              </w:rPr>
              <w:t>15</w:t>
            </w:r>
          </w:p>
        </w:tc>
        <w:tc>
          <w:tcPr>
            <w:tcW w:w="0" w:type="auto"/>
            <w:vAlign w:val="center"/>
            <w:hideMark/>
          </w:tcPr>
          <w:p w14:paraId="0A46956D" w14:textId="77777777" w:rsidR="005D2171" w:rsidRPr="000011BE" w:rsidRDefault="005D2171" w:rsidP="00281D71">
            <w:pPr>
              <w:pStyle w:val="NoSpacing"/>
              <w:rPr>
                <w:lang w:val="en-GB"/>
              </w:rPr>
            </w:pPr>
            <w:r w:rsidRPr="000011BE">
              <w:rPr>
                <w:lang w:val="en-GB"/>
              </w:rPr>
              <w:t>0.5</w:t>
            </w:r>
          </w:p>
        </w:tc>
        <w:tc>
          <w:tcPr>
            <w:tcW w:w="0" w:type="auto"/>
            <w:vAlign w:val="center"/>
            <w:hideMark/>
          </w:tcPr>
          <w:p w14:paraId="50DF2BDF" w14:textId="77777777" w:rsidR="005D2171" w:rsidRPr="000011BE" w:rsidRDefault="005D2171" w:rsidP="00281D71">
            <w:pPr>
              <w:pStyle w:val="NoSpacing"/>
              <w:rPr>
                <w:lang w:val="en-GB"/>
              </w:rPr>
            </w:pPr>
            <w:r w:rsidRPr="000011BE">
              <w:rPr>
                <w:lang w:val="en-GB"/>
              </w:rPr>
              <w:t>1.9</w:t>
            </w:r>
          </w:p>
        </w:tc>
      </w:tr>
      <w:tr w:rsidR="005D2171" w:rsidRPr="000011BE" w14:paraId="545C2259" w14:textId="77777777" w:rsidTr="00281D71">
        <w:trPr>
          <w:tblCellSpacing w:w="15" w:type="dxa"/>
        </w:trPr>
        <w:tc>
          <w:tcPr>
            <w:tcW w:w="0" w:type="auto"/>
            <w:vAlign w:val="center"/>
          </w:tcPr>
          <w:p w14:paraId="30E38A2B" w14:textId="77777777" w:rsidR="005D2171" w:rsidRDefault="005D2171" w:rsidP="00281D71">
            <w:pPr>
              <w:pStyle w:val="NoSpacing"/>
              <w:rPr>
                <w:lang w:val="en-GB"/>
              </w:rPr>
            </w:pPr>
          </w:p>
        </w:tc>
        <w:tc>
          <w:tcPr>
            <w:tcW w:w="0" w:type="auto"/>
            <w:vAlign w:val="center"/>
          </w:tcPr>
          <w:p w14:paraId="24386AD7" w14:textId="77777777" w:rsidR="005D2171" w:rsidRPr="000011BE" w:rsidRDefault="005D2171" w:rsidP="00281D71">
            <w:pPr>
              <w:pStyle w:val="NoSpacing"/>
              <w:rPr>
                <w:lang w:val="en-GB"/>
              </w:rPr>
            </w:pPr>
          </w:p>
        </w:tc>
        <w:tc>
          <w:tcPr>
            <w:tcW w:w="0" w:type="auto"/>
            <w:vAlign w:val="center"/>
          </w:tcPr>
          <w:p w14:paraId="23677E11" w14:textId="77777777" w:rsidR="005D2171" w:rsidRPr="000011BE" w:rsidRDefault="005D2171" w:rsidP="00281D71">
            <w:pPr>
              <w:pStyle w:val="NoSpacing"/>
              <w:rPr>
                <w:lang w:val="en-GB"/>
              </w:rPr>
            </w:pPr>
          </w:p>
        </w:tc>
      </w:tr>
    </w:tbl>
    <w:p w14:paraId="6269CAC5" w14:textId="77777777" w:rsidR="00F71877" w:rsidRDefault="00F71877" w:rsidP="001C24E3">
      <w:pPr>
        <w:rPr>
          <w:b/>
        </w:rPr>
      </w:pPr>
    </w:p>
    <w:p w14:paraId="59453F05" w14:textId="77777777" w:rsidR="00F71877" w:rsidRDefault="00F71877">
      <w:pPr>
        <w:rPr>
          <w:b/>
        </w:rPr>
      </w:pPr>
      <w:r>
        <w:rPr>
          <w:b/>
        </w:rPr>
        <w:br w:type="page"/>
      </w:r>
    </w:p>
    <w:p w14:paraId="0D72E23E" w14:textId="382175FF" w:rsidR="001C24E3" w:rsidRDefault="001C24E3" w:rsidP="00AA112F">
      <w:pPr>
        <w:pStyle w:val="Heading1"/>
        <w:rPr>
          <w:b/>
          <w:color w:val="auto"/>
          <w:u w:val="single"/>
        </w:rPr>
      </w:pPr>
      <w:r w:rsidRPr="0008388E">
        <w:rPr>
          <w:b/>
          <w:color w:val="auto"/>
          <w:u w:val="single"/>
        </w:rPr>
        <w:lastRenderedPageBreak/>
        <w:t>Response to future scenario</w:t>
      </w:r>
    </w:p>
    <w:p w14:paraId="76B88B2E" w14:textId="0D111900" w:rsidR="002C0C0C" w:rsidRPr="002C0C0C" w:rsidRDefault="002C0C0C" w:rsidP="002C0C0C"/>
    <w:p w14:paraId="0B5E2E2E" w14:textId="77777777" w:rsidR="001C24E3" w:rsidRDefault="001C24E3" w:rsidP="001C24E3">
      <w:r w:rsidRPr="00587135">
        <w:rPr>
          <w:noProof/>
        </w:rPr>
        <w:drawing>
          <wp:inline distT="0" distB="0" distL="0" distR="0" wp14:anchorId="6DC6EBEB" wp14:editId="07D624EA">
            <wp:extent cx="5848350" cy="30956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0">
                      <a:extLst>
                        <a:ext uri="{28A0092B-C50C-407E-A947-70E740481C1C}">
                          <a14:useLocalDpi xmlns:a14="http://schemas.microsoft.com/office/drawing/2010/main" val="0"/>
                        </a:ext>
                      </a:extLst>
                    </a:blip>
                    <a:srcRect t="5525" b="4697"/>
                    <a:stretch/>
                  </pic:blipFill>
                  <pic:spPr bwMode="auto">
                    <a:xfrm>
                      <a:off x="0" y="0"/>
                      <a:ext cx="5848350" cy="3095625"/>
                    </a:xfrm>
                    <a:prstGeom prst="rect">
                      <a:avLst/>
                    </a:prstGeom>
                    <a:noFill/>
                    <a:ln>
                      <a:noFill/>
                    </a:ln>
                    <a:extLst>
                      <a:ext uri="{53640926-AAD7-44D8-BBD7-CCE9431645EC}">
                        <a14:shadowObscured xmlns:a14="http://schemas.microsoft.com/office/drawing/2010/main"/>
                      </a:ext>
                    </a:extLst>
                  </pic:spPr>
                </pic:pic>
              </a:graphicData>
            </a:graphic>
          </wp:inline>
        </w:drawing>
      </w:r>
    </w:p>
    <w:p w14:paraId="371E6364" w14:textId="740D15C2" w:rsidR="001C24E3" w:rsidRPr="001D1EE4" w:rsidRDefault="001C24E3" w:rsidP="001C24E3">
      <w:pPr>
        <w:rPr>
          <w:b/>
        </w:rPr>
      </w:pPr>
      <w:r w:rsidRPr="001D1EE4">
        <w:rPr>
          <w:b/>
        </w:rPr>
        <w:t>Fig</w:t>
      </w:r>
      <w:r w:rsidR="001D1EE4" w:rsidRPr="001D1EE4">
        <w:rPr>
          <w:b/>
        </w:rPr>
        <w:t>ure</w:t>
      </w:r>
      <w:r w:rsidRPr="001D1EE4">
        <w:rPr>
          <w:b/>
        </w:rPr>
        <w:t xml:space="preserve"> </w:t>
      </w:r>
      <w:r w:rsidR="004F6AA8">
        <w:rPr>
          <w:b/>
        </w:rPr>
        <w:t>4</w:t>
      </w:r>
      <w:r w:rsidR="001D1EE4" w:rsidRPr="001D1EE4">
        <w:rPr>
          <w:b/>
        </w:rPr>
        <w:t>.</w:t>
      </w:r>
      <w:r w:rsidRPr="001D1EE4">
        <w:rPr>
          <w:b/>
        </w:rPr>
        <w:t xml:space="preserve"> </w:t>
      </w:r>
      <w:r w:rsidR="00B34B87" w:rsidRPr="001D1EE4">
        <w:rPr>
          <w:b/>
          <w:sz w:val="20"/>
          <w:szCs w:val="20"/>
        </w:rPr>
        <w:t>T</w:t>
      </w:r>
      <w:r w:rsidRPr="001D1EE4">
        <w:rPr>
          <w:b/>
          <w:sz w:val="20"/>
          <w:szCs w:val="20"/>
        </w:rPr>
        <w:t xml:space="preserve">he change in </w:t>
      </w:r>
      <w:r w:rsidRPr="001D1EE4">
        <w:rPr>
          <w:b/>
          <w:i/>
          <w:sz w:val="20"/>
          <w:szCs w:val="20"/>
        </w:rPr>
        <w:t>Z. mays</w:t>
      </w:r>
      <w:r w:rsidR="00B34B87" w:rsidRPr="001D1EE4">
        <w:rPr>
          <w:b/>
          <w:sz w:val="20"/>
          <w:szCs w:val="20"/>
        </w:rPr>
        <w:t>’</w:t>
      </w:r>
      <w:r w:rsidRPr="001D1EE4">
        <w:rPr>
          <w:b/>
          <w:sz w:val="20"/>
          <w:szCs w:val="20"/>
        </w:rPr>
        <w:t xml:space="preserve"> </w:t>
      </w:r>
      <w:r w:rsidR="00B34B87" w:rsidRPr="001D1EE4">
        <w:rPr>
          <w:b/>
          <w:sz w:val="20"/>
          <w:szCs w:val="20"/>
        </w:rPr>
        <w:t xml:space="preserve">global </w:t>
      </w:r>
      <w:r w:rsidRPr="001D1EE4">
        <w:rPr>
          <w:b/>
          <w:sz w:val="20"/>
          <w:szCs w:val="20"/>
        </w:rPr>
        <w:t xml:space="preserve">distribution when comparing both the current and 2050 </w:t>
      </w:r>
      <w:r w:rsidR="00B34B87" w:rsidRPr="001D1EE4">
        <w:rPr>
          <w:b/>
          <w:sz w:val="20"/>
          <w:szCs w:val="20"/>
        </w:rPr>
        <w:t xml:space="preserve">distribution </w:t>
      </w:r>
      <w:r w:rsidRPr="001D1EE4">
        <w:rPr>
          <w:b/>
          <w:sz w:val="20"/>
          <w:szCs w:val="20"/>
        </w:rPr>
        <w:t>scenario</w:t>
      </w:r>
      <w:r w:rsidR="00B34B87" w:rsidRPr="001D1EE4">
        <w:rPr>
          <w:b/>
          <w:sz w:val="20"/>
          <w:szCs w:val="20"/>
        </w:rPr>
        <w:t>s</w:t>
      </w:r>
      <w:r w:rsidRPr="001D1EE4">
        <w:rPr>
          <w:b/>
          <w:sz w:val="20"/>
          <w:szCs w:val="20"/>
        </w:rPr>
        <w:t xml:space="preserve">. Red areas indicate a loss of suitable habitat, </w:t>
      </w:r>
      <w:r w:rsidR="00B34B87" w:rsidRPr="001D1EE4">
        <w:rPr>
          <w:b/>
          <w:sz w:val="20"/>
          <w:szCs w:val="20"/>
        </w:rPr>
        <w:t xml:space="preserve">yellow areas indicated no change between both scenarios (habitats remain suitable) and </w:t>
      </w:r>
      <w:r w:rsidRPr="001D1EE4">
        <w:rPr>
          <w:b/>
          <w:sz w:val="20"/>
          <w:szCs w:val="20"/>
        </w:rPr>
        <w:t>green areas indicate a gain in suitable habitat</w:t>
      </w:r>
      <w:r w:rsidR="00B34B87" w:rsidRPr="001D1EE4">
        <w:rPr>
          <w:b/>
          <w:sz w:val="20"/>
          <w:szCs w:val="20"/>
        </w:rPr>
        <w:t>.</w:t>
      </w:r>
    </w:p>
    <w:p w14:paraId="7F749FC0" w14:textId="77777777" w:rsidR="002C0C0C" w:rsidRDefault="002C0C0C">
      <w:pPr>
        <w:rPr>
          <w:rFonts w:asciiTheme="majorHAnsi" w:eastAsiaTheme="majorEastAsia" w:hAnsiTheme="majorHAnsi" w:cstheme="majorBidi"/>
          <w:b/>
          <w:sz w:val="32"/>
          <w:szCs w:val="32"/>
          <w:u w:val="single"/>
        </w:rPr>
      </w:pPr>
      <w:r>
        <w:rPr>
          <w:b/>
          <w:u w:val="single"/>
        </w:rPr>
        <w:br w:type="page"/>
      </w:r>
    </w:p>
    <w:p w14:paraId="28C90524" w14:textId="636D9EDE" w:rsidR="001C24E3" w:rsidRPr="0008388E" w:rsidRDefault="001C24E3" w:rsidP="00AA112F">
      <w:pPr>
        <w:pStyle w:val="Heading1"/>
        <w:rPr>
          <w:b/>
          <w:color w:val="auto"/>
          <w:u w:val="single"/>
        </w:rPr>
      </w:pPr>
      <w:r w:rsidRPr="0008388E">
        <w:rPr>
          <w:b/>
          <w:color w:val="auto"/>
          <w:u w:val="single"/>
        </w:rPr>
        <w:lastRenderedPageBreak/>
        <w:t>Biological interpretation</w:t>
      </w:r>
    </w:p>
    <w:p w14:paraId="46C2EDFA" w14:textId="77777777" w:rsidR="004012F3" w:rsidRDefault="004012F3" w:rsidP="001C24E3"/>
    <w:p w14:paraId="42D70AF9" w14:textId="3AB058BB" w:rsidR="001C24E3" w:rsidRPr="00A96AAB" w:rsidRDefault="001C24E3" w:rsidP="001C24E3">
      <w:pPr>
        <w:rPr>
          <w:i/>
        </w:rPr>
      </w:pPr>
      <w:r>
        <w:t xml:space="preserve">Currently, </w:t>
      </w:r>
      <w:r w:rsidRPr="00FD38C8">
        <w:rPr>
          <w:i/>
        </w:rPr>
        <w:t>Z. mays</w:t>
      </w:r>
      <w:r>
        <w:rPr>
          <w:i/>
        </w:rPr>
        <w:t xml:space="preserve"> </w:t>
      </w:r>
      <w:r>
        <w:t xml:space="preserve">occurs on all continents with the exception of Antarctica </w:t>
      </w:r>
      <w:r w:rsidR="00F464C3">
        <w:t xml:space="preserve">with </w:t>
      </w:r>
      <w:r w:rsidR="00F24F63">
        <w:t>vast</w:t>
      </w:r>
      <w:r w:rsidR="00F464C3">
        <w:t xml:space="preserve"> densities seen in Europe, Middle-America and South-America </w:t>
      </w:r>
      <w:r w:rsidR="00F464C3">
        <w:t>(</w:t>
      </w:r>
      <w:r w:rsidR="00F464C3" w:rsidRPr="00256CE3">
        <w:t xml:space="preserve">Fig. </w:t>
      </w:r>
      <w:r w:rsidR="00F464C3">
        <w:t>1)</w:t>
      </w:r>
      <w:r w:rsidR="00F464C3">
        <w:t>. T</w:t>
      </w:r>
      <w:r>
        <w:t>he species distribution model predict</w:t>
      </w:r>
      <w:r w:rsidR="00F464C3">
        <w:t>s</w:t>
      </w:r>
      <w:r>
        <w:t xml:space="preserve"> some loss in suitable habitat mainly around the 20</w:t>
      </w:r>
      <w:r>
        <w:rPr>
          <w:rFonts w:cstheme="minorHAnsi"/>
        </w:rPr>
        <w:t>°</w:t>
      </w:r>
      <w:r>
        <w:t xml:space="preserve"> and -20</w:t>
      </w:r>
      <w:r>
        <w:rPr>
          <w:rFonts w:cstheme="minorHAnsi"/>
        </w:rPr>
        <w:t>° latitudinal range which includes</w:t>
      </w:r>
      <w:r>
        <w:t xml:space="preserve"> Africa, South</w:t>
      </w:r>
      <w:r w:rsidR="009F6536">
        <w:t>-</w:t>
      </w:r>
      <w:r>
        <w:t>America</w:t>
      </w:r>
      <w:r w:rsidR="009F6536">
        <w:t xml:space="preserve">, Southern </w:t>
      </w:r>
      <w:r>
        <w:t>Asia</w:t>
      </w:r>
      <w:r w:rsidR="009F6536">
        <w:t>, Southern Europe</w:t>
      </w:r>
      <w:r>
        <w:t xml:space="preserve"> and Australia (</w:t>
      </w:r>
      <w:r w:rsidRPr="00256CE3">
        <w:t>Fig</w:t>
      </w:r>
      <w:r w:rsidR="00547D04" w:rsidRPr="00256CE3">
        <w:t>.</w:t>
      </w:r>
      <w:r w:rsidRPr="00256CE3">
        <w:t xml:space="preserve"> </w:t>
      </w:r>
      <w:r w:rsidR="00612A9A">
        <w:t>3</w:t>
      </w:r>
      <w:r w:rsidR="00547D04" w:rsidRPr="00256CE3">
        <w:t xml:space="preserve"> &amp; </w:t>
      </w:r>
      <w:r w:rsidR="00612A9A">
        <w:t>4</w:t>
      </w:r>
      <w:r>
        <w:t xml:space="preserve">). In contrast, the model also predicts some gain in suitable habitat </w:t>
      </w:r>
      <w:r w:rsidR="00E67F80">
        <w:t xml:space="preserve">in the Northern hemisphere </w:t>
      </w:r>
      <w:r>
        <w:t>mainly towards East-Europe and in North-America (</w:t>
      </w:r>
      <w:r w:rsidRPr="00256CE3">
        <w:t>Fig</w:t>
      </w:r>
      <w:r w:rsidR="00547D04" w:rsidRPr="00256CE3">
        <w:t>.</w:t>
      </w:r>
      <w:r w:rsidRPr="00256CE3">
        <w:t xml:space="preserve"> </w:t>
      </w:r>
      <w:r w:rsidR="00612A9A">
        <w:t>3</w:t>
      </w:r>
      <w:r w:rsidR="00547D04" w:rsidRPr="00256CE3">
        <w:t xml:space="preserve"> &amp; </w:t>
      </w:r>
      <w:r w:rsidR="00612A9A">
        <w:t>4</w:t>
      </w:r>
      <w:r>
        <w:t xml:space="preserve">). Furthermore, some suitable habitats also pop up scattered around South America and Asia. </w:t>
      </w:r>
      <w:r w:rsidR="00ED3565">
        <w:t xml:space="preserve">The </w:t>
      </w:r>
      <w:r w:rsidR="00E67F80">
        <w:t xml:space="preserve">current </w:t>
      </w:r>
      <w:r w:rsidR="00ED3565">
        <w:t xml:space="preserve">existing suitable habitats are predicted to remain suitable by 2050 under the RCP 4.5 climate scenario.  </w:t>
      </w:r>
      <w:r>
        <w:t xml:space="preserve">  </w:t>
      </w:r>
    </w:p>
    <w:p w14:paraId="4ECCC494" w14:textId="32CE8234" w:rsidR="001C24E3" w:rsidRPr="00292A88" w:rsidRDefault="001C24E3" w:rsidP="001C24E3">
      <w:r>
        <w:t>Th</w:t>
      </w:r>
      <w:r w:rsidR="005B37D7">
        <w:t>ese results</w:t>
      </w:r>
      <w:r>
        <w:t xml:space="preserve"> impl</w:t>
      </w:r>
      <w:r w:rsidR="005B37D7">
        <w:t>y</w:t>
      </w:r>
      <w:r>
        <w:t xml:space="preserve"> that </w:t>
      </w:r>
      <w:r w:rsidRPr="00292A88">
        <w:rPr>
          <w:i/>
        </w:rPr>
        <w:t>Z. mays</w:t>
      </w:r>
      <w:r>
        <w:rPr>
          <w:i/>
        </w:rPr>
        <w:t xml:space="preserve"> </w:t>
      </w:r>
      <w:r w:rsidR="00040F15">
        <w:t xml:space="preserve">being cultivated </w:t>
      </w:r>
      <w:r w:rsidR="00785C48">
        <w:t xml:space="preserve">currently </w:t>
      </w:r>
      <w:r>
        <w:t xml:space="preserve">will be able to tolerate the effects of climate change under a 4.5 RCP scenario for the most part. Most of the climate change effects that will affect </w:t>
      </w:r>
      <w:r w:rsidRPr="00224439">
        <w:rPr>
          <w:i/>
        </w:rPr>
        <w:t>Z. mays</w:t>
      </w:r>
      <w:r>
        <w:t xml:space="preserve"> negatively is expected to happen around the </w:t>
      </w:r>
      <w:r w:rsidRPr="00224439">
        <w:t>20</w:t>
      </w:r>
      <w:r w:rsidRPr="00224439">
        <w:rPr>
          <w:rFonts w:cstheme="minorHAnsi"/>
        </w:rPr>
        <w:t>°</w:t>
      </w:r>
      <w:r w:rsidRPr="00224439">
        <w:t xml:space="preserve"> and -20</w:t>
      </w:r>
      <w:r w:rsidRPr="00224439">
        <w:rPr>
          <w:rFonts w:cstheme="minorHAnsi"/>
        </w:rPr>
        <w:t>°</w:t>
      </w:r>
      <w:r w:rsidRPr="00224439">
        <w:t xml:space="preserve"> latitudinal range</w:t>
      </w:r>
      <w:r w:rsidRPr="008923C3">
        <w:t>.</w:t>
      </w:r>
      <w:r w:rsidR="00785C48">
        <w:t xml:space="preserve"> </w:t>
      </w:r>
      <w:r w:rsidR="00ED3565">
        <w:t xml:space="preserve"> </w:t>
      </w:r>
      <w:r>
        <w:t xml:space="preserve">   </w:t>
      </w:r>
    </w:p>
    <w:p w14:paraId="77A3BB64" w14:textId="4E493E66" w:rsidR="00C96BFA" w:rsidRDefault="001C24E3" w:rsidP="00DE7A4C">
      <w:r>
        <w:t>It should be noted that this model gives an indication of what may happen under the specific conditions that were included in the model. The chosen 2050 climate data based on certain a certain climate model that takes into account a limited amount of climatic processes. Other climatic models using other processes are likely to give different outcomes. Furthermore, the 2050 climate data was also based on an RCP 4.5 climate scenario, with other RCP climate scenarios also likely to give different species distribution outcomes. Moreover, the bioclimatic variables are only based on temperature and precipitation but other abiotic factors are not taken into account which may be equally important</w:t>
      </w:r>
      <w:r w:rsidR="003D69A6">
        <w:t xml:space="preserve"> </w:t>
      </w:r>
      <w:r w:rsidR="00723A4C">
        <w:t xml:space="preserve">to the distribution of </w:t>
      </w:r>
      <w:r w:rsidR="00723A4C" w:rsidRPr="00723A4C">
        <w:rPr>
          <w:i/>
        </w:rPr>
        <w:t>Z. mays</w:t>
      </w:r>
      <w:r>
        <w:t>. Lastly, while abiotic factors are likely to play a big role in species’ distribution, biotic factors are not taken into account in this model.</w:t>
      </w:r>
      <w:r w:rsidR="00441B43">
        <w:t xml:space="preserve"> More factors should be included in a future model to increase the accuracy and quality of the model. </w:t>
      </w:r>
      <w:r w:rsidR="00723A4C">
        <w:t xml:space="preserve"> </w:t>
      </w:r>
      <w:r>
        <w:t xml:space="preserve">      </w:t>
      </w:r>
    </w:p>
    <w:p w14:paraId="3AF651C7" w14:textId="77777777" w:rsidR="00C96BFA" w:rsidRDefault="00C96BFA">
      <w:r>
        <w:br w:type="page"/>
      </w:r>
    </w:p>
    <w:p w14:paraId="77D52D68" w14:textId="4A3A38C5" w:rsidR="001C24E3" w:rsidRPr="0008388E" w:rsidRDefault="00C96BFA" w:rsidP="00AA112F">
      <w:pPr>
        <w:pStyle w:val="Heading1"/>
        <w:rPr>
          <w:b/>
          <w:color w:val="auto"/>
          <w:u w:val="single"/>
        </w:rPr>
      </w:pPr>
      <w:r w:rsidRPr="0008388E">
        <w:rPr>
          <w:b/>
          <w:color w:val="auto"/>
          <w:u w:val="single"/>
        </w:rPr>
        <w:lastRenderedPageBreak/>
        <w:t>References</w:t>
      </w:r>
    </w:p>
    <w:p w14:paraId="0FF46891" w14:textId="10402B1C" w:rsidR="001C24E3" w:rsidRDefault="001C24E3" w:rsidP="001C24E3"/>
    <w:p w14:paraId="6156AA4C" w14:textId="06005E1D" w:rsidR="00D57F65" w:rsidRPr="00D57F65" w:rsidRDefault="00D57F65" w:rsidP="00D57F65">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D57F65">
        <w:rPr>
          <w:rFonts w:ascii="Calibri" w:hAnsi="Calibri" w:cs="Calibri"/>
          <w:noProof/>
          <w:szCs w:val="24"/>
        </w:rPr>
        <w:t xml:space="preserve">Baek, H. J., Lee, J., Lee, H. S., Hyun, Y. K., Cho, C., Kwon, W. T., … Byun, Y. H. (2013). Climate change in the 21st century simulated by HadGEM2-AO under representative concentration pathways. </w:t>
      </w:r>
      <w:r w:rsidRPr="00D57F65">
        <w:rPr>
          <w:rFonts w:ascii="Calibri" w:hAnsi="Calibri" w:cs="Calibri"/>
          <w:i/>
          <w:iCs/>
          <w:noProof/>
          <w:szCs w:val="24"/>
        </w:rPr>
        <w:t>Asia-Pacific Journal of Atmospheric Sciences</w:t>
      </w:r>
      <w:r w:rsidRPr="00D57F65">
        <w:rPr>
          <w:rFonts w:ascii="Calibri" w:hAnsi="Calibri" w:cs="Calibri"/>
          <w:noProof/>
          <w:szCs w:val="24"/>
        </w:rPr>
        <w:t xml:space="preserve">, </w:t>
      </w:r>
      <w:r w:rsidRPr="00D57F65">
        <w:rPr>
          <w:rFonts w:ascii="Calibri" w:hAnsi="Calibri" w:cs="Calibri"/>
          <w:i/>
          <w:iCs/>
          <w:noProof/>
          <w:szCs w:val="24"/>
        </w:rPr>
        <w:t>49</w:t>
      </w:r>
      <w:r w:rsidRPr="00D57F65">
        <w:rPr>
          <w:rFonts w:ascii="Calibri" w:hAnsi="Calibri" w:cs="Calibri"/>
          <w:noProof/>
          <w:szCs w:val="24"/>
        </w:rPr>
        <w:t>(5), 603–618. https://doi.org/10.1007/s13143-013-0053-7</w:t>
      </w:r>
    </w:p>
    <w:p w14:paraId="54D00F8F" w14:textId="77777777" w:rsidR="00D57F65" w:rsidRPr="00D57F65" w:rsidRDefault="00D57F65" w:rsidP="00D57F65">
      <w:pPr>
        <w:widowControl w:val="0"/>
        <w:autoSpaceDE w:val="0"/>
        <w:autoSpaceDN w:val="0"/>
        <w:adjustRightInd w:val="0"/>
        <w:spacing w:line="240" w:lineRule="auto"/>
        <w:ind w:left="480" w:hanging="480"/>
        <w:rPr>
          <w:rFonts w:ascii="Calibri" w:hAnsi="Calibri" w:cs="Calibri"/>
          <w:noProof/>
          <w:szCs w:val="24"/>
        </w:rPr>
      </w:pPr>
      <w:r w:rsidRPr="00D57F65">
        <w:rPr>
          <w:rFonts w:ascii="Calibri" w:hAnsi="Calibri" w:cs="Calibri"/>
          <w:noProof/>
          <w:szCs w:val="24"/>
        </w:rPr>
        <w:t xml:space="preserve">Dwivedi, S. L., Siddique, K. H. M., Farooq, M., Thornton, P. K., &amp; Ortiz, R. (2018). Using Biotechnology-Led Approaches to Uplift Cereal and Food Legume Yields in Dryland Environments. </w:t>
      </w:r>
      <w:r w:rsidRPr="00D57F65">
        <w:rPr>
          <w:rFonts w:ascii="Calibri" w:hAnsi="Calibri" w:cs="Calibri"/>
          <w:i/>
          <w:iCs/>
          <w:noProof/>
          <w:szCs w:val="24"/>
        </w:rPr>
        <w:t>Frontiers in Plant Science</w:t>
      </w:r>
      <w:r w:rsidRPr="00D57F65">
        <w:rPr>
          <w:rFonts w:ascii="Calibri" w:hAnsi="Calibri" w:cs="Calibri"/>
          <w:noProof/>
          <w:szCs w:val="24"/>
        </w:rPr>
        <w:t xml:space="preserve">, </w:t>
      </w:r>
      <w:r w:rsidRPr="00D57F65">
        <w:rPr>
          <w:rFonts w:ascii="Calibri" w:hAnsi="Calibri" w:cs="Calibri"/>
          <w:i/>
          <w:iCs/>
          <w:noProof/>
          <w:szCs w:val="24"/>
        </w:rPr>
        <w:t>9</w:t>
      </w:r>
      <w:r w:rsidRPr="00D57F65">
        <w:rPr>
          <w:rFonts w:ascii="Calibri" w:hAnsi="Calibri" w:cs="Calibri"/>
          <w:noProof/>
          <w:szCs w:val="24"/>
        </w:rPr>
        <w:t>, 1249. https://doi.org/10.3389/fpls.2018.01249</w:t>
      </w:r>
    </w:p>
    <w:p w14:paraId="4CF1B4A5" w14:textId="77777777" w:rsidR="00D57F65" w:rsidRPr="00D57F65" w:rsidRDefault="00D57F65" w:rsidP="00D57F65">
      <w:pPr>
        <w:widowControl w:val="0"/>
        <w:autoSpaceDE w:val="0"/>
        <w:autoSpaceDN w:val="0"/>
        <w:adjustRightInd w:val="0"/>
        <w:spacing w:line="240" w:lineRule="auto"/>
        <w:ind w:left="480" w:hanging="480"/>
        <w:rPr>
          <w:rFonts w:ascii="Calibri" w:hAnsi="Calibri" w:cs="Calibri"/>
          <w:noProof/>
          <w:szCs w:val="24"/>
        </w:rPr>
      </w:pPr>
      <w:r w:rsidRPr="00D57F65">
        <w:rPr>
          <w:rFonts w:ascii="Calibri" w:hAnsi="Calibri" w:cs="Calibri"/>
          <w:noProof/>
          <w:szCs w:val="24"/>
        </w:rPr>
        <w:t xml:space="preserve">FAO. (2016). </w:t>
      </w:r>
      <w:r w:rsidRPr="00D57F65">
        <w:rPr>
          <w:rFonts w:ascii="Calibri" w:hAnsi="Calibri" w:cs="Calibri"/>
          <w:i/>
          <w:iCs/>
          <w:noProof/>
          <w:szCs w:val="24"/>
        </w:rPr>
        <w:t>Save and Grow in practice Maize-Rice-Wheat: A guide to sustainable cereal production</w:t>
      </w:r>
      <w:r w:rsidRPr="00D57F65">
        <w:rPr>
          <w:rFonts w:ascii="Calibri" w:hAnsi="Calibri" w:cs="Calibri"/>
          <w:noProof/>
          <w:szCs w:val="24"/>
        </w:rPr>
        <w:t>. Rome. Retrieved from http://www.fao.org/3/a-i4009e.pdf</w:t>
      </w:r>
    </w:p>
    <w:p w14:paraId="6FABF3A8" w14:textId="77777777" w:rsidR="00D57F65" w:rsidRPr="00D57F65" w:rsidRDefault="00D57F65" w:rsidP="00D57F65">
      <w:pPr>
        <w:widowControl w:val="0"/>
        <w:autoSpaceDE w:val="0"/>
        <w:autoSpaceDN w:val="0"/>
        <w:adjustRightInd w:val="0"/>
        <w:spacing w:line="240" w:lineRule="auto"/>
        <w:ind w:left="480" w:hanging="480"/>
        <w:rPr>
          <w:rFonts w:ascii="Calibri" w:hAnsi="Calibri" w:cs="Calibri"/>
          <w:noProof/>
          <w:szCs w:val="24"/>
        </w:rPr>
      </w:pPr>
      <w:r w:rsidRPr="00D57F65">
        <w:rPr>
          <w:rFonts w:ascii="Calibri" w:hAnsi="Calibri" w:cs="Calibri"/>
          <w:noProof/>
          <w:szCs w:val="24"/>
        </w:rPr>
        <w:t>FAO. (2018a). Maize Crop Description and Climate. Retrieved December 9, 2018, from http://www.fao.org/land-water/databases-and-software/crop-information/maize/en/</w:t>
      </w:r>
    </w:p>
    <w:p w14:paraId="32AF6C71" w14:textId="77777777" w:rsidR="00D57F65" w:rsidRPr="00D57F65" w:rsidRDefault="00D57F65" w:rsidP="00D57F65">
      <w:pPr>
        <w:widowControl w:val="0"/>
        <w:autoSpaceDE w:val="0"/>
        <w:autoSpaceDN w:val="0"/>
        <w:adjustRightInd w:val="0"/>
        <w:spacing w:line="240" w:lineRule="auto"/>
        <w:ind w:left="480" w:hanging="480"/>
        <w:rPr>
          <w:rFonts w:ascii="Calibri" w:hAnsi="Calibri" w:cs="Calibri"/>
          <w:noProof/>
          <w:szCs w:val="24"/>
        </w:rPr>
      </w:pPr>
      <w:r w:rsidRPr="00D57F65">
        <w:rPr>
          <w:rFonts w:ascii="Calibri" w:hAnsi="Calibri" w:cs="Calibri"/>
          <w:noProof/>
          <w:szCs w:val="24"/>
        </w:rPr>
        <w:t xml:space="preserve">FAO. (2018b). </w:t>
      </w:r>
      <w:r w:rsidRPr="00D57F65">
        <w:rPr>
          <w:rFonts w:ascii="Calibri" w:hAnsi="Calibri" w:cs="Calibri"/>
          <w:i/>
          <w:iCs/>
          <w:noProof/>
          <w:szCs w:val="24"/>
        </w:rPr>
        <w:t>World Food and Agriculture Statistical Pocketbook 2018</w:t>
      </w:r>
      <w:r w:rsidRPr="00D57F65">
        <w:rPr>
          <w:rFonts w:ascii="Calibri" w:hAnsi="Calibri" w:cs="Calibri"/>
          <w:noProof/>
          <w:szCs w:val="24"/>
        </w:rPr>
        <w:t>. Rome. Retrieved from http://www.fao.org/3/CA1796EN/ca1796en.pdf</w:t>
      </w:r>
    </w:p>
    <w:p w14:paraId="0EE000FF" w14:textId="77777777" w:rsidR="00D57F65" w:rsidRPr="00D57F65" w:rsidRDefault="00D57F65" w:rsidP="00D57F65">
      <w:pPr>
        <w:widowControl w:val="0"/>
        <w:autoSpaceDE w:val="0"/>
        <w:autoSpaceDN w:val="0"/>
        <w:adjustRightInd w:val="0"/>
        <w:spacing w:line="240" w:lineRule="auto"/>
        <w:ind w:left="480" w:hanging="480"/>
        <w:rPr>
          <w:rFonts w:ascii="Calibri" w:hAnsi="Calibri" w:cs="Calibri"/>
          <w:noProof/>
          <w:szCs w:val="24"/>
        </w:rPr>
      </w:pPr>
      <w:r w:rsidRPr="00D57F65">
        <w:rPr>
          <w:rFonts w:ascii="Calibri" w:hAnsi="Calibri" w:cs="Calibri"/>
          <w:noProof/>
          <w:szCs w:val="24"/>
        </w:rPr>
        <w:t>FAOSTAT. (2018). FAO statistical database. Retrieved December 9, 2018, from http://www.fao.org/faostat/</w:t>
      </w:r>
    </w:p>
    <w:p w14:paraId="4292F73A" w14:textId="77777777" w:rsidR="00D57F65" w:rsidRPr="00D57F65" w:rsidRDefault="00D57F65" w:rsidP="00D57F65">
      <w:pPr>
        <w:widowControl w:val="0"/>
        <w:autoSpaceDE w:val="0"/>
        <w:autoSpaceDN w:val="0"/>
        <w:adjustRightInd w:val="0"/>
        <w:spacing w:line="240" w:lineRule="auto"/>
        <w:ind w:left="480" w:hanging="480"/>
        <w:rPr>
          <w:rFonts w:ascii="Calibri" w:hAnsi="Calibri" w:cs="Calibri"/>
          <w:noProof/>
          <w:szCs w:val="24"/>
        </w:rPr>
      </w:pPr>
      <w:r w:rsidRPr="00D57F65">
        <w:rPr>
          <w:rFonts w:ascii="Calibri" w:hAnsi="Calibri" w:cs="Calibri"/>
          <w:noProof/>
          <w:szCs w:val="24"/>
        </w:rPr>
        <w:t>GBIF. (2018). GBIF Occurrence data. https://doi.org/https://doi.org/10.15468/dl.qko5um</w:t>
      </w:r>
    </w:p>
    <w:p w14:paraId="1B233594" w14:textId="77777777" w:rsidR="00D57F65" w:rsidRPr="00D57F65" w:rsidRDefault="00D57F65" w:rsidP="00D57F65">
      <w:pPr>
        <w:widowControl w:val="0"/>
        <w:autoSpaceDE w:val="0"/>
        <w:autoSpaceDN w:val="0"/>
        <w:adjustRightInd w:val="0"/>
        <w:spacing w:line="240" w:lineRule="auto"/>
        <w:ind w:left="480" w:hanging="480"/>
        <w:rPr>
          <w:rFonts w:ascii="Calibri" w:hAnsi="Calibri" w:cs="Calibri"/>
          <w:noProof/>
          <w:szCs w:val="24"/>
        </w:rPr>
      </w:pPr>
      <w:r w:rsidRPr="00D57F65">
        <w:rPr>
          <w:rFonts w:ascii="Calibri" w:hAnsi="Calibri" w:cs="Calibri"/>
          <w:noProof/>
          <w:szCs w:val="24"/>
        </w:rPr>
        <w:t xml:space="preserve">Li, X., Han, Y., Yan, Y., Messing, J., &amp; Xu, J. H. (2018). Genetic diversity and evolution of reduced sulfur storage during domestication of maize. </w:t>
      </w:r>
      <w:r w:rsidRPr="00D57F65">
        <w:rPr>
          <w:rFonts w:ascii="Calibri" w:hAnsi="Calibri" w:cs="Calibri"/>
          <w:i/>
          <w:iCs/>
          <w:noProof/>
          <w:szCs w:val="24"/>
        </w:rPr>
        <w:t>Plant Journal</w:t>
      </w:r>
      <w:r w:rsidRPr="00D57F65">
        <w:rPr>
          <w:rFonts w:ascii="Calibri" w:hAnsi="Calibri" w:cs="Calibri"/>
          <w:noProof/>
          <w:szCs w:val="24"/>
        </w:rPr>
        <w:t xml:space="preserve">, </w:t>
      </w:r>
      <w:r w:rsidRPr="00D57F65">
        <w:rPr>
          <w:rFonts w:ascii="Calibri" w:hAnsi="Calibri" w:cs="Calibri"/>
          <w:i/>
          <w:iCs/>
          <w:noProof/>
          <w:szCs w:val="24"/>
        </w:rPr>
        <w:t>94</w:t>
      </w:r>
      <w:r w:rsidRPr="00D57F65">
        <w:rPr>
          <w:rFonts w:ascii="Calibri" w:hAnsi="Calibri" w:cs="Calibri"/>
          <w:noProof/>
          <w:szCs w:val="24"/>
        </w:rPr>
        <w:t>(6), 943–955. https://doi.org/10.1111/tpj.13907</w:t>
      </w:r>
    </w:p>
    <w:p w14:paraId="30CB2983" w14:textId="77777777" w:rsidR="00D57F65" w:rsidRPr="00D57F65" w:rsidRDefault="00D57F65" w:rsidP="00D57F65">
      <w:pPr>
        <w:widowControl w:val="0"/>
        <w:autoSpaceDE w:val="0"/>
        <w:autoSpaceDN w:val="0"/>
        <w:adjustRightInd w:val="0"/>
        <w:spacing w:line="240" w:lineRule="auto"/>
        <w:ind w:left="480" w:hanging="480"/>
        <w:rPr>
          <w:rFonts w:ascii="Calibri" w:hAnsi="Calibri" w:cs="Calibri"/>
          <w:noProof/>
          <w:szCs w:val="24"/>
        </w:rPr>
      </w:pPr>
      <w:r w:rsidRPr="00D57F65">
        <w:rPr>
          <w:rFonts w:ascii="Calibri" w:hAnsi="Calibri" w:cs="Calibri"/>
          <w:noProof/>
          <w:szCs w:val="24"/>
        </w:rPr>
        <w:t xml:space="preserve">Mammadov, J., Buyyarapu, R., Guttikonda, S. K., Parliament, K., Abdurakhmonov, I. Y., &amp; Kumpatla, S. P. (2018). Wild Relatives of Maize, Rice, Cotton, and Soybean: Treasure Troves for Tolerance to Biotic and Abiotic Stresses. </w:t>
      </w:r>
      <w:r w:rsidRPr="00D57F65">
        <w:rPr>
          <w:rFonts w:ascii="Calibri" w:hAnsi="Calibri" w:cs="Calibri"/>
          <w:i/>
          <w:iCs/>
          <w:noProof/>
          <w:szCs w:val="24"/>
        </w:rPr>
        <w:t>Frontiers in Plant Science</w:t>
      </w:r>
      <w:r w:rsidRPr="00D57F65">
        <w:rPr>
          <w:rFonts w:ascii="Calibri" w:hAnsi="Calibri" w:cs="Calibri"/>
          <w:noProof/>
          <w:szCs w:val="24"/>
        </w:rPr>
        <w:t xml:space="preserve">, </w:t>
      </w:r>
      <w:r w:rsidRPr="00D57F65">
        <w:rPr>
          <w:rFonts w:ascii="Calibri" w:hAnsi="Calibri" w:cs="Calibri"/>
          <w:i/>
          <w:iCs/>
          <w:noProof/>
          <w:szCs w:val="24"/>
        </w:rPr>
        <w:t>9</w:t>
      </w:r>
      <w:r w:rsidRPr="00D57F65">
        <w:rPr>
          <w:rFonts w:ascii="Calibri" w:hAnsi="Calibri" w:cs="Calibri"/>
          <w:noProof/>
          <w:szCs w:val="24"/>
        </w:rPr>
        <w:t>(June). https://doi.org/10.3389/fpls.2018.00886</w:t>
      </w:r>
    </w:p>
    <w:p w14:paraId="7D0449A6" w14:textId="77777777" w:rsidR="00D57F65" w:rsidRPr="00D57F65" w:rsidRDefault="00D57F65" w:rsidP="00D57F65">
      <w:pPr>
        <w:widowControl w:val="0"/>
        <w:autoSpaceDE w:val="0"/>
        <w:autoSpaceDN w:val="0"/>
        <w:adjustRightInd w:val="0"/>
        <w:spacing w:line="240" w:lineRule="auto"/>
        <w:ind w:left="480" w:hanging="480"/>
        <w:rPr>
          <w:rFonts w:ascii="Calibri" w:hAnsi="Calibri" w:cs="Calibri"/>
          <w:noProof/>
          <w:szCs w:val="24"/>
        </w:rPr>
      </w:pPr>
      <w:r w:rsidRPr="00D57F65">
        <w:rPr>
          <w:rFonts w:ascii="Calibri" w:hAnsi="Calibri" w:cs="Calibri"/>
          <w:noProof/>
          <w:szCs w:val="24"/>
        </w:rPr>
        <w:t xml:space="preserve">Thomson, A. M., Calvin, K. V., Smith, S. J., Kyle, G. P., Volke, A., Patel, P., … Edmonds, J. A. (2011). RCP4.5: A pathway for stabilization of radiative forcing by 2100. </w:t>
      </w:r>
      <w:r w:rsidRPr="00D57F65">
        <w:rPr>
          <w:rFonts w:ascii="Calibri" w:hAnsi="Calibri" w:cs="Calibri"/>
          <w:i/>
          <w:iCs/>
          <w:noProof/>
          <w:szCs w:val="24"/>
        </w:rPr>
        <w:t>Climatic Change</w:t>
      </w:r>
      <w:r w:rsidRPr="00D57F65">
        <w:rPr>
          <w:rFonts w:ascii="Calibri" w:hAnsi="Calibri" w:cs="Calibri"/>
          <w:noProof/>
          <w:szCs w:val="24"/>
        </w:rPr>
        <w:t xml:space="preserve">, </w:t>
      </w:r>
      <w:r w:rsidRPr="00D57F65">
        <w:rPr>
          <w:rFonts w:ascii="Calibri" w:hAnsi="Calibri" w:cs="Calibri"/>
          <w:i/>
          <w:iCs/>
          <w:noProof/>
          <w:szCs w:val="24"/>
        </w:rPr>
        <w:t>109</w:t>
      </w:r>
      <w:r w:rsidRPr="00D57F65">
        <w:rPr>
          <w:rFonts w:ascii="Calibri" w:hAnsi="Calibri" w:cs="Calibri"/>
          <w:noProof/>
          <w:szCs w:val="24"/>
        </w:rPr>
        <w:t>(1), 77–94. https://doi.org/10.1007/s10584-011-0151-4</w:t>
      </w:r>
    </w:p>
    <w:p w14:paraId="288A54F3" w14:textId="77777777" w:rsidR="00D57F65" w:rsidRPr="00D57F65" w:rsidRDefault="00D57F65" w:rsidP="00D57F65">
      <w:pPr>
        <w:widowControl w:val="0"/>
        <w:autoSpaceDE w:val="0"/>
        <w:autoSpaceDN w:val="0"/>
        <w:adjustRightInd w:val="0"/>
        <w:spacing w:line="240" w:lineRule="auto"/>
        <w:ind w:left="480" w:hanging="480"/>
        <w:rPr>
          <w:rFonts w:ascii="Calibri" w:hAnsi="Calibri" w:cs="Calibri"/>
          <w:noProof/>
        </w:rPr>
      </w:pPr>
      <w:r w:rsidRPr="00D57F65">
        <w:rPr>
          <w:rFonts w:ascii="Calibri" w:hAnsi="Calibri" w:cs="Calibri"/>
          <w:noProof/>
          <w:szCs w:val="24"/>
        </w:rPr>
        <w:t>WorldClim - Global Climate data. (2018). WorldClim version 1.4. Retrieved December 7, 2018, from http://worldclim.org/version1</w:t>
      </w:r>
    </w:p>
    <w:p w14:paraId="4E320445" w14:textId="6AA98FD9" w:rsidR="00F71877" w:rsidRDefault="00D57F65">
      <w:r>
        <w:fldChar w:fldCharType="end"/>
      </w:r>
      <w:r w:rsidR="00F71877">
        <w:br w:type="page"/>
      </w:r>
    </w:p>
    <w:p w14:paraId="6BC13330" w14:textId="2FEF4A78" w:rsidR="001C24E3" w:rsidRPr="0008388E" w:rsidRDefault="001C24E3" w:rsidP="00AA112F">
      <w:pPr>
        <w:pStyle w:val="Heading1"/>
        <w:rPr>
          <w:b/>
          <w:color w:val="auto"/>
          <w:u w:val="single"/>
          <w:lang w:val="en-GB"/>
        </w:rPr>
      </w:pPr>
      <w:r w:rsidRPr="0008388E">
        <w:rPr>
          <w:b/>
          <w:color w:val="auto"/>
          <w:u w:val="single"/>
          <w:lang w:val="en-GB"/>
        </w:rPr>
        <w:lastRenderedPageBreak/>
        <w:t xml:space="preserve">Appendix </w:t>
      </w:r>
      <w:r w:rsidR="00F464C3">
        <w:rPr>
          <w:b/>
          <w:color w:val="auto"/>
          <w:u w:val="single"/>
          <w:lang w:val="en-GB"/>
        </w:rPr>
        <w:t>A</w:t>
      </w:r>
      <w:r w:rsidR="00182631" w:rsidRPr="0008388E">
        <w:rPr>
          <w:b/>
          <w:color w:val="auto"/>
          <w:u w:val="single"/>
          <w:lang w:val="en-GB"/>
        </w:rPr>
        <w:t>:</w:t>
      </w:r>
      <w:r w:rsidRPr="0008388E">
        <w:rPr>
          <w:b/>
          <w:color w:val="auto"/>
          <w:u w:val="single"/>
          <w:lang w:val="en-GB"/>
        </w:rPr>
        <w:t xml:space="preserve"> Maxent model output</w:t>
      </w:r>
      <w:r w:rsidR="00182631" w:rsidRPr="0008388E">
        <w:rPr>
          <w:b/>
          <w:color w:val="auto"/>
          <w:u w:val="single"/>
          <w:lang w:val="en-GB"/>
        </w:rPr>
        <w:t>s</w:t>
      </w:r>
    </w:p>
    <w:p w14:paraId="06891E4B" w14:textId="3A0F475D" w:rsidR="001C24E3" w:rsidRDefault="001C24E3" w:rsidP="001C24E3">
      <w:pPr>
        <w:rPr>
          <w:lang w:val="en-GB"/>
        </w:rPr>
      </w:pPr>
    </w:p>
    <w:p w14:paraId="77319286" w14:textId="3467426E" w:rsidR="0034190E" w:rsidRPr="001C24E3" w:rsidRDefault="0034190E" w:rsidP="001C24E3">
      <w:pPr>
        <w:rPr>
          <w:lang w:val="en-GB"/>
        </w:rPr>
      </w:pPr>
      <w:r>
        <w:rPr>
          <w:lang w:val="en-GB"/>
        </w:rPr>
        <w:t>The graph below shows the ROC curve for the data with its AUC value</w:t>
      </w:r>
    </w:p>
    <w:p w14:paraId="04CF0CD9" w14:textId="555BD3E0" w:rsidR="001C24E3" w:rsidRDefault="001C24E3" w:rsidP="001C24E3">
      <w:pPr>
        <w:rPr>
          <w:lang w:val="nl-NL"/>
        </w:rPr>
      </w:pPr>
      <w:r>
        <w:rPr>
          <w:noProof/>
        </w:rPr>
        <w:drawing>
          <wp:inline distT="0" distB="0" distL="0" distR="0" wp14:anchorId="5E4889AB" wp14:editId="7F21494C">
            <wp:extent cx="5943600" cy="3820795"/>
            <wp:effectExtent l="0" t="0" r="0" b="8255"/>
            <wp:docPr id="9" name="Picture 9" descr="C:\Users\Surendra\Desktop\Methods in biodiversity analysis\SDM\MAXENT\Results\plots\Zea_mays_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urendra\Desktop\Methods in biodiversity analysis\SDM\MAXENT\Results\plots\Zea_mays_roc.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20795"/>
                    </a:xfrm>
                    <a:prstGeom prst="rect">
                      <a:avLst/>
                    </a:prstGeom>
                    <a:noFill/>
                    <a:ln>
                      <a:noFill/>
                    </a:ln>
                  </pic:spPr>
                </pic:pic>
              </a:graphicData>
            </a:graphic>
          </wp:inline>
        </w:drawing>
      </w:r>
    </w:p>
    <w:p w14:paraId="3EDC0DCB" w14:textId="77C0C9EB" w:rsidR="001C24E3" w:rsidRPr="001C24E3" w:rsidRDefault="001C24E3" w:rsidP="001C24E3">
      <w:pPr>
        <w:rPr>
          <w:lang w:val="en-GB"/>
        </w:rPr>
      </w:pPr>
    </w:p>
    <w:p w14:paraId="2E03A4EB" w14:textId="279CDFBE" w:rsidR="001C24E3" w:rsidRPr="00AF4120" w:rsidRDefault="0034190E" w:rsidP="001C24E3">
      <w:pPr>
        <w:rPr>
          <w:lang w:val="en-GB"/>
        </w:rPr>
      </w:pPr>
      <w:r w:rsidRPr="0034190E">
        <w:rPr>
          <w:lang w:val="en-GB"/>
        </w:rPr>
        <w:t>The table below shows some common logistic threshold and corresponding omission rates</w:t>
      </w:r>
    </w:p>
    <w:tbl>
      <w:tblPr>
        <w:tblW w:w="0" w:type="auto"/>
        <w:tblCellSpacing w:w="15" w:type="dxa"/>
        <w:tblCellMar>
          <w:top w:w="45" w:type="dxa"/>
          <w:left w:w="45" w:type="dxa"/>
          <w:bottom w:w="45" w:type="dxa"/>
          <w:right w:w="45" w:type="dxa"/>
        </w:tblCellMar>
        <w:tblLook w:val="04A0" w:firstRow="1" w:lastRow="0" w:firstColumn="1" w:lastColumn="0" w:noHBand="0" w:noVBand="1"/>
      </w:tblPr>
      <w:tblGrid>
        <w:gridCol w:w="1601"/>
        <w:gridCol w:w="1333"/>
        <w:gridCol w:w="3256"/>
        <w:gridCol w:w="1661"/>
        <w:gridCol w:w="1509"/>
      </w:tblGrid>
      <w:tr w:rsidR="001C24E3" w:rsidRPr="00AF4120" w14:paraId="724F2AAD" w14:textId="77777777" w:rsidTr="00281D71">
        <w:trPr>
          <w:tblCellSpacing w:w="15" w:type="dxa"/>
        </w:trPr>
        <w:tc>
          <w:tcPr>
            <w:tcW w:w="0" w:type="auto"/>
            <w:tcBorders>
              <w:bottom w:val="single" w:sz="4" w:space="0" w:color="auto"/>
            </w:tcBorders>
            <w:vAlign w:val="center"/>
            <w:hideMark/>
          </w:tcPr>
          <w:p w14:paraId="5CDA970C" w14:textId="77777777" w:rsidR="001C24E3" w:rsidRPr="001065F0" w:rsidRDefault="001C24E3" w:rsidP="00281D71">
            <w:pPr>
              <w:pStyle w:val="NoSpacing"/>
              <w:rPr>
                <w:b/>
                <w:lang w:val="en-GB"/>
              </w:rPr>
            </w:pPr>
            <w:r w:rsidRPr="001065F0">
              <w:rPr>
                <w:b/>
                <w:lang w:val="en-GB"/>
              </w:rPr>
              <w:t>Cumulative threshold</w:t>
            </w:r>
          </w:p>
        </w:tc>
        <w:tc>
          <w:tcPr>
            <w:tcW w:w="0" w:type="auto"/>
            <w:tcBorders>
              <w:bottom w:val="single" w:sz="4" w:space="0" w:color="auto"/>
            </w:tcBorders>
            <w:vAlign w:val="center"/>
            <w:hideMark/>
          </w:tcPr>
          <w:p w14:paraId="48E192BB" w14:textId="77777777" w:rsidR="001C24E3" w:rsidRPr="001065F0" w:rsidRDefault="001C24E3" w:rsidP="00281D71">
            <w:pPr>
              <w:pStyle w:val="NoSpacing"/>
              <w:rPr>
                <w:b/>
                <w:lang w:val="en-GB"/>
              </w:rPr>
            </w:pPr>
            <w:r w:rsidRPr="001065F0">
              <w:rPr>
                <w:b/>
                <w:lang w:val="en-GB"/>
              </w:rPr>
              <w:t>Logistic threshold</w:t>
            </w:r>
          </w:p>
        </w:tc>
        <w:tc>
          <w:tcPr>
            <w:tcW w:w="0" w:type="auto"/>
            <w:tcBorders>
              <w:bottom w:val="single" w:sz="4" w:space="0" w:color="auto"/>
            </w:tcBorders>
            <w:vAlign w:val="center"/>
            <w:hideMark/>
          </w:tcPr>
          <w:p w14:paraId="10C6F4F1" w14:textId="77777777" w:rsidR="001C24E3" w:rsidRPr="001065F0" w:rsidRDefault="001C24E3" w:rsidP="00281D71">
            <w:pPr>
              <w:pStyle w:val="NoSpacing"/>
              <w:rPr>
                <w:b/>
                <w:lang w:val="en-GB"/>
              </w:rPr>
            </w:pPr>
            <w:r w:rsidRPr="001065F0">
              <w:rPr>
                <w:b/>
                <w:lang w:val="en-GB"/>
              </w:rPr>
              <w:t>Description</w:t>
            </w:r>
          </w:p>
        </w:tc>
        <w:tc>
          <w:tcPr>
            <w:tcW w:w="0" w:type="auto"/>
            <w:tcBorders>
              <w:bottom w:val="single" w:sz="4" w:space="0" w:color="auto"/>
            </w:tcBorders>
            <w:vAlign w:val="center"/>
            <w:hideMark/>
          </w:tcPr>
          <w:p w14:paraId="3BAF6F55" w14:textId="77777777" w:rsidR="001C24E3" w:rsidRPr="001065F0" w:rsidRDefault="001C24E3" w:rsidP="00281D71">
            <w:pPr>
              <w:pStyle w:val="NoSpacing"/>
              <w:rPr>
                <w:b/>
                <w:lang w:val="en-GB"/>
              </w:rPr>
            </w:pPr>
            <w:r w:rsidRPr="001065F0">
              <w:rPr>
                <w:b/>
                <w:lang w:val="en-GB"/>
              </w:rPr>
              <w:t>Fractional predicted area</w:t>
            </w:r>
          </w:p>
        </w:tc>
        <w:tc>
          <w:tcPr>
            <w:tcW w:w="0" w:type="auto"/>
            <w:tcBorders>
              <w:bottom w:val="single" w:sz="4" w:space="0" w:color="auto"/>
            </w:tcBorders>
            <w:vAlign w:val="center"/>
            <w:hideMark/>
          </w:tcPr>
          <w:p w14:paraId="544EE90B" w14:textId="77777777" w:rsidR="001C24E3" w:rsidRPr="001065F0" w:rsidRDefault="001C24E3" w:rsidP="00281D71">
            <w:pPr>
              <w:pStyle w:val="NoSpacing"/>
              <w:rPr>
                <w:b/>
                <w:lang w:val="en-GB"/>
              </w:rPr>
            </w:pPr>
            <w:r w:rsidRPr="001065F0">
              <w:rPr>
                <w:b/>
                <w:lang w:val="en-GB"/>
              </w:rPr>
              <w:t>Training omission rate</w:t>
            </w:r>
          </w:p>
        </w:tc>
      </w:tr>
      <w:tr w:rsidR="001C24E3" w:rsidRPr="00AF4120" w14:paraId="4EFC0D31" w14:textId="77777777" w:rsidTr="00281D71">
        <w:trPr>
          <w:tblCellSpacing w:w="15" w:type="dxa"/>
        </w:trPr>
        <w:tc>
          <w:tcPr>
            <w:tcW w:w="0" w:type="auto"/>
            <w:vAlign w:val="center"/>
            <w:hideMark/>
          </w:tcPr>
          <w:p w14:paraId="62252D53" w14:textId="77777777" w:rsidR="001C24E3" w:rsidRPr="00AF4120" w:rsidRDefault="001C24E3" w:rsidP="00281D71">
            <w:pPr>
              <w:pStyle w:val="NoSpacing"/>
              <w:rPr>
                <w:lang w:val="en-GB"/>
              </w:rPr>
            </w:pPr>
            <w:r w:rsidRPr="00AF4120">
              <w:rPr>
                <w:lang w:val="en-GB"/>
              </w:rPr>
              <w:t>1.000</w:t>
            </w:r>
          </w:p>
        </w:tc>
        <w:tc>
          <w:tcPr>
            <w:tcW w:w="0" w:type="auto"/>
            <w:vAlign w:val="center"/>
            <w:hideMark/>
          </w:tcPr>
          <w:p w14:paraId="4748BA5E" w14:textId="77777777" w:rsidR="001C24E3" w:rsidRPr="00AF4120" w:rsidRDefault="001C24E3" w:rsidP="00281D71">
            <w:pPr>
              <w:pStyle w:val="NoSpacing"/>
              <w:rPr>
                <w:lang w:val="en-GB"/>
              </w:rPr>
            </w:pPr>
            <w:r w:rsidRPr="00AF4120">
              <w:rPr>
                <w:lang w:val="en-GB"/>
              </w:rPr>
              <w:t>0.194</w:t>
            </w:r>
          </w:p>
        </w:tc>
        <w:tc>
          <w:tcPr>
            <w:tcW w:w="0" w:type="auto"/>
            <w:vAlign w:val="center"/>
            <w:hideMark/>
          </w:tcPr>
          <w:p w14:paraId="4C229398" w14:textId="77777777" w:rsidR="001C24E3" w:rsidRPr="00AF4120" w:rsidRDefault="001C24E3" w:rsidP="00281D71">
            <w:pPr>
              <w:pStyle w:val="NoSpacing"/>
              <w:rPr>
                <w:lang w:val="en-GB"/>
              </w:rPr>
            </w:pPr>
            <w:r w:rsidRPr="00AF4120">
              <w:rPr>
                <w:lang w:val="en-GB"/>
              </w:rPr>
              <w:t>Fixed cumulative value 1</w:t>
            </w:r>
          </w:p>
        </w:tc>
        <w:tc>
          <w:tcPr>
            <w:tcW w:w="0" w:type="auto"/>
            <w:vAlign w:val="center"/>
            <w:hideMark/>
          </w:tcPr>
          <w:p w14:paraId="65851A30" w14:textId="77777777" w:rsidR="001C24E3" w:rsidRPr="00AF4120" w:rsidRDefault="001C24E3" w:rsidP="00281D71">
            <w:pPr>
              <w:pStyle w:val="NoSpacing"/>
              <w:rPr>
                <w:lang w:val="en-GB"/>
              </w:rPr>
            </w:pPr>
            <w:r w:rsidRPr="00AF4120">
              <w:rPr>
                <w:lang w:val="en-GB"/>
              </w:rPr>
              <w:t>0.879</w:t>
            </w:r>
          </w:p>
        </w:tc>
        <w:tc>
          <w:tcPr>
            <w:tcW w:w="0" w:type="auto"/>
            <w:vAlign w:val="center"/>
            <w:hideMark/>
          </w:tcPr>
          <w:p w14:paraId="3E4A99D3" w14:textId="77777777" w:rsidR="001C24E3" w:rsidRPr="00AF4120" w:rsidRDefault="001C24E3" w:rsidP="00281D71">
            <w:pPr>
              <w:pStyle w:val="NoSpacing"/>
              <w:rPr>
                <w:lang w:val="en-GB"/>
              </w:rPr>
            </w:pPr>
            <w:r w:rsidRPr="00AF4120">
              <w:rPr>
                <w:lang w:val="en-GB"/>
              </w:rPr>
              <w:t>0.005</w:t>
            </w:r>
          </w:p>
        </w:tc>
      </w:tr>
      <w:tr w:rsidR="001C24E3" w:rsidRPr="00AF4120" w14:paraId="2B89B8EF" w14:textId="77777777" w:rsidTr="00281D71">
        <w:trPr>
          <w:tblCellSpacing w:w="15" w:type="dxa"/>
        </w:trPr>
        <w:tc>
          <w:tcPr>
            <w:tcW w:w="0" w:type="auto"/>
            <w:vAlign w:val="center"/>
            <w:hideMark/>
          </w:tcPr>
          <w:p w14:paraId="3692ECF7" w14:textId="77777777" w:rsidR="001C24E3" w:rsidRPr="00AF4120" w:rsidRDefault="001C24E3" w:rsidP="00281D71">
            <w:pPr>
              <w:pStyle w:val="NoSpacing"/>
              <w:rPr>
                <w:lang w:val="en-GB"/>
              </w:rPr>
            </w:pPr>
            <w:r w:rsidRPr="00AF4120">
              <w:rPr>
                <w:lang w:val="en-GB"/>
              </w:rPr>
              <w:t>5.000</w:t>
            </w:r>
          </w:p>
        </w:tc>
        <w:tc>
          <w:tcPr>
            <w:tcW w:w="0" w:type="auto"/>
            <w:vAlign w:val="center"/>
            <w:hideMark/>
          </w:tcPr>
          <w:p w14:paraId="3D99833E" w14:textId="77777777" w:rsidR="001C24E3" w:rsidRPr="00AF4120" w:rsidRDefault="001C24E3" w:rsidP="00281D71">
            <w:pPr>
              <w:pStyle w:val="NoSpacing"/>
              <w:rPr>
                <w:lang w:val="en-GB"/>
              </w:rPr>
            </w:pPr>
            <w:r w:rsidRPr="00AF4120">
              <w:rPr>
                <w:lang w:val="en-GB"/>
              </w:rPr>
              <w:t>0.332</w:t>
            </w:r>
          </w:p>
        </w:tc>
        <w:tc>
          <w:tcPr>
            <w:tcW w:w="0" w:type="auto"/>
            <w:vAlign w:val="center"/>
            <w:hideMark/>
          </w:tcPr>
          <w:p w14:paraId="454CAE40" w14:textId="77777777" w:rsidR="001C24E3" w:rsidRPr="00AF4120" w:rsidRDefault="001C24E3" w:rsidP="00281D71">
            <w:pPr>
              <w:pStyle w:val="NoSpacing"/>
              <w:rPr>
                <w:lang w:val="en-GB"/>
              </w:rPr>
            </w:pPr>
            <w:r w:rsidRPr="00AF4120">
              <w:rPr>
                <w:lang w:val="en-GB"/>
              </w:rPr>
              <w:t>Fixed cumulative value 5</w:t>
            </w:r>
          </w:p>
        </w:tc>
        <w:tc>
          <w:tcPr>
            <w:tcW w:w="0" w:type="auto"/>
            <w:vAlign w:val="center"/>
            <w:hideMark/>
          </w:tcPr>
          <w:p w14:paraId="29C5A717" w14:textId="77777777" w:rsidR="001C24E3" w:rsidRPr="00AF4120" w:rsidRDefault="001C24E3" w:rsidP="00281D71">
            <w:pPr>
              <w:pStyle w:val="NoSpacing"/>
              <w:rPr>
                <w:lang w:val="en-GB"/>
              </w:rPr>
            </w:pPr>
            <w:r w:rsidRPr="00AF4120">
              <w:rPr>
                <w:lang w:val="en-GB"/>
              </w:rPr>
              <w:t>0.784</w:t>
            </w:r>
          </w:p>
        </w:tc>
        <w:tc>
          <w:tcPr>
            <w:tcW w:w="0" w:type="auto"/>
            <w:vAlign w:val="center"/>
            <w:hideMark/>
          </w:tcPr>
          <w:p w14:paraId="1EA7EF08" w14:textId="77777777" w:rsidR="001C24E3" w:rsidRPr="00AF4120" w:rsidRDefault="001C24E3" w:rsidP="00281D71">
            <w:pPr>
              <w:pStyle w:val="NoSpacing"/>
              <w:rPr>
                <w:lang w:val="en-GB"/>
              </w:rPr>
            </w:pPr>
            <w:r w:rsidRPr="00AF4120">
              <w:rPr>
                <w:lang w:val="en-GB"/>
              </w:rPr>
              <w:t>0.038</w:t>
            </w:r>
          </w:p>
        </w:tc>
      </w:tr>
      <w:tr w:rsidR="001C24E3" w:rsidRPr="00AF4120" w14:paraId="585341E3" w14:textId="77777777" w:rsidTr="00281D71">
        <w:trPr>
          <w:tblCellSpacing w:w="15" w:type="dxa"/>
        </w:trPr>
        <w:tc>
          <w:tcPr>
            <w:tcW w:w="0" w:type="auto"/>
            <w:vAlign w:val="center"/>
            <w:hideMark/>
          </w:tcPr>
          <w:p w14:paraId="5D88770C" w14:textId="77777777" w:rsidR="001C24E3" w:rsidRPr="00AF4120" w:rsidRDefault="001C24E3" w:rsidP="00281D71">
            <w:pPr>
              <w:pStyle w:val="NoSpacing"/>
              <w:rPr>
                <w:lang w:val="en-GB"/>
              </w:rPr>
            </w:pPr>
            <w:r w:rsidRPr="00AF4120">
              <w:rPr>
                <w:lang w:val="en-GB"/>
              </w:rPr>
              <w:t>10.000</w:t>
            </w:r>
          </w:p>
        </w:tc>
        <w:tc>
          <w:tcPr>
            <w:tcW w:w="0" w:type="auto"/>
            <w:vAlign w:val="center"/>
            <w:hideMark/>
          </w:tcPr>
          <w:p w14:paraId="574BF979" w14:textId="77777777" w:rsidR="001C24E3" w:rsidRPr="00AF4120" w:rsidRDefault="001C24E3" w:rsidP="00281D71">
            <w:pPr>
              <w:pStyle w:val="NoSpacing"/>
              <w:rPr>
                <w:lang w:val="en-GB"/>
              </w:rPr>
            </w:pPr>
            <w:r w:rsidRPr="00AF4120">
              <w:rPr>
                <w:lang w:val="en-GB"/>
              </w:rPr>
              <w:t>0.418</w:t>
            </w:r>
          </w:p>
        </w:tc>
        <w:tc>
          <w:tcPr>
            <w:tcW w:w="0" w:type="auto"/>
            <w:vAlign w:val="center"/>
            <w:hideMark/>
          </w:tcPr>
          <w:p w14:paraId="18AE894D" w14:textId="77777777" w:rsidR="001C24E3" w:rsidRPr="00AF4120" w:rsidRDefault="001C24E3" w:rsidP="00281D71">
            <w:pPr>
              <w:pStyle w:val="NoSpacing"/>
              <w:rPr>
                <w:lang w:val="en-GB"/>
              </w:rPr>
            </w:pPr>
            <w:r w:rsidRPr="00AF4120">
              <w:rPr>
                <w:lang w:val="en-GB"/>
              </w:rPr>
              <w:t>Fixed cumulative value 10</w:t>
            </w:r>
          </w:p>
        </w:tc>
        <w:tc>
          <w:tcPr>
            <w:tcW w:w="0" w:type="auto"/>
            <w:vAlign w:val="center"/>
            <w:hideMark/>
          </w:tcPr>
          <w:p w14:paraId="7AD6097D" w14:textId="77777777" w:rsidR="001C24E3" w:rsidRPr="00AF4120" w:rsidRDefault="001C24E3" w:rsidP="00281D71">
            <w:pPr>
              <w:pStyle w:val="NoSpacing"/>
              <w:rPr>
                <w:lang w:val="en-GB"/>
              </w:rPr>
            </w:pPr>
            <w:r w:rsidRPr="00AF4120">
              <w:rPr>
                <w:lang w:val="en-GB"/>
              </w:rPr>
              <w:t>0.715</w:t>
            </w:r>
          </w:p>
        </w:tc>
        <w:tc>
          <w:tcPr>
            <w:tcW w:w="0" w:type="auto"/>
            <w:vAlign w:val="center"/>
            <w:hideMark/>
          </w:tcPr>
          <w:p w14:paraId="0036FB4C" w14:textId="77777777" w:rsidR="001C24E3" w:rsidRPr="00AF4120" w:rsidRDefault="001C24E3" w:rsidP="00281D71">
            <w:pPr>
              <w:pStyle w:val="NoSpacing"/>
              <w:rPr>
                <w:lang w:val="en-GB"/>
              </w:rPr>
            </w:pPr>
            <w:r w:rsidRPr="00AF4120">
              <w:rPr>
                <w:lang w:val="en-GB"/>
              </w:rPr>
              <w:t>0.088</w:t>
            </w:r>
          </w:p>
        </w:tc>
      </w:tr>
      <w:tr w:rsidR="001C24E3" w:rsidRPr="00AF4120" w14:paraId="726C3E97" w14:textId="77777777" w:rsidTr="00281D71">
        <w:trPr>
          <w:tblCellSpacing w:w="15" w:type="dxa"/>
        </w:trPr>
        <w:tc>
          <w:tcPr>
            <w:tcW w:w="0" w:type="auto"/>
            <w:vAlign w:val="center"/>
            <w:hideMark/>
          </w:tcPr>
          <w:p w14:paraId="0D1392E9" w14:textId="77777777" w:rsidR="001C24E3" w:rsidRPr="00AF4120" w:rsidRDefault="001C24E3" w:rsidP="00281D71">
            <w:pPr>
              <w:pStyle w:val="NoSpacing"/>
              <w:rPr>
                <w:lang w:val="en-GB"/>
              </w:rPr>
            </w:pPr>
            <w:r w:rsidRPr="00AF4120">
              <w:rPr>
                <w:lang w:val="en-GB"/>
              </w:rPr>
              <w:t>0.003</w:t>
            </w:r>
          </w:p>
        </w:tc>
        <w:tc>
          <w:tcPr>
            <w:tcW w:w="0" w:type="auto"/>
            <w:vAlign w:val="center"/>
            <w:hideMark/>
          </w:tcPr>
          <w:p w14:paraId="42F7B6A8" w14:textId="77777777" w:rsidR="001C24E3" w:rsidRPr="00AF4120" w:rsidRDefault="001C24E3" w:rsidP="00281D71">
            <w:pPr>
              <w:pStyle w:val="NoSpacing"/>
              <w:rPr>
                <w:lang w:val="en-GB"/>
              </w:rPr>
            </w:pPr>
            <w:r w:rsidRPr="00AF4120">
              <w:rPr>
                <w:lang w:val="en-GB"/>
              </w:rPr>
              <w:t>0.003</w:t>
            </w:r>
          </w:p>
        </w:tc>
        <w:tc>
          <w:tcPr>
            <w:tcW w:w="0" w:type="auto"/>
            <w:vAlign w:val="center"/>
            <w:hideMark/>
          </w:tcPr>
          <w:p w14:paraId="342725D8" w14:textId="77777777" w:rsidR="001C24E3" w:rsidRPr="00AF4120" w:rsidRDefault="001C24E3" w:rsidP="00281D71">
            <w:pPr>
              <w:pStyle w:val="NoSpacing"/>
              <w:rPr>
                <w:lang w:val="en-GB"/>
              </w:rPr>
            </w:pPr>
            <w:r w:rsidRPr="00AF4120">
              <w:rPr>
                <w:lang w:val="en-GB"/>
              </w:rPr>
              <w:t>Minimum training presence</w:t>
            </w:r>
          </w:p>
        </w:tc>
        <w:tc>
          <w:tcPr>
            <w:tcW w:w="0" w:type="auto"/>
            <w:vAlign w:val="center"/>
            <w:hideMark/>
          </w:tcPr>
          <w:p w14:paraId="5CE3AF00" w14:textId="77777777" w:rsidR="001C24E3" w:rsidRPr="00AF4120" w:rsidRDefault="001C24E3" w:rsidP="00281D71">
            <w:pPr>
              <w:pStyle w:val="NoSpacing"/>
              <w:rPr>
                <w:lang w:val="en-GB"/>
              </w:rPr>
            </w:pPr>
            <w:r w:rsidRPr="00AF4120">
              <w:rPr>
                <w:lang w:val="en-GB"/>
              </w:rPr>
              <w:t>0.988</w:t>
            </w:r>
          </w:p>
        </w:tc>
        <w:tc>
          <w:tcPr>
            <w:tcW w:w="0" w:type="auto"/>
            <w:vAlign w:val="center"/>
            <w:hideMark/>
          </w:tcPr>
          <w:p w14:paraId="25BD838B" w14:textId="77777777" w:rsidR="001C24E3" w:rsidRPr="00AF4120" w:rsidRDefault="001C24E3" w:rsidP="00281D71">
            <w:pPr>
              <w:pStyle w:val="NoSpacing"/>
              <w:rPr>
                <w:lang w:val="en-GB"/>
              </w:rPr>
            </w:pPr>
            <w:r w:rsidRPr="00AF4120">
              <w:rPr>
                <w:lang w:val="en-GB"/>
              </w:rPr>
              <w:t>0.000</w:t>
            </w:r>
          </w:p>
        </w:tc>
      </w:tr>
      <w:tr w:rsidR="001C24E3" w:rsidRPr="00AF4120" w14:paraId="191E1FBF" w14:textId="77777777" w:rsidTr="00281D71">
        <w:trPr>
          <w:tblCellSpacing w:w="15" w:type="dxa"/>
        </w:trPr>
        <w:tc>
          <w:tcPr>
            <w:tcW w:w="0" w:type="auto"/>
            <w:vAlign w:val="center"/>
            <w:hideMark/>
          </w:tcPr>
          <w:p w14:paraId="3DAA118E" w14:textId="77777777" w:rsidR="001C24E3" w:rsidRPr="00AF4120" w:rsidRDefault="001C24E3" w:rsidP="00281D71">
            <w:pPr>
              <w:pStyle w:val="NoSpacing"/>
              <w:rPr>
                <w:lang w:val="en-GB"/>
              </w:rPr>
            </w:pPr>
            <w:r w:rsidRPr="00AF4120">
              <w:rPr>
                <w:lang w:val="en-GB"/>
              </w:rPr>
              <w:t>11.228</w:t>
            </w:r>
          </w:p>
        </w:tc>
        <w:tc>
          <w:tcPr>
            <w:tcW w:w="0" w:type="auto"/>
            <w:vAlign w:val="center"/>
            <w:hideMark/>
          </w:tcPr>
          <w:p w14:paraId="4070413D" w14:textId="77777777" w:rsidR="001C24E3" w:rsidRPr="00AF4120" w:rsidRDefault="001C24E3" w:rsidP="00281D71">
            <w:pPr>
              <w:pStyle w:val="NoSpacing"/>
              <w:rPr>
                <w:lang w:val="en-GB"/>
              </w:rPr>
            </w:pPr>
            <w:r w:rsidRPr="00AF4120">
              <w:rPr>
                <w:lang w:val="en-GB"/>
              </w:rPr>
              <w:t>0.428</w:t>
            </w:r>
          </w:p>
        </w:tc>
        <w:tc>
          <w:tcPr>
            <w:tcW w:w="0" w:type="auto"/>
            <w:vAlign w:val="center"/>
            <w:hideMark/>
          </w:tcPr>
          <w:p w14:paraId="2D839408" w14:textId="77777777" w:rsidR="001C24E3" w:rsidRPr="00AF4120" w:rsidRDefault="001C24E3" w:rsidP="00281D71">
            <w:pPr>
              <w:pStyle w:val="NoSpacing"/>
              <w:rPr>
                <w:lang w:val="en-GB"/>
              </w:rPr>
            </w:pPr>
            <w:r w:rsidRPr="00AF4120">
              <w:rPr>
                <w:lang w:val="en-GB"/>
              </w:rPr>
              <w:t>10 percentile training presence</w:t>
            </w:r>
          </w:p>
        </w:tc>
        <w:tc>
          <w:tcPr>
            <w:tcW w:w="0" w:type="auto"/>
            <w:vAlign w:val="center"/>
            <w:hideMark/>
          </w:tcPr>
          <w:p w14:paraId="2BD2CCB3" w14:textId="77777777" w:rsidR="001C24E3" w:rsidRPr="00AF4120" w:rsidRDefault="001C24E3" w:rsidP="00281D71">
            <w:pPr>
              <w:pStyle w:val="NoSpacing"/>
              <w:rPr>
                <w:lang w:val="en-GB"/>
              </w:rPr>
            </w:pPr>
            <w:r w:rsidRPr="00AF4120">
              <w:rPr>
                <w:lang w:val="en-GB"/>
              </w:rPr>
              <w:t>0.700</w:t>
            </w:r>
          </w:p>
        </w:tc>
        <w:tc>
          <w:tcPr>
            <w:tcW w:w="0" w:type="auto"/>
            <w:vAlign w:val="center"/>
            <w:hideMark/>
          </w:tcPr>
          <w:p w14:paraId="5103C80B" w14:textId="77777777" w:rsidR="001C24E3" w:rsidRPr="00AF4120" w:rsidRDefault="001C24E3" w:rsidP="00281D71">
            <w:pPr>
              <w:pStyle w:val="NoSpacing"/>
              <w:rPr>
                <w:lang w:val="en-GB"/>
              </w:rPr>
            </w:pPr>
            <w:r w:rsidRPr="00AF4120">
              <w:rPr>
                <w:lang w:val="en-GB"/>
              </w:rPr>
              <w:t>0.100</w:t>
            </w:r>
          </w:p>
        </w:tc>
      </w:tr>
      <w:tr w:rsidR="001C24E3" w:rsidRPr="00AF4120" w14:paraId="6D8FBB9C" w14:textId="77777777" w:rsidTr="00281D71">
        <w:trPr>
          <w:tblCellSpacing w:w="15" w:type="dxa"/>
        </w:trPr>
        <w:tc>
          <w:tcPr>
            <w:tcW w:w="0" w:type="auto"/>
            <w:vAlign w:val="center"/>
            <w:hideMark/>
          </w:tcPr>
          <w:p w14:paraId="33B49C62" w14:textId="77777777" w:rsidR="001C24E3" w:rsidRPr="00AF4120" w:rsidRDefault="001C24E3" w:rsidP="00281D71">
            <w:pPr>
              <w:pStyle w:val="NoSpacing"/>
              <w:rPr>
                <w:lang w:val="en-GB"/>
              </w:rPr>
            </w:pPr>
            <w:r w:rsidRPr="00AF4120">
              <w:rPr>
                <w:lang w:val="en-GB"/>
              </w:rPr>
              <w:t>41.332</w:t>
            </w:r>
          </w:p>
        </w:tc>
        <w:tc>
          <w:tcPr>
            <w:tcW w:w="0" w:type="auto"/>
            <w:vAlign w:val="center"/>
            <w:hideMark/>
          </w:tcPr>
          <w:p w14:paraId="32E025B5" w14:textId="77777777" w:rsidR="001C24E3" w:rsidRPr="00AF4120" w:rsidRDefault="001C24E3" w:rsidP="00281D71">
            <w:pPr>
              <w:pStyle w:val="NoSpacing"/>
              <w:rPr>
                <w:lang w:val="en-GB"/>
              </w:rPr>
            </w:pPr>
            <w:r w:rsidRPr="00AF4120">
              <w:rPr>
                <w:lang w:val="en-GB"/>
              </w:rPr>
              <w:t>0.516</w:t>
            </w:r>
          </w:p>
        </w:tc>
        <w:tc>
          <w:tcPr>
            <w:tcW w:w="0" w:type="auto"/>
            <w:vAlign w:val="center"/>
            <w:hideMark/>
          </w:tcPr>
          <w:p w14:paraId="5C135CE1" w14:textId="77777777" w:rsidR="001C24E3" w:rsidRPr="00AF4120" w:rsidRDefault="001C24E3" w:rsidP="00281D71">
            <w:pPr>
              <w:pStyle w:val="NoSpacing"/>
              <w:rPr>
                <w:lang w:val="en-GB"/>
              </w:rPr>
            </w:pPr>
            <w:r w:rsidRPr="00AF4120">
              <w:rPr>
                <w:lang w:val="en-GB"/>
              </w:rPr>
              <w:t>Equal training sensitivity and specificity</w:t>
            </w:r>
          </w:p>
        </w:tc>
        <w:tc>
          <w:tcPr>
            <w:tcW w:w="0" w:type="auto"/>
            <w:vAlign w:val="center"/>
            <w:hideMark/>
          </w:tcPr>
          <w:p w14:paraId="6DDF128E" w14:textId="77777777" w:rsidR="001C24E3" w:rsidRPr="00AF4120" w:rsidRDefault="001C24E3" w:rsidP="00281D71">
            <w:pPr>
              <w:pStyle w:val="NoSpacing"/>
              <w:rPr>
                <w:lang w:val="en-GB"/>
              </w:rPr>
            </w:pPr>
            <w:r w:rsidRPr="00AF4120">
              <w:rPr>
                <w:lang w:val="en-GB"/>
              </w:rPr>
              <w:t>0.418</w:t>
            </w:r>
          </w:p>
        </w:tc>
        <w:tc>
          <w:tcPr>
            <w:tcW w:w="0" w:type="auto"/>
            <w:vAlign w:val="center"/>
            <w:hideMark/>
          </w:tcPr>
          <w:p w14:paraId="21D7C43A" w14:textId="77777777" w:rsidR="001C24E3" w:rsidRPr="00AF4120" w:rsidRDefault="001C24E3" w:rsidP="00281D71">
            <w:pPr>
              <w:pStyle w:val="NoSpacing"/>
              <w:rPr>
                <w:lang w:val="en-GB"/>
              </w:rPr>
            </w:pPr>
            <w:r w:rsidRPr="00AF4120">
              <w:rPr>
                <w:lang w:val="en-GB"/>
              </w:rPr>
              <w:t>0.418</w:t>
            </w:r>
          </w:p>
        </w:tc>
      </w:tr>
      <w:tr w:rsidR="001C24E3" w:rsidRPr="00AF4120" w14:paraId="6ABA84CF" w14:textId="77777777" w:rsidTr="00281D71">
        <w:trPr>
          <w:tblCellSpacing w:w="15" w:type="dxa"/>
        </w:trPr>
        <w:tc>
          <w:tcPr>
            <w:tcW w:w="0" w:type="auto"/>
            <w:vAlign w:val="center"/>
            <w:hideMark/>
          </w:tcPr>
          <w:p w14:paraId="3E1D4802" w14:textId="77777777" w:rsidR="001C24E3" w:rsidRPr="00AF4120" w:rsidRDefault="001C24E3" w:rsidP="00281D71">
            <w:pPr>
              <w:pStyle w:val="NoSpacing"/>
              <w:rPr>
                <w:lang w:val="en-GB"/>
              </w:rPr>
            </w:pPr>
            <w:r w:rsidRPr="00AF4120">
              <w:rPr>
                <w:lang w:val="en-GB"/>
              </w:rPr>
              <w:t>13.386</w:t>
            </w:r>
          </w:p>
        </w:tc>
        <w:tc>
          <w:tcPr>
            <w:tcW w:w="0" w:type="auto"/>
            <w:vAlign w:val="center"/>
            <w:hideMark/>
          </w:tcPr>
          <w:p w14:paraId="046043C8" w14:textId="77777777" w:rsidR="001C24E3" w:rsidRPr="00AF4120" w:rsidRDefault="001C24E3" w:rsidP="00281D71">
            <w:pPr>
              <w:pStyle w:val="NoSpacing"/>
              <w:rPr>
                <w:lang w:val="en-GB"/>
              </w:rPr>
            </w:pPr>
            <w:r w:rsidRPr="00AF4120">
              <w:rPr>
                <w:lang w:val="en-GB"/>
              </w:rPr>
              <w:t>0.442</w:t>
            </w:r>
          </w:p>
        </w:tc>
        <w:tc>
          <w:tcPr>
            <w:tcW w:w="0" w:type="auto"/>
            <w:vAlign w:val="center"/>
            <w:hideMark/>
          </w:tcPr>
          <w:p w14:paraId="7C14F4F8" w14:textId="77777777" w:rsidR="001C24E3" w:rsidRPr="00AF4120" w:rsidRDefault="001C24E3" w:rsidP="00281D71">
            <w:pPr>
              <w:pStyle w:val="NoSpacing"/>
              <w:rPr>
                <w:lang w:val="en-GB"/>
              </w:rPr>
            </w:pPr>
            <w:r w:rsidRPr="00AF4120">
              <w:rPr>
                <w:lang w:val="en-GB"/>
              </w:rPr>
              <w:t>Maximum training sensitivity plus specificity</w:t>
            </w:r>
          </w:p>
        </w:tc>
        <w:tc>
          <w:tcPr>
            <w:tcW w:w="0" w:type="auto"/>
            <w:vAlign w:val="center"/>
            <w:hideMark/>
          </w:tcPr>
          <w:p w14:paraId="4B06B977" w14:textId="77777777" w:rsidR="001C24E3" w:rsidRPr="00AF4120" w:rsidRDefault="001C24E3" w:rsidP="00281D71">
            <w:pPr>
              <w:pStyle w:val="NoSpacing"/>
              <w:rPr>
                <w:lang w:val="en-GB"/>
              </w:rPr>
            </w:pPr>
            <w:r w:rsidRPr="00AF4120">
              <w:rPr>
                <w:lang w:val="en-GB"/>
              </w:rPr>
              <w:t>0.676</w:t>
            </w:r>
          </w:p>
        </w:tc>
        <w:tc>
          <w:tcPr>
            <w:tcW w:w="0" w:type="auto"/>
            <w:vAlign w:val="center"/>
            <w:hideMark/>
          </w:tcPr>
          <w:p w14:paraId="5C05EF4F" w14:textId="77777777" w:rsidR="001C24E3" w:rsidRPr="00AF4120" w:rsidRDefault="001C24E3" w:rsidP="00281D71">
            <w:pPr>
              <w:pStyle w:val="NoSpacing"/>
              <w:rPr>
                <w:lang w:val="en-GB"/>
              </w:rPr>
            </w:pPr>
            <w:r w:rsidRPr="00AF4120">
              <w:rPr>
                <w:lang w:val="en-GB"/>
              </w:rPr>
              <w:t>0.123</w:t>
            </w:r>
          </w:p>
        </w:tc>
      </w:tr>
      <w:tr w:rsidR="001C24E3" w:rsidRPr="00AF4120" w14:paraId="0C432D3E" w14:textId="77777777" w:rsidTr="00281D71">
        <w:trPr>
          <w:tblCellSpacing w:w="15" w:type="dxa"/>
        </w:trPr>
        <w:tc>
          <w:tcPr>
            <w:tcW w:w="0" w:type="auto"/>
            <w:vAlign w:val="center"/>
            <w:hideMark/>
          </w:tcPr>
          <w:p w14:paraId="1085F49C" w14:textId="77777777" w:rsidR="001C24E3" w:rsidRPr="00AF4120" w:rsidRDefault="001C24E3" w:rsidP="00281D71">
            <w:pPr>
              <w:pStyle w:val="NoSpacing"/>
              <w:rPr>
                <w:lang w:val="en-GB"/>
              </w:rPr>
            </w:pPr>
            <w:r w:rsidRPr="00AF4120">
              <w:rPr>
                <w:lang w:val="en-GB"/>
              </w:rPr>
              <w:lastRenderedPageBreak/>
              <w:t>0.698</w:t>
            </w:r>
          </w:p>
        </w:tc>
        <w:tc>
          <w:tcPr>
            <w:tcW w:w="0" w:type="auto"/>
            <w:vAlign w:val="center"/>
            <w:hideMark/>
          </w:tcPr>
          <w:p w14:paraId="7E05BE5D" w14:textId="77777777" w:rsidR="001C24E3" w:rsidRPr="00AF4120" w:rsidRDefault="001C24E3" w:rsidP="00281D71">
            <w:pPr>
              <w:pStyle w:val="NoSpacing"/>
              <w:rPr>
                <w:lang w:val="en-GB"/>
              </w:rPr>
            </w:pPr>
            <w:r w:rsidRPr="00AF4120">
              <w:rPr>
                <w:lang w:val="en-GB"/>
              </w:rPr>
              <w:t>0.158</w:t>
            </w:r>
          </w:p>
        </w:tc>
        <w:tc>
          <w:tcPr>
            <w:tcW w:w="0" w:type="auto"/>
            <w:vAlign w:val="center"/>
            <w:hideMark/>
          </w:tcPr>
          <w:p w14:paraId="3D64F0BE" w14:textId="77777777" w:rsidR="001C24E3" w:rsidRPr="00AF4120" w:rsidRDefault="001C24E3" w:rsidP="00281D71">
            <w:pPr>
              <w:pStyle w:val="NoSpacing"/>
              <w:rPr>
                <w:lang w:val="en-GB"/>
              </w:rPr>
            </w:pPr>
            <w:r w:rsidRPr="00AF4120">
              <w:rPr>
                <w:lang w:val="en-GB"/>
              </w:rPr>
              <w:t>Balance training omission, predicted area and threshold value</w:t>
            </w:r>
          </w:p>
        </w:tc>
        <w:tc>
          <w:tcPr>
            <w:tcW w:w="0" w:type="auto"/>
            <w:vAlign w:val="center"/>
            <w:hideMark/>
          </w:tcPr>
          <w:p w14:paraId="647485B5" w14:textId="77777777" w:rsidR="001C24E3" w:rsidRPr="00AF4120" w:rsidRDefault="001C24E3" w:rsidP="00281D71">
            <w:pPr>
              <w:pStyle w:val="NoSpacing"/>
              <w:rPr>
                <w:lang w:val="en-GB"/>
              </w:rPr>
            </w:pPr>
            <w:r w:rsidRPr="00AF4120">
              <w:rPr>
                <w:lang w:val="en-GB"/>
              </w:rPr>
              <w:t>0.891</w:t>
            </w:r>
          </w:p>
        </w:tc>
        <w:tc>
          <w:tcPr>
            <w:tcW w:w="0" w:type="auto"/>
            <w:vAlign w:val="center"/>
            <w:hideMark/>
          </w:tcPr>
          <w:p w14:paraId="653A650A" w14:textId="77777777" w:rsidR="001C24E3" w:rsidRPr="00AF4120" w:rsidRDefault="001C24E3" w:rsidP="00281D71">
            <w:pPr>
              <w:pStyle w:val="NoSpacing"/>
              <w:rPr>
                <w:lang w:val="en-GB"/>
              </w:rPr>
            </w:pPr>
            <w:r w:rsidRPr="00AF4120">
              <w:rPr>
                <w:lang w:val="en-GB"/>
              </w:rPr>
              <w:t>0.004</w:t>
            </w:r>
          </w:p>
        </w:tc>
      </w:tr>
      <w:tr w:rsidR="001C24E3" w:rsidRPr="00AF4120" w14:paraId="4CCD1E07" w14:textId="77777777" w:rsidTr="00281D71">
        <w:trPr>
          <w:tblCellSpacing w:w="15" w:type="dxa"/>
        </w:trPr>
        <w:tc>
          <w:tcPr>
            <w:tcW w:w="0" w:type="auto"/>
            <w:vAlign w:val="center"/>
            <w:hideMark/>
          </w:tcPr>
          <w:p w14:paraId="082B59A0" w14:textId="77777777" w:rsidR="001C24E3" w:rsidRPr="00AF4120" w:rsidRDefault="001C24E3" w:rsidP="00281D71">
            <w:pPr>
              <w:pStyle w:val="NoSpacing"/>
              <w:rPr>
                <w:lang w:val="en-GB"/>
              </w:rPr>
            </w:pPr>
            <w:r w:rsidRPr="00AF4120">
              <w:rPr>
                <w:lang w:val="en-GB"/>
              </w:rPr>
              <w:t>1.542</w:t>
            </w:r>
          </w:p>
        </w:tc>
        <w:tc>
          <w:tcPr>
            <w:tcW w:w="0" w:type="auto"/>
            <w:vAlign w:val="center"/>
            <w:hideMark/>
          </w:tcPr>
          <w:p w14:paraId="021A0826" w14:textId="77777777" w:rsidR="001C24E3" w:rsidRPr="00AF4120" w:rsidRDefault="001C24E3" w:rsidP="00281D71">
            <w:pPr>
              <w:pStyle w:val="NoSpacing"/>
              <w:rPr>
                <w:lang w:val="en-GB"/>
              </w:rPr>
            </w:pPr>
            <w:r w:rsidRPr="00AF4120">
              <w:rPr>
                <w:lang w:val="en-GB"/>
              </w:rPr>
              <w:t>0.221</w:t>
            </w:r>
          </w:p>
        </w:tc>
        <w:tc>
          <w:tcPr>
            <w:tcW w:w="0" w:type="auto"/>
            <w:vAlign w:val="center"/>
            <w:hideMark/>
          </w:tcPr>
          <w:p w14:paraId="3BB7560C" w14:textId="77777777" w:rsidR="001C24E3" w:rsidRPr="00AF4120" w:rsidRDefault="001C24E3" w:rsidP="00281D71">
            <w:pPr>
              <w:pStyle w:val="NoSpacing"/>
              <w:rPr>
                <w:lang w:val="en-GB"/>
              </w:rPr>
            </w:pPr>
            <w:r w:rsidRPr="00AF4120">
              <w:rPr>
                <w:lang w:val="en-GB"/>
              </w:rPr>
              <w:t xml:space="preserve">Equate entropy of </w:t>
            </w:r>
            <w:proofErr w:type="spellStart"/>
            <w:r w:rsidRPr="00AF4120">
              <w:rPr>
                <w:lang w:val="en-GB"/>
              </w:rPr>
              <w:t>thresholded</w:t>
            </w:r>
            <w:proofErr w:type="spellEnd"/>
            <w:r w:rsidRPr="00AF4120">
              <w:rPr>
                <w:lang w:val="en-GB"/>
              </w:rPr>
              <w:t xml:space="preserve"> and original distributions</w:t>
            </w:r>
          </w:p>
        </w:tc>
        <w:tc>
          <w:tcPr>
            <w:tcW w:w="0" w:type="auto"/>
            <w:vAlign w:val="center"/>
            <w:hideMark/>
          </w:tcPr>
          <w:p w14:paraId="036CE5B4" w14:textId="77777777" w:rsidR="001C24E3" w:rsidRPr="00AF4120" w:rsidRDefault="001C24E3" w:rsidP="00281D71">
            <w:pPr>
              <w:pStyle w:val="NoSpacing"/>
              <w:rPr>
                <w:lang w:val="en-GB"/>
              </w:rPr>
            </w:pPr>
            <w:r w:rsidRPr="00AF4120">
              <w:rPr>
                <w:lang w:val="en-GB"/>
              </w:rPr>
              <w:t>0.861</w:t>
            </w:r>
          </w:p>
        </w:tc>
        <w:tc>
          <w:tcPr>
            <w:tcW w:w="0" w:type="auto"/>
            <w:vAlign w:val="center"/>
            <w:hideMark/>
          </w:tcPr>
          <w:p w14:paraId="03B4DE9F" w14:textId="77777777" w:rsidR="001C24E3" w:rsidRPr="00AF4120" w:rsidRDefault="001C24E3" w:rsidP="00281D71">
            <w:pPr>
              <w:pStyle w:val="NoSpacing"/>
              <w:rPr>
                <w:lang w:val="en-GB"/>
              </w:rPr>
            </w:pPr>
            <w:r w:rsidRPr="00AF4120">
              <w:rPr>
                <w:lang w:val="en-GB"/>
              </w:rPr>
              <w:t>0.009</w:t>
            </w:r>
          </w:p>
        </w:tc>
      </w:tr>
    </w:tbl>
    <w:p w14:paraId="7405C915" w14:textId="484042FB" w:rsidR="001C24E3" w:rsidRDefault="001C24E3" w:rsidP="001C24E3">
      <w:pPr>
        <w:rPr>
          <w:lang w:val="en-GB"/>
        </w:rPr>
      </w:pPr>
    </w:p>
    <w:p w14:paraId="6456718C" w14:textId="6131A7AE" w:rsidR="0034190E" w:rsidRDefault="0034190E" w:rsidP="001C24E3">
      <w:pPr>
        <w:rPr>
          <w:lang w:val="en-GB"/>
        </w:rPr>
      </w:pPr>
      <w:r>
        <w:rPr>
          <w:lang w:val="en-GB"/>
        </w:rPr>
        <w:t xml:space="preserve">The graph below shows the </w:t>
      </w:r>
      <w:r>
        <w:t>m</w:t>
      </w:r>
      <w:r w:rsidRPr="00BD19BA">
        <w:t>arginal response curves</w:t>
      </w:r>
      <w:r>
        <w:t xml:space="preserve"> which show how each environmental variable affects the Maxent prediction</w:t>
      </w:r>
    </w:p>
    <w:p w14:paraId="256D8E9A" w14:textId="5D03018C" w:rsidR="001C24E3" w:rsidRDefault="001C24E3" w:rsidP="001C24E3">
      <w:pPr>
        <w:rPr>
          <w:color w:val="000000"/>
          <w:sz w:val="27"/>
          <w:szCs w:val="27"/>
        </w:rPr>
      </w:pPr>
      <w:r>
        <w:rPr>
          <w:noProof/>
          <w:color w:val="0000FF"/>
          <w:sz w:val="27"/>
          <w:szCs w:val="27"/>
        </w:rPr>
        <w:drawing>
          <wp:inline distT="0" distB="0" distL="0" distR="0" wp14:anchorId="1E2BAE03" wp14:editId="0CBF7692">
            <wp:extent cx="2000250" cy="1333500"/>
            <wp:effectExtent l="0" t="0" r="0" b="0"/>
            <wp:docPr id="13" name="Picture 13" descr="C:\Users\Surendra\Desktop\Methods in biodiversity analysis\SDM\MAXENT\Results\plots\Zea_mays__bio1_thumb.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urendra\Desktop\Methods in biodiversity analysis\SDM\MAXENT\Results\plots\Zea_mays__bio1_thumb.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00250" cy="1333500"/>
                    </a:xfrm>
                    <a:prstGeom prst="rect">
                      <a:avLst/>
                    </a:prstGeom>
                    <a:noFill/>
                    <a:ln>
                      <a:noFill/>
                    </a:ln>
                  </pic:spPr>
                </pic:pic>
              </a:graphicData>
            </a:graphic>
          </wp:inline>
        </w:drawing>
      </w:r>
      <w:r>
        <w:rPr>
          <w:color w:val="000000"/>
          <w:sz w:val="27"/>
          <w:szCs w:val="27"/>
        </w:rPr>
        <w:t> </w:t>
      </w:r>
      <w:r>
        <w:rPr>
          <w:noProof/>
          <w:color w:val="0000FF"/>
          <w:sz w:val="27"/>
          <w:szCs w:val="27"/>
        </w:rPr>
        <w:drawing>
          <wp:inline distT="0" distB="0" distL="0" distR="0" wp14:anchorId="28346B79" wp14:editId="7E0BCFC7">
            <wp:extent cx="2000250" cy="1333500"/>
            <wp:effectExtent l="0" t="0" r="0" b="0"/>
            <wp:docPr id="12" name="Picture 12" descr="C:\Users\Surendra\Desktop\Methods in biodiversity analysis\SDM\MAXENT\Results\plots\Zea_mays__bio12_thumb.pn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urendra\Desktop\Methods in biodiversity analysis\SDM\MAXENT\Results\plots\Zea_mays__bio12_thumb.png">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0250" cy="1333500"/>
                    </a:xfrm>
                    <a:prstGeom prst="rect">
                      <a:avLst/>
                    </a:prstGeom>
                    <a:noFill/>
                    <a:ln>
                      <a:noFill/>
                    </a:ln>
                  </pic:spPr>
                </pic:pic>
              </a:graphicData>
            </a:graphic>
          </wp:inline>
        </w:drawing>
      </w:r>
      <w:r>
        <w:rPr>
          <w:color w:val="000000"/>
          <w:sz w:val="27"/>
          <w:szCs w:val="27"/>
        </w:rPr>
        <w:t> </w:t>
      </w:r>
      <w:r>
        <w:rPr>
          <w:noProof/>
          <w:color w:val="0000FF"/>
          <w:sz w:val="27"/>
          <w:szCs w:val="27"/>
        </w:rPr>
        <w:drawing>
          <wp:inline distT="0" distB="0" distL="0" distR="0" wp14:anchorId="262F08CB" wp14:editId="75712531">
            <wp:extent cx="2000250" cy="1333500"/>
            <wp:effectExtent l="0" t="0" r="0" b="0"/>
            <wp:docPr id="11" name="Picture 11" descr="C:\Users\Surendra\Desktop\Methods in biodiversity analysis\SDM\MAXENT\Results\plots\Zea_mays__bio15_thumb.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urendra\Desktop\Methods in biodiversity analysis\SDM\MAXENT\Results\plots\Zea_mays__bio15_thumb.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00250" cy="1333500"/>
                    </a:xfrm>
                    <a:prstGeom prst="rect">
                      <a:avLst/>
                    </a:prstGeom>
                    <a:noFill/>
                    <a:ln>
                      <a:noFill/>
                    </a:ln>
                  </pic:spPr>
                </pic:pic>
              </a:graphicData>
            </a:graphic>
          </wp:inline>
        </w:drawing>
      </w:r>
      <w:r>
        <w:rPr>
          <w:color w:val="000000"/>
          <w:sz w:val="27"/>
          <w:szCs w:val="27"/>
        </w:rPr>
        <w:t> </w:t>
      </w:r>
      <w:r>
        <w:rPr>
          <w:noProof/>
          <w:color w:val="0000FF"/>
          <w:sz w:val="27"/>
          <w:szCs w:val="27"/>
        </w:rPr>
        <w:drawing>
          <wp:inline distT="0" distB="0" distL="0" distR="0" wp14:anchorId="10ACB3A7" wp14:editId="4C74C20B">
            <wp:extent cx="2000250" cy="1333500"/>
            <wp:effectExtent l="0" t="0" r="0" b="0"/>
            <wp:docPr id="10" name="Picture 10" descr="C:\Users\Surendra\Desktop\Methods in biodiversity analysis\SDM\MAXENT\Results\plots\Zea_mays__bio2_thumb.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urendra\Desktop\Methods in biodiversity analysis\SDM\MAXENT\Results\plots\Zea_mays__bio2_thumb.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00250" cy="1333500"/>
                    </a:xfrm>
                    <a:prstGeom prst="rect">
                      <a:avLst/>
                    </a:prstGeom>
                    <a:noFill/>
                    <a:ln>
                      <a:noFill/>
                    </a:ln>
                  </pic:spPr>
                </pic:pic>
              </a:graphicData>
            </a:graphic>
          </wp:inline>
        </w:drawing>
      </w:r>
      <w:r>
        <w:rPr>
          <w:color w:val="000000"/>
          <w:sz w:val="27"/>
          <w:szCs w:val="27"/>
        </w:rPr>
        <w:t> </w:t>
      </w:r>
    </w:p>
    <w:p w14:paraId="575F4268" w14:textId="6F765F73" w:rsidR="0034190E" w:rsidRDefault="0034190E" w:rsidP="001C24E3">
      <w:pPr>
        <w:rPr>
          <w:color w:val="000000"/>
          <w:sz w:val="27"/>
          <w:szCs w:val="27"/>
        </w:rPr>
      </w:pPr>
      <w:r>
        <w:t xml:space="preserve">The response curves below represent a different </w:t>
      </w:r>
      <w:r w:rsidRPr="00BD19BA">
        <w:t>Maxent model created using only the corresponding variable</w:t>
      </w:r>
    </w:p>
    <w:p w14:paraId="7F3B75FD" w14:textId="77777777" w:rsidR="001C24E3" w:rsidRDefault="001C24E3" w:rsidP="001C24E3">
      <w:r>
        <w:rPr>
          <w:noProof/>
          <w:color w:val="0000FF"/>
          <w:sz w:val="27"/>
          <w:szCs w:val="27"/>
        </w:rPr>
        <w:drawing>
          <wp:inline distT="0" distB="0" distL="0" distR="0" wp14:anchorId="3644F890" wp14:editId="0F007A9E">
            <wp:extent cx="2000250" cy="1333500"/>
            <wp:effectExtent l="0" t="0" r="0" b="0"/>
            <wp:docPr id="17" name="Picture 17" descr="C:\Users\Surendra\Desktop\Methods in biodiversity analysis\SDM\MAXENT\Results\plots\Zea_mays__bio1_only_thumb.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urendra\Desktop\Methods in biodiversity analysis\SDM\MAXENT\Results\plots\Zea_mays__bio1_only_thumb.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00250" cy="1333500"/>
                    </a:xfrm>
                    <a:prstGeom prst="rect">
                      <a:avLst/>
                    </a:prstGeom>
                    <a:noFill/>
                    <a:ln>
                      <a:noFill/>
                    </a:ln>
                  </pic:spPr>
                </pic:pic>
              </a:graphicData>
            </a:graphic>
          </wp:inline>
        </w:drawing>
      </w:r>
      <w:r>
        <w:rPr>
          <w:color w:val="000000"/>
          <w:sz w:val="27"/>
          <w:szCs w:val="27"/>
        </w:rPr>
        <w:t> </w:t>
      </w:r>
      <w:r>
        <w:rPr>
          <w:noProof/>
          <w:color w:val="0000FF"/>
          <w:sz w:val="27"/>
          <w:szCs w:val="27"/>
        </w:rPr>
        <w:drawing>
          <wp:inline distT="0" distB="0" distL="0" distR="0" wp14:anchorId="206CABC2" wp14:editId="0405F956">
            <wp:extent cx="2000250" cy="1333500"/>
            <wp:effectExtent l="0" t="0" r="0" b="0"/>
            <wp:docPr id="16" name="Picture 16" descr="C:\Users\Surendra\Desktop\Methods in biodiversity analysis\SDM\MAXENT\Results\plots\Zea_mays__bio12_only_thumb.p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Surendra\Desktop\Methods in biodiversity analysis\SDM\MAXENT\Results\plots\Zea_mays__bio12_only_thumb.p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00250" cy="1333500"/>
                    </a:xfrm>
                    <a:prstGeom prst="rect">
                      <a:avLst/>
                    </a:prstGeom>
                    <a:noFill/>
                    <a:ln>
                      <a:noFill/>
                    </a:ln>
                  </pic:spPr>
                </pic:pic>
              </a:graphicData>
            </a:graphic>
          </wp:inline>
        </w:drawing>
      </w:r>
      <w:r>
        <w:rPr>
          <w:color w:val="000000"/>
          <w:sz w:val="27"/>
          <w:szCs w:val="27"/>
        </w:rPr>
        <w:t> </w:t>
      </w:r>
      <w:r>
        <w:rPr>
          <w:noProof/>
          <w:color w:val="0000FF"/>
          <w:sz w:val="27"/>
          <w:szCs w:val="27"/>
        </w:rPr>
        <w:drawing>
          <wp:inline distT="0" distB="0" distL="0" distR="0" wp14:anchorId="743B1322" wp14:editId="1959F6B7">
            <wp:extent cx="2000250" cy="1333500"/>
            <wp:effectExtent l="0" t="0" r="0" b="0"/>
            <wp:docPr id="15" name="Picture 15" descr="C:\Users\Surendra\Desktop\Methods in biodiversity analysis\SDM\MAXENT\Results\plots\Zea_mays__bio15_only_thumb.p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Surendra\Desktop\Methods in biodiversity analysis\SDM\MAXENT\Results\plots\Zea_mays__bio15_only_thumb.p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0" cy="1333500"/>
                    </a:xfrm>
                    <a:prstGeom prst="rect">
                      <a:avLst/>
                    </a:prstGeom>
                    <a:noFill/>
                    <a:ln>
                      <a:noFill/>
                    </a:ln>
                  </pic:spPr>
                </pic:pic>
              </a:graphicData>
            </a:graphic>
          </wp:inline>
        </w:drawing>
      </w:r>
      <w:r>
        <w:rPr>
          <w:color w:val="000000"/>
          <w:sz w:val="27"/>
          <w:szCs w:val="27"/>
        </w:rPr>
        <w:t> </w:t>
      </w:r>
      <w:r>
        <w:rPr>
          <w:noProof/>
          <w:color w:val="0000FF"/>
          <w:sz w:val="27"/>
          <w:szCs w:val="27"/>
        </w:rPr>
        <w:drawing>
          <wp:inline distT="0" distB="0" distL="0" distR="0" wp14:anchorId="2B5A8B98" wp14:editId="4BAA1A23">
            <wp:extent cx="2000250" cy="1333500"/>
            <wp:effectExtent l="0" t="0" r="0" b="0"/>
            <wp:docPr id="14" name="Picture 14" descr="C:\Users\Surendra\Desktop\Methods in biodiversity analysis\SDM\MAXENT\Results\plots\Zea_mays__bio2_only_thumb.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Surendra\Desktop\Methods in biodiversity analysis\SDM\MAXENT\Results\plots\Zea_mays__bio2_only_thumb.png">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00250" cy="1333500"/>
                    </a:xfrm>
                    <a:prstGeom prst="rect">
                      <a:avLst/>
                    </a:prstGeom>
                    <a:noFill/>
                    <a:ln>
                      <a:noFill/>
                    </a:ln>
                  </pic:spPr>
                </pic:pic>
              </a:graphicData>
            </a:graphic>
          </wp:inline>
        </w:drawing>
      </w:r>
      <w:r>
        <w:rPr>
          <w:color w:val="000000"/>
          <w:sz w:val="27"/>
          <w:szCs w:val="27"/>
        </w:rPr>
        <w:t> </w:t>
      </w:r>
    </w:p>
    <w:p w14:paraId="6A688069" w14:textId="77777777" w:rsidR="001C24E3" w:rsidRPr="001C24E3" w:rsidRDefault="001C24E3" w:rsidP="001C24E3"/>
    <w:sectPr w:rsidR="001C24E3" w:rsidRPr="001C24E3">
      <w:footerReference w:type="default" r:id="rId2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75139" w14:textId="77777777" w:rsidR="002312E8" w:rsidRDefault="002312E8" w:rsidP="00040504">
      <w:pPr>
        <w:spacing w:after="0" w:line="240" w:lineRule="auto"/>
      </w:pPr>
      <w:r>
        <w:separator/>
      </w:r>
    </w:p>
  </w:endnote>
  <w:endnote w:type="continuationSeparator" w:id="0">
    <w:p w14:paraId="1AF51F27" w14:textId="77777777" w:rsidR="002312E8" w:rsidRDefault="002312E8" w:rsidP="00040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6863507"/>
      <w:docPartObj>
        <w:docPartGallery w:val="Page Numbers (Bottom of Page)"/>
        <w:docPartUnique/>
      </w:docPartObj>
    </w:sdtPr>
    <w:sdtEndPr>
      <w:rPr>
        <w:noProof/>
      </w:rPr>
    </w:sdtEndPr>
    <w:sdtContent>
      <w:p w14:paraId="77FD978F" w14:textId="2AC70B9C" w:rsidR="00040504" w:rsidRDefault="000405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1C85F7" w14:textId="77777777" w:rsidR="00040504" w:rsidRDefault="000405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246FF8" w14:textId="77777777" w:rsidR="002312E8" w:rsidRDefault="002312E8" w:rsidP="00040504">
      <w:pPr>
        <w:spacing w:after="0" w:line="240" w:lineRule="auto"/>
      </w:pPr>
      <w:r>
        <w:separator/>
      </w:r>
    </w:p>
  </w:footnote>
  <w:footnote w:type="continuationSeparator" w:id="0">
    <w:p w14:paraId="43063AE0" w14:textId="77777777" w:rsidR="002312E8" w:rsidRDefault="002312E8" w:rsidP="000405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4E3"/>
    <w:rsid w:val="00040504"/>
    <w:rsid w:val="00040F15"/>
    <w:rsid w:val="0005092F"/>
    <w:rsid w:val="00056E8B"/>
    <w:rsid w:val="000630E0"/>
    <w:rsid w:val="0008388E"/>
    <w:rsid w:val="000E0567"/>
    <w:rsid w:val="00161A98"/>
    <w:rsid w:val="001812F4"/>
    <w:rsid w:val="00182631"/>
    <w:rsid w:val="001C24E3"/>
    <w:rsid w:val="001D1EE4"/>
    <w:rsid w:val="001D63AF"/>
    <w:rsid w:val="002312E8"/>
    <w:rsid w:val="00254583"/>
    <w:rsid w:val="00256CE3"/>
    <w:rsid w:val="002C0C0C"/>
    <w:rsid w:val="002D3A1A"/>
    <w:rsid w:val="00337714"/>
    <w:rsid w:val="0034190E"/>
    <w:rsid w:val="00380E06"/>
    <w:rsid w:val="00387E7F"/>
    <w:rsid w:val="003C1F3E"/>
    <w:rsid w:val="003D69A6"/>
    <w:rsid w:val="004012F3"/>
    <w:rsid w:val="00436607"/>
    <w:rsid w:val="00441B43"/>
    <w:rsid w:val="004908B6"/>
    <w:rsid w:val="004F6AA8"/>
    <w:rsid w:val="0050533F"/>
    <w:rsid w:val="00547D04"/>
    <w:rsid w:val="00547E2F"/>
    <w:rsid w:val="00564115"/>
    <w:rsid w:val="0056626B"/>
    <w:rsid w:val="005705F1"/>
    <w:rsid w:val="005A006A"/>
    <w:rsid w:val="005B0B5E"/>
    <w:rsid w:val="005B37D7"/>
    <w:rsid w:val="005D2171"/>
    <w:rsid w:val="005D490F"/>
    <w:rsid w:val="00612A9A"/>
    <w:rsid w:val="00723A4C"/>
    <w:rsid w:val="00765104"/>
    <w:rsid w:val="00785C48"/>
    <w:rsid w:val="009F6536"/>
    <w:rsid w:val="00A04D02"/>
    <w:rsid w:val="00A8182A"/>
    <w:rsid w:val="00AA112F"/>
    <w:rsid w:val="00AA72EF"/>
    <w:rsid w:val="00AB4906"/>
    <w:rsid w:val="00AF1BC4"/>
    <w:rsid w:val="00B03F3A"/>
    <w:rsid w:val="00B34B87"/>
    <w:rsid w:val="00B562E6"/>
    <w:rsid w:val="00B601F6"/>
    <w:rsid w:val="00C60B54"/>
    <w:rsid w:val="00C96BFA"/>
    <w:rsid w:val="00CB50F7"/>
    <w:rsid w:val="00CD7781"/>
    <w:rsid w:val="00D05525"/>
    <w:rsid w:val="00D57F65"/>
    <w:rsid w:val="00D8114D"/>
    <w:rsid w:val="00D965AF"/>
    <w:rsid w:val="00DE7A4C"/>
    <w:rsid w:val="00E67F80"/>
    <w:rsid w:val="00E76073"/>
    <w:rsid w:val="00E96CBB"/>
    <w:rsid w:val="00ED3565"/>
    <w:rsid w:val="00ED3B79"/>
    <w:rsid w:val="00F24F63"/>
    <w:rsid w:val="00F26CAE"/>
    <w:rsid w:val="00F464C3"/>
    <w:rsid w:val="00F71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BFE38"/>
  <w15:chartTrackingRefBased/>
  <w15:docId w15:val="{43FE9D5A-66D2-477C-8E23-D376D073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C24E3"/>
  </w:style>
  <w:style w:type="paragraph" w:styleId="Heading1">
    <w:name w:val="heading 1"/>
    <w:basedOn w:val="Normal"/>
    <w:next w:val="Normal"/>
    <w:link w:val="Heading1Char"/>
    <w:uiPriority w:val="9"/>
    <w:qFormat/>
    <w:rsid w:val="00AA11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C24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1C24E3"/>
    <w:rPr>
      <w:rFonts w:ascii="Courier New" w:eastAsia="Times New Roman" w:hAnsi="Courier New" w:cs="Courier New"/>
      <w:sz w:val="20"/>
      <w:szCs w:val="20"/>
      <w:lang w:val="en-GB" w:eastAsia="en-GB"/>
    </w:rPr>
  </w:style>
  <w:style w:type="character" w:customStyle="1" w:styleId="gnkrckgcgsb">
    <w:name w:val="gnkrckgcgsb"/>
    <w:basedOn w:val="DefaultParagraphFont"/>
    <w:rsid w:val="001C24E3"/>
  </w:style>
  <w:style w:type="paragraph" w:styleId="NoSpacing">
    <w:name w:val="No Spacing"/>
    <w:uiPriority w:val="1"/>
    <w:qFormat/>
    <w:rsid w:val="001C24E3"/>
    <w:pPr>
      <w:spacing w:after="0" w:line="240" w:lineRule="auto"/>
    </w:pPr>
  </w:style>
  <w:style w:type="character" w:customStyle="1" w:styleId="Heading1Char">
    <w:name w:val="Heading 1 Char"/>
    <w:basedOn w:val="DefaultParagraphFont"/>
    <w:link w:val="Heading1"/>
    <w:uiPriority w:val="9"/>
    <w:rsid w:val="00AA112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405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0504"/>
  </w:style>
  <w:style w:type="paragraph" w:styleId="Footer">
    <w:name w:val="footer"/>
    <w:basedOn w:val="Normal"/>
    <w:link w:val="FooterChar"/>
    <w:uiPriority w:val="99"/>
    <w:unhideWhenUsed/>
    <w:rsid w:val="000405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0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png"/><Relationship Id="rId18" Type="http://schemas.openxmlformats.org/officeDocument/2006/relationships/hyperlink" Target="file:///C:\Users\Surendra\Desktop\Methods%20in%20biodiversity%20analysis\SDM\MAXENT\Results\plots\Zea_mays__bio2.png" TargetMode="External"/><Relationship Id="rId26" Type="http://schemas.openxmlformats.org/officeDocument/2006/relationships/hyperlink" Target="file:///C:\Users\Surendra\Desktop\Methods%20in%20biodiversity%20analysis\SDM\MAXENT\Results\plots\Zea_mays__bio2_only.png" TargetMode="Externa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hyperlink" Target="file:///C:\Users\Surendra\Desktop\Methods%20in%20biodiversity%20analysis\SDM\MAXENT\Results\plots\Zea_mays__bio1.png" TargetMode="External"/><Relationship Id="rId17" Type="http://schemas.openxmlformats.org/officeDocument/2006/relationships/image" Target="media/image8.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file:///C:\Users\Surendra\Desktop\Methods%20in%20biodiversity%20analysis\SDM\MAXENT\Results\plots\Zea_mays__bio15.png" TargetMode="External"/><Relationship Id="rId20" Type="http://schemas.openxmlformats.org/officeDocument/2006/relationships/hyperlink" Target="file:///C:\Users\Surendra\Desktop\Methods%20in%20biodiversity%20analysis\SDM\MAXENT\Results\plots\Zea_mays__bio1_only.png"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file:///C:\Users\Surendra\Desktop\Methods%20in%20biodiversity%20analysis\SDM\MAXENT\Results\plots\Zea_mays__bio15_only.png"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1.png"/><Relationship Id="rId28" Type="http://schemas.openxmlformats.org/officeDocument/2006/relationships/footer" Target="footer1.xml"/><Relationship Id="rId10" Type="http://schemas.openxmlformats.org/officeDocument/2006/relationships/image" Target="media/image4.emf"/><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file:///C:\Users\Surendra\Desktop\Methods%20in%20biodiversity%20analysis\SDM\MAXENT\Results\plots\Zea_mays__bio12.png" TargetMode="External"/><Relationship Id="rId22" Type="http://schemas.openxmlformats.org/officeDocument/2006/relationships/hyperlink" Target="file:///C:\Users\Surendra\Desktop\Methods%20in%20biodiversity%20analysis\SDM\MAXENT\Results\plots\Zea_mays__bio12_only.png" TargetMode="External"/><Relationship Id="rId27" Type="http://schemas.openxmlformats.org/officeDocument/2006/relationships/image" Target="media/image1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CB075-4F1C-4168-A882-CDB5D5A2D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9</Pages>
  <Words>5569</Words>
  <Characters>31745</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dc:creator>
  <cp:keywords/>
  <dc:description/>
  <cp:lastModifiedBy>Surendra</cp:lastModifiedBy>
  <cp:revision>2</cp:revision>
  <cp:lastPrinted>2018-12-09T14:29:00Z</cp:lastPrinted>
  <dcterms:created xsi:type="dcterms:W3CDTF">2018-12-11T20:11:00Z</dcterms:created>
  <dcterms:modified xsi:type="dcterms:W3CDTF">2018-12-11T20:11:00Z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http://csl.mendeley.com/styles/506833561/apa</vt:lpwstr>
  </property>
  <property fmtid="{D5CDD505-2E9C-101B-9397-08002B2CF9AE}" pid="9" name="Mendeley Recent Style Name 3_1">
    <vt:lpwstr>American Psychological Association 6th edition - Surendra  Balraadjsing</vt:lpwstr>
  </property>
  <property fmtid="{D5CDD505-2E9C-101B-9397-08002B2CF9AE}" pid="10" name="Mendeley Recent Style Id 4_1">
    <vt:lpwstr>http://www.zotero.org/styles/american-sociological-association</vt:lpwstr>
  </property>
  <property fmtid="{D5CDD505-2E9C-101B-9397-08002B2CF9AE}" pid="11" name="Mendeley Recent Style Name 4_1">
    <vt:lpwstr>American Sociological Association</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10th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http://www.zotero.org/styles/modern-language-association</vt:lpwstr>
  </property>
  <property fmtid="{D5CDD505-2E9C-101B-9397-08002B2CF9AE}" pid="21" name="Mendeley Recent Style Name 9_1">
    <vt:lpwstr>Modern Language Association 8th edition</vt:lpwstr>
  </property>
  <property fmtid="{D5CDD505-2E9C-101B-9397-08002B2CF9AE}" pid="22" name="Mendeley Document_1">
    <vt:lpwstr>True</vt:lpwstr>
  </property>
  <property fmtid="{D5CDD505-2E9C-101B-9397-08002B2CF9AE}" pid="23" name="Mendeley Unique User Id_1">
    <vt:lpwstr>27cf61fc-0e76-315e-9949-fcbc53c843c1</vt:lpwstr>
  </property>
  <property fmtid="{D5CDD505-2E9C-101B-9397-08002B2CF9AE}" pid="24" name="Mendeley Citation Style_1">
    <vt:lpwstr>http://csl.mendeley.com/styles/506833561/apa</vt:lpwstr>
  </property>
</Properties>
</file>