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90A" w:rsidRPr="0001490A" w:rsidRDefault="0001490A" w:rsidP="001C277F">
      <w:pPr>
        <w:rPr>
          <w:lang w:val="en-US"/>
        </w:rPr>
      </w:pPr>
      <w:bookmarkStart w:id="0" w:name="_Hlk532136448"/>
      <w:bookmarkEnd w:id="0"/>
      <w:r w:rsidRPr="0001490A">
        <w:rPr>
          <w:sz w:val="52"/>
          <w:szCs w:val="52"/>
          <w:lang w:val="en-US"/>
        </w:rPr>
        <w:t>Report of the SDM practical</w:t>
      </w:r>
      <w:r>
        <w:rPr>
          <w:lang w:val="en-US"/>
        </w:rPr>
        <w:br/>
        <w:t>Cas Dekker</w:t>
      </w:r>
      <w:r>
        <w:rPr>
          <w:lang w:val="en-US"/>
        </w:rPr>
        <w:tab/>
        <w:t>s1649353</w:t>
      </w:r>
      <w:r>
        <w:rPr>
          <w:lang w:val="en-US"/>
        </w:rPr>
        <w:tab/>
        <w:t>9-12-2018</w:t>
      </w:r>
    </w:p>
    <w:p w:rsidR="001715E4" w:rsidRDefault="001C277F">
      <w:pPr>
        <w:rPr>
          <w:lang w:val="en-US"/>
        </w:rPr>
      </w:pPr>
      <w:r w:rsidRPr="001C277F">
        <w:rPr>
          <w:sz w:val="36"/>
          <w:szCs w:val="36"/>
          <w:lang w:val="en-US"/>
        </w:rPr>
        <w:t>Introduction:</w:t>
      </w:r>
      <w:r>
        <w:rPr>
          <w:lang w:val="en-US"/>
        </w:rPr>
        <w:br/>
        <w:t xml:space="preserve">Pineapple or botanically known as </w:t>
      </w:r>
      <w:proofErr w:type="spellStart"/>
      <w:r>
        <w:rPr>
          <w:i/>
          <w:lang w:val="en-US"/>
        </w:rPr>
        <w:t>Ananas</w:t>
      </w:r>
      <w:proofErr w:type="spellEnd"/>
      <w:r>
        <w:rPr>
          <w:i/>
          <w:lang w:val="en-US"/>
        </w:rPr>
        <w:t xml:space="preserve"> </w:t>
      </w:r>
      <w:proofErr w:type="spellStart"/>
      <w:r>
        <w:rPr>
          <w:i/>
          <w:lang w:val="en-US"/>
        </w:rPr>
        <w:t>comosus</w:t>
      </w:r>
      <w:proofErr w:type="spellEnd"/>
      <w:r w:rsidR="0001490A">
        <w:rPr>
          <w:lang w:val="en-US"/>
        </w:rPr>
        <w:t xml:space="preserve">(from here on referred to as </w:t>
      </w:r>
      <w:r w:rsidR="0001490A" w:rsidRPr="0001490A">
        <w:rPr>
          <w:i/>
          <w:lang w:val="en-US"/>
        </w:rPr>
        <w:t xml:space="preserve">A. </w:t>
      </w:r>
      <w:proofErr w:type="spellStart"/>
      <w:r w:rsidR="0001490A" w:rsidRPr="0001490A">
        <w:rPr>
          <w:i/>
          <w:lang w:val="en-US"/>
        </w:rPr>
        <w:t>comosus</w:t>
      </w:r>
      <w:proofErr w:type="spellEnd"/>
      <w:r w:rsidR="0001490A">
        <w:rPr>
          <w:lang w:val="en-US"/>
        </w:rPr>
        <w:t>)</w:t>
      </w:r>
      <w:r>
        <w:rPr>
          <w:i/>
          <w:lang w:val="en-US"/>
        </w:rPr>
        <w:t xml:space="preserve"> </w:t>
      </w:r>
      <w:r>
        <w:rPr>
          <w:lang w:val="en-US"/>
        </w:rPr>
        <w:t xml:space="preserve">is part of the plant family </w:t>
      </w:r>
      <w:proofErr w:type="spellStart"/>
      <w:r>
        <w:rPr>
          <w:lang w:val="en-US"/>
        </w:rPr>
        <w:t>Bromeliaceae</w:t>
      </w:r>
      <w:proofErr w:type="spellEnd"/>
      <w:r>
        <w:rPr>
          <w:lang w:val="en-US"/>
        </w:rPr>
        <w:t xml:space="preserve"> and is regarded is the most important edible member of the family(Morton, J. ,1987).</w:t>
      </w:r>
    </w:p>
    <w:p w:rsidR="008E28EA" w:rsidRPr="008E28EA" w:rsidRDefault="008E28EA" w:rsidP="008E28EA">
      <w:pPr>
        <w:rPr>
          <w:lang w:val="en-US"/>
        </w:rPr>
      </w:pPr>
      <w:r w:rsidRPr="008E28EA">
        <w:rPr>
          <w:lang w:val="en-US"/>
        </w:rPr>
        <w:t xml:space="preserve">The genus </w:t>
      </w:r>
      <w:proofErr w:type="spellStart"/>
      <w:r w:rsidRPr="008E28EA">
        <w:rPr>
          <w:lang w:val="en-US"/>
        </w:rPr>
        <w:t>Ananas</w:t>
      </w:r>
      <w:proofErr w:type="spellEnd"/>
      <w:r w:rsidRPr="008E28EA">
        <w:rPr>
          <w:lang w:val="en-US"/>
        </w:rPr>
        <w:t xml:space="preserve"> is characterized by foliaceous scape bracts which are less successful in attracting pollinators like the conspicuous, non-foliaceous ones of other members of the </w:t>
      </w:r>
      <w:proofErr w:type="spellStart"/>
      <w:r w:rsidRPr="008E28EA">
        <w:rPr>
          <w:lang w:val="en-US"/>
        </w:rPr>
        <w:t>bromeliaceae</w:t>
      </w:r>
      <w:proofErr w:type="spellEnd"/>
      <w:r w:rsidRPr="008E28EA">
        <w:rPr>
          <w:lang w:val="en-US"/>
        </w:rPr>
        <w:t xml:space="preserve"> family. </w:t>
      </w:r>
      <w:r w:rsidRPr="008E28EA">
        <w:rPr>
          <w:lang w:val="en-US"/>
        </w:rPr>
        <w:br/>
        <w:t xml:space="preserve">Because of this sexual reproduction will be reduced. Therefore, a well-developed apical coma has evolved in the genus </w:t>
      </w:r>
      <w:proofErr w:type="spellStart"/>
      <w:r w:rsidRPr="008E28EA">
        <w:rPr>
          <w:lang w:val="en-US"/>
        </w:rPr>
        <w:t>Ananas</w:t>
      </w:r>
      <w:proofErr w:type="spellEnd"/>
      <w:r w:rsidRPr="008E28EA">
        <w:rPr>
          <w:lang w:val="en-US"/>
        </w:rPr>
        <w:t xml:space="preserve">, which acts as an additional vegetative propagule for vegetative </w:t>
      </w:r>
      <w:r>
        <w:rPr>
          <w:lang w:val="en-US"/>
        </w:rPr>
        <w:t>reproduction(</w:t>
      </w:r>
      <w:proofErr w:type="spellStart"/>
      <w:r w:rsidRPr="008E28EA">
        <w:rPr>
          <w:color w:val="000000"/>
          <w:shd w:val="clear" w:color="auto" w:fill="FFFFFF"/>
          <w:lang w:val="en-US"/>
        </w:rPr>
        <w:t>Matuszak-Renger</w:t>
      </w:r>
      <w:proofErr w:type="spellEnd"/>
      <w:r>
        <w:rPr>
          <w:color w:val="000000"/>
          <w:shd w:val="clear" w:color="auto" w:fill="FFFFFF"/>
          <w:lang w:val="en-US"/>
        </w:rPr>
        <w:t>, et al. 2018)</w:t>
      </w:r>
      <w:r w:rsidR="0001490A">
        <w:rPr>
          <w:color w:val="000000"/>
          <w:shd w:val="clear" w:color="auto" w:fill="FFFFFF"/>
          <w:lang w:val="en-US"/>
        </w:rPr>
        <w:t>.</w:t>
      </w:r>
    </w:p>
    <w:p w:rsidR="008E28EA" w:rsidRDefault="007B1E34" w:rsidP="007B1E34">
      <w:pPr>
        <w:rPr>
          <w:lang w:val="en-US"/>
        </w:rPr>
      </w:pPr>
      <w:r w:rsidRPr="001715E4">
        <w:rPr>
          <w:noProof/>
          <w:lang w:val="en-US"/>
        </w:rPr>
        <mc:AlternateContent>
          <mc:Choice Requires="wps">
            <w:drawing>
              <wp:anchor distT="45720" distB="45720" distL="114300" distR="114300" simplePos="0" relativeHeight="251659264" behindDoc="0" locked="0" layoutInCell="1" allowOverlap="1">
                <wp:simplePos x="0" y="0"/>
                <wp:positionH relativeFrom="column">
                  <wp:posOffset>-4445</wp:posOffset>
                </wp:positionH>
                <wp:positionV relativeFrom="paragraph">
                  <wp:posOffset>3768725</wp:posOffset>
                </wp:positionV>
                <wp:extent cx="5591175" cy="466725"/>
                <wp:effectExtent l="0" t="0" r="28575" b="285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466725"/>
                        </a:xfrm>
                        <a:prstGeom prst="rect">
                          <a:avLst/>
                        </a:prstGeom>
                        <a:solidFill>
                          <a:srgbClr val="FFFFFF"/>
                        </a:solidFill>
                        <a:ln w="9525">
                          <a:solidFill>
                            <a:schemeClr val="bg1"/>
                          </a:solidFill>
                          <a:miter lim="800000"/>
                          <a:headEnd/>
                          <a:tailEnd/>
                        </a:ln>
                      </wps:spPr>
                      <wps:txbx>
                        <w:txbxContent>
                          <w:p w:rsidR="007B1E34" w:rsidRPr="007B1E34" w:rsidRDefault="001715E4" w:rsidP="007B1E34">
                            <w:pPr>
                              <w:rPr>
                                <w:rFonts w:cstheme="minorHAnsi"/>
                                <w:i/>
                                <w:lang w:val="en-US"/>
                              </w:rPr>
                            </w:pPr>
                            <w:r w:rsidRPr="007B1E34">
                              <w:rPr>
                                <w:rFonts w:cstheme="minorHAnsi"/>
                                <w:i/>
                                <w:lang w:val="en-US"/>
                              </w:rPr>
                              <w:t>Fig. 1.  Observations of Pineapple(A</w:t>
                            </w:r>
                            <w:r w:rsidR="0001490A">
                              <w:rPr>
                                <w:rFonts w:cstheme="minorHAnsi"/>
                                <w:i/>
                                <w:lang w:val="en-US"/>
                              </w:rPr>
                              <w:t>.</w:t>
                            </w:r>
                            <w:r w:rsidRPr="007B1E34">
                              <w:rPr>
                                <w:rFonts w:cstheme="minorHAnsi"/>
                                <w:i/>
                                <w:lang w:val="en-US"/>
                              </w:rPr>
                              <w:t xml:space="preserve"> </w:t>
                            </w:r>
                            <w:proofErr w:type="spellStart"/>
                            <w:r w:rsidRPr="007B1E34">
                              <w:rPr>
                                <w:rFonts w:cstheme="minorHAnsi"/>
                                <w:i/>
                                <w:lang w:val="en-US"/>
                              </w:rPr>
                              <w:t>comosus</w:t>
                            </w:r>
                            <w:proofErr w:type="spellEnd"/>
                            <w:r w:rsidR="007B1E34" w:rsidRPr="007B1E34">
                              <w:rPr>
                                <w:rFonts w:cstheme="minorHAnsi"/>
                                <w:i/>
                                <w:lang w:val="en-US"/>
                              </w:rPr>
                              <w:t xml:space="preserve">) around the globe.  Data source: </w:t>
                            </w:r>
                            <w:r w:rsidR="007B1E34" w:rsidRPr="007B1E34">
                              <w:rPr>
                                <w:rFonts w:cstheme="minorHAnsi"/>
                                <w:i/>
                                <w:color w:val="212121"/>
                                <w:lang w:val="en-US"/>
                              </w:rPr>
                              <w:t xml:space="preserve">GBIF.org (5th December 2018) GBIF Occurrence Download </w:t>
                            </w:r>
                            <w:hyperlink r:id="rId4" w:tgtFrame="_blank" w:history="1">
                              <w:r w:rsidR="007B1E34" w:rsidRPr="007B1E34">
                                <w:rPr>
                                  <w:rStyle w:val="Hyperlink"/>
                                  <w:rFonts w:cstheme="minorHAnsi"/>
                                  <w:i/>
                                  <w:color w:val="0066CC"/>
                                  <w:bdr w:val="none" w:sz="0" w:space="0" w:color="auto" w:frame="1"/>
                                  <w:lang w:val="en-US"/>
                                </w:rPr>
                                <w:t>https://doi.org/10.15468/dl.dz5phm</w:t>
                              </w:r>
                            </w:hyperlink>
                          </w:p>
                          <w:p w:rsidR="001715E4" w:rsidRPr="001715E4" w:rsidRDefault="001715E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5pt;margin-top:296.75pt;width:440.25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" strokecolor="white [3212]">
                <v:textbox>
                  <w:txbxContent>
                    <w:p w:rsidR="007B1E34" w:rsidRPr="007B1E34" w:rsidRDefault="001715E4" w:rsidP="007B1E34">
                      <w:pPr>
                        <w:rPr>
                          <w:rFonts w:cstheme="minorHAnsi"/>
                          <w:i/>
                          <w:lang w:val="en-US"/>
                        </w:rPr>
                      </w:pPr>
                      <w:r w:rsidRPr="007B1E34">
                        <w:rPr>
                          <w:rFonts w:cstheme="minorHAnsi"/>
                          <w:i/>
                          <w:lang w:val="en-US"/>
                        </w:rPr>
                        <w:t>Fig. 1.  Observations of Pineapple(A</w:t>
                      </w:r>
                      <w:r w:rsidR="0001490A">
                        <w:rPr>
                          <w:rFonts w:cstheme="minorHAnsi"/>
                          <w:i/>
                          <w:lang w:val="en-US"/>
                        </w:rPr>
                        <w:t>.</w:t>
                      </w:r>
                      <w:r w:rsidRPr="007B1E34">
                        <w:rPr>
                          <w:rFonts w:cstheme="minorHAnsi"/>
                          <w:i/>
                          <w:lang w:val="en-US"/>
                        </w:rPr>
                        <w:t xml:space="preserve"> </w:t>
                      </w:r>
                      <w:proofErr w:type="spellStart"/>
                      <w:r w:rsidRPr="007B1E34">
                        <w:rPr>
                          <w:rFonts w:cstheme="minorHAnsi"/>
                          <w:i/>
                          <w:lang w:val="en-US"/>
                        </w:rPr>
                        <w:t>comosus</w:t>
                      </w:r>
                      <w:proofErr w:type="spellEnd"/>
                      <w:r w:rsidR="007B1E34" w:rsidRPr="007B1E34">
                        <w:rPr>
                          <w:rFonts w:cstheme="minorHAnsi"/>
                          <w:i/>
                          <w:lang w:val="en-US"/>
                        </w:rPr>
                        <w:t xml:space="preserve">) around the globe.  Data source: </w:t>
                      </w:r>
                      <w:r w:rsidR="007B1E34" w:rsidRPr="007B1E34">
                        <w:rPr>
                          <w:rFonts w:cstheme="minorHAnsi"/>
                          <w:i/>
                          <w:color w:val="212121"/>
                          <w:lang w:val="en-US"/>
                        </w:rPr>
                        <w:t xml:space="preserve">GBIF.org (5th December 2018) GBIF Occurrence Download </w:t>
                      </w:r>
                      <w:hyperlink r:id="rId5" w:tgtFrame="_blank" w:history="1">
                        <w:r w:rsidR="007B1E34" w:rsidRPr="007B1E34">
                          <w:rPr>
                            <w:rStyle w:val="Hyperlink"/>
                            <w:rFonts w:cstheme="minorHAnsi"/>
                            <w:i/>
                            <w:color w:val="0066CC"/>
                            <w:bdr w:val="none" w:sz="0" w:space="0" w:color="auto" w:frame="1"/>
                            <w:lang w:val="en-US"/>
                          </w:rPr>
                          <w:t>https://doi.org/10.15468/dl.dz5phm</w:t>
                        </w:r>
                      </w:hyperlink>
                    </w:p>
                    <w:p w:rsidR="001715E4" w:rsidRPr="001715E4" w:rsidRDefault="001715E4">
                      <w:pPr>
                        <w:rPr>
                          <w:lang w:val="en-US"/>
                        </w:rPr>
                      </w:pPr>
                    </w:p>
                  </w:txbxContent>
                </v:textbox>
              </v:shape>
            </w:pict>
          </mc:Fallback>
        </mc:AlternateContent>
      </w:r>
      <w:r w:rsidR="008E28EA">
        <w:rPr>
          <w:lang w:val="en-US"/>
        </w:rPr>
        <w:t xml:space="preserve">Vegetative reproduction doesn’t spread the offspring far from the parent. </w:t>
      </w:r>
      <w:proofErr w:type="spellStart"/>
      <w:r w:rsidR="001715E4">
        <w:rPr>
          <w:lang w:val="en-US"/>
        </w:rPr>
        <w:t>The</w:t>
      </w:r>
      <w:proofErr w:type="spellEnd"/>
      <w:r w:rsidR="001715E4">
        <w:rPr>
          <w:lang w:val="en-US"/>
        </w:rPr>
        <w:t xml:space="preserve"> current observed distribution of </w:t>
      </w:r>
      <w:r w:rsidR="001715E4" w:rsidRPr="001715E4">
        <w:rPr>
          <w:i/>
          <w:lang w:val="en-US"/>
        </w:rPr>
        <w:t>A</w:t>
      </w:r>
      <w:r w:rsidR="001715E4">
        <w:rPr>
          <w:i/>
          <w:lang w:val="en-US"/>
        </w:rPr>
        <w:t>.</w:t>
      </w:r>
      <w:r w:rsidR="001715E4" w:rsidRPr="001715E4">
        <w:rPr>
          <w:i/>
          <w:lang w:val="en-US"/>
        </w:rPr>
        <w:t xml:space="preserve"> </w:t>
      </w:r>
      <w:proofErr w:type="spellStart"/>
      <w:r w:rsidR="001715E4" w:rsidRPr="001715E4">
        <w:rPr>
          <w:i/>
          <w:lang w:val="en-US"/>
        </w:rPr>
        <w:t>comosus</w:t>
      </w:r>
      <w:proofErr w:type="spellEnd"/>
      <w:r w:rsidR="001715E4">
        <w:rPr>
          <w:lang w:val="en-US"/>
        </w:rPr>
        <w:t xml:space="preserve"> </w:t>
      </w:r>
      <w:r w:rsidR="001F0E4B">
        <w:rPr>
          <w:lang w:val="en-US"/>
        </w:rPr>
        <w:t xml:space="preserve">(Fig. 1.) </w:t>
      </w:r>
      <w:r w:rsidR="001715E4">
        <w:rPr>
          <w:lang w:val="en-US"/>
        </w:rPr>
        <w:t>is</w:t>
      </w:r>
      <w:r w:rsidR="008E28EA">
        <w:rPr>
          <w:lang w:val="en-US"/>
        </w:rPr>
        <w:t xml:space="preserve"> therefore </w:t>
      </w:r>
      <w:r w:rsidR="001715E4">
        <w:rPr>
          <w:lang w:val="en-US"/>
        </w:rPr>
        <w:t xml:space="preserve">influenced by </w:t>
      </w:r>
      <w:r w:rsidR="008E28EA">
        <w:rPr>
          <w:lang w:val="en-US"/>
        </w:rPr>
        <w:t>other factor</w:t>
      </w:r>
      <w:r w:rsidR="001F0E4B">
        <w:rPr>
          <w:lang w:val="en-US"/>
        </w:rPr>
        <w:t>s</w:t>
      </w:r>
      <w:r w:rsidR="008E28EA">
        <w:rPr>
          <w:lang w:val="en-US"/>
        </w:rPr>
        <w:t xml:space="preserve">, </w:t>
      </w:r>
      <w:r w:rsidR="001715E4">
        <w:rPr>
          <w:lang w:val="en-US"/>
        </w:rPr>
        <w:t>the</w:t>
      </w:r>
      <w:r w:rsidR="001F0E4B">
        <w:rPr>
          <w:lang w:val="en-US"/>
        </w:rPr>
        <w:t xml:space="preserve"> domestication and</w:t>
      </w:r>
      <w:r w:rsidR="001715E4">
        <w:rPr>
          <w:lang w:val="en-US"/>
        </w:rPr>
        <w:t xml:space="preserve"> trade of this valuable plant. </w:t>
      </w:r>
      <w:r w:rsidR="001F0E4B">
        <w:rPr>
          <w:lang w:val="en-US"/>
        </w:rPr>
        <w:t>The</w:t>
      </w:r>
      <w:r w:rsidR="001715E4">
        <w:rPr>
          <w:lang w:val="en-US"/>
        </w:rPr>
        <w:t xml:space="preserve"> Brazil and Paraguay area is the only place where wild relatives of </w:t>
      </w:r>
      <w:r w:rsidR="001715E4" w:rsidRPr="001715E4">
        <w:rPr>
          <w:i/>
          <w:lang w:val="en-US"/>
        </w:rPr>
        <w:t xml:space="preserve">A. </w:t>
      </w:r>
      <w:proofErr w:type="spellStart"/>
      <w:r w:rsidR="001715E4" w:rsidRPr="001715E4">
        <w:rPr>
          <w:i/>
          <w:lang w:val="en-US"/>
        </w:rPr>
        <w:t>comosus</w:t>
      </w:r>
      <w:proofErr w:type="spellEnd"/>
      <w:r w:rsidR="001715E4">
        <w:rPr>
          <w:lang w:val="en-US"/>
        </w:rPr>
        <w:t xml:space="preserve"> occur</w:t>
      </w:r>
      <w:r>
        <w:rPr>
          <w:lang w:val="en-US"/>
        </w:rPr>
        <w:t>(Morton, J. ,1987).</w:t>
      </w:r>
      <w:r w:rsidR="001715E4">
        <w:rPr>
          <w:lang w:val="en-US"/>
        </w:rPr>
        <w:t xml:space="preserve"> </w:t>
      </w:r>
    </w:p>
    <w:p w:rsidR="008E28EA" w:rsidRDefault="0001490A" w:rsidP="007B1E34">
      <w:pPr>
        <w:rPr>
          <w:lang w:val="en-US"/>
        </w:rPr>
      </w:pPr>
      <w:r w:rsidRPr="001715E4">
        <w:rPr>
          <w:noProof/>
        </w:rPr>
        <w:drawing>
          <wp:inline distT="0" distB="0" distL="0" distR="0" wp14:anchorId="21878999" wp14:editId="67B67411">
            <wp:extent cx="5591175" cy="2971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971800"/>
                    </a:xfrm>
                    <a:prstGeom prst="rect">
                      <a:avLst/>
                    </a:prstGeom>
                  </pic:spPr>
                </pic:pic>
              </a:graphicData>
            </a:graphic>
          </wp:inline>
        </w:drawing>
      </w:r>
    </w:p>
    <w:p w:rsidR="001C277F" w:rsidRPr="00B1537E" w:rsidRDefault="00BB1F90" w:rsidP="007B1E34">
      <w:pPr>
        <w:rPr>
          <w:color w:val="FF0000"/>
          <w:lang w:val="en-US"/>
        </w:rPr>
      </w:pPr>
      <w:r>
        <w:rPr>
          <w:lang w:val="en-US"/>
        </w:rPr>
        <w:br/>
      </w:r>
    </w:p>
    <w:p w:rsidR="0001490A" w:rsidRDefault="0001490A">
      <w:pPr>
        <w:rPr>
          <w:sz w:val="36"/>
          <w:szCs w:val="36"/>
          <w:lang w:val="en-US"/>
        </w:rPr>
      </w:pPr>
    </w:p>
    <w:p w:rsidR="0001490A" w:rsidRDefault="0001490A">
      <w:pPr>
        <w:rPr>
          <w:sz w:val="36"/>
          <w:szCs w:val="36"/>
          <w:lang w:val="en-US"/>
        </w:rPr>
      </w:pPr>
    </w:p>
    <w:p w:rsidR="0001490A" w:rsidRDefault="0001490A">
      <w:pPr>
        <w:rPr>
          <w:sz w:val="36"/>
          <w:szCs w:val="36"/>
          <w:lang w:val="en-US"/>
        </w:rPr>
      </w:pPr>
    </w:p>
    <w:p w:rsidR="0001490A" w:rsidRDefault="0001490A">
      <w:pPr>
        <w:rPr>
          <w:sz w:val="36"/>
          <w:szCs w:val="36"/>
          <w:lang w:val="en-US"/>
        </w:rPr>
      </w:pPr>
    </w:p>
    <w:p w:rsidR="001C277F" w:rsidRDefault="0001490A">
      <w:pPr>
        <w:rPr>
          <w:sz w:val="36"/>
          <w:szCs w:val="36"/>
          <w:lang w:val="en-US"/>
        </w:rPr>
      </w:pPr>
      <w:r w:rsidRPr="008A6823">
        <w:rPr>
          <w:noProof/>
          <w:sz w:val="24"/>
          <w:szCs w:val="24"/>
          <w:lang w:val="en-US"/>
        </w:rPr>
        <w:lastRenderedPageBreak/>
        <mc:AlternateContent>
          <mc:Choice Requires="wps">
            <w:drawing>
              <wp:anchor distT="45720" distB="45720" distL="114300" distR="114300" simplePos="0" relativeHeight="251661312" behindDoc="0" locked="0" layoutInCell="1" allowOverlap="1">
                <wp:simplePos x="0" y="0"/>
                <wp:positionH relativeFrom="column">
                  <wp:posOffset>-4445</wp:posOffset>
                </wp:positionH>
                <wp:positionV relativeFrom="paragraph">
                  <wp:posOffset>3599815</wp:posOffset>
                </wp:positionV>
                <wp:extent cx="2571750" cy="323850"/>
                <wp:effectExtent l="0" t="0" r="19050" b="1905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323850"/>
                        </a:xfrm>
                        <a:prstGeom prst="rect">
                          <a:avLst/>
                        </a:prstGeom>
                        <a:solidFill>
                          <a:srgbClr val="FFFFFF"/>
                        </a:solidFill>
                        <a:ln w="9525">
                          <a:solidFill>
                            <a:schemeClr val="bg1"/>
                          </a:solidFill>
                          <a:miter lim="800000"/>
                          <a:headEnd/>
                          <a:tailEnd/>
                        </a:ln>
                      </wps:spPr>
                      <wps:txbx>
                        <w:txbxContent>
                          <w:p w:rsidR="008A6823" w:rsidRPr="0001490A" w:rsidRDefault="008A6823">
                            <w:pPr>
                              <w:rPr>
                                <w:i/>
                                <w:lang w:val="en-US"/>
                              </w:rPr>
                            </w:pPr>
                            <w:r w:rsidRPr="0001490A">
                              <w:rPr>
                                <w:i/>
                                <w:lang w:val="en-US"/>
                              </w:rPr>
                              <w:t>Fig. 2a. MAXENT settings for the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5pt;margin-top:283.45pt;width:202.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" strokecolor="white [3212]">
                <v:textbox>
                  <w:txbxContent>
                    <w:p w:rsidR="008A6823" w:rsidRPr="0001490A" w:rsidRDefault="008A6823">
                      <w:pPr>
                        <w:rPr>
                          <w:i/>
                          <w:lang w:val="en-US"/>
                        </w:rPr>
                      </w:pPr>
                      <w:r w:rsidRPr="0001490A">
                        <w:rPr>
                          <w:i/>
                          <w:lang w:val="en-US"/>
                        </w:rPr>
                        <w:t>Fig. 2a. MAXENT settings for the analysis</w:t>
                      </w:r>
                    </w:p>
                  </w:txbxContent>
                </v:textbox>
              </v:shape>
            </w:pict>
          </mc:Fallback>
        </mc:AlternateContent>
      </w:r>
      <w:r w:rsidR="00B1537E" w:rsidRPr="00B1537E">
        <w:rPr>
          <w:sz w:val="36"/>
          <w:szCs w:val="36"/>
          <w:lang w:val="en-US"/>
        </w:rPr>
        <w:t>Methodology</w:t>
      </w:r>
      <w:r w:rsidR="00B1537E">
        <w:rPr>
          <w:sz w:val="36"/>
          <w:szCs w:val="36"/>
          <w:lang w:val="en-US"/>
        </w:rPr>
        <w:t>:</w:t>
      </w:r>
      <w:r w:rsidR="009D135B">
        <w:rPr>
          <w:sz w:val="36"/>
          <w:szCs w:val="36"/>
          <w:lang w:val="en-US"/>
        </w:rPr>
        <w:br/>
      </w:r>
      <w:r w:rsidR="009D135B" w:rsidRPr="008A6823">
        <w:rPr>
          <w:sz w:val="28"/>
          <w:szCs w:val="28"/>
          <w:u w:val="single"/>
          <w:lang w:val="en-US"/>
        </w:rPr>
        <w:t>MAXENT Settings</w:t>
      </w:r>
      <w:r w:rsidR="00B1537E">
        <w:rPr>
          <w:sz w:val="36"/>
          <w:szCs w:val="36"/>
          <w:lang w:val="en-US"/>
        </w:rPr>
        <w:br/>
      </w:r>
      <w:r w:rsidR="008A6823">
        <w:rPr>
          <w:sz w:val="24"/>
          <w:szCs w:val="24"/>
          <w:lang w:val="en-US"/>
        </w:rPr>
        <w:br/>
      </w:r>
      <w:r w:rsidR="00E61B58" w:rsidRPr="00E61B58">
        <w:rPr>
          <w:noProof/>
        </w:rPr>
        <w:drawing>
          <wp:inline distT="0" distB="0" distL="0" distR="0" wp14:anchorId="289D67AA" wp14:editId="5BB7DE99">
            <wp:extent cx="3521668" cy="2861743"/>
            <wp:effectExtent l="0" t="0" r="317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2751" cy="2903253"/>
                    </a:xfrm>
                    <a:prstGeom prst="rect">
                      <a:avLst/>
                    </a:prstGeom>
                  </pic:spPr>
                </pic:pic>
              </a:graphicData>
            </a:graphic>
          </wp:inline>
        </w:drawing>
      </w:r>
    </w:p>
    <w:p w:rsidR="00345101" w:rsidRPr="00B1537E" w:rsidRDefault="008A6823">
      <w:pPr>
        <w:rPr>
          <w:lang w:val="en-US"/>
        </w:rPr>
      </w:pPr>
      <w:r>
        <w:rPr>
          <w:lang w:val="en-US"/>
        </w:rPr>
        <w:br/>
      </w:r>
    </w:p>
    <w:p w:rsidR="008A6823" w:rsidRDefault="0001490A" w:rsidP="009D135B">
      <w:pPr>
        <w:rPr>
          <w:sz w:val="24"/>
          <w:szCs w:val="24"/>
          <w:lang w:val="en-US"/>
        </w:rPr>
      </w:pPr>
      <w:r w:rsidRPr="008A6823">
        <w:rPr>
          <w:noProof/>
          <w:lang w:val="en-US"/>
        </w:rPr>
        <mc:AlternateContent>
          <mc:Choice Requires="wps">
            <w:drawing>
              <wp:anchor distT="45720" distB="45720" distL="114300" distR="114300" simplePos="0" relativeHeight="251663360" behindDoc="0" locked="0" layoutInCell="1" allowOverlap="1">
                <wp:simplePos x="0" y="0"/>
                <wp:positionH relativeFrom="column">
                  <wp:posOffset>-4445</wp:posOffset>
                </wp:positionH>
                <wp:positionV relativeFrom="paragraph">
                  <wp:posOffset>3081020</wp:posOffset>
                </wp:positionV>
                <wp:extent cx="2590800" cy="314325"/>
                <wp:effectExtent l="0" t="0" r="19050" b="28575"/>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14325"/>
                        </a:xfrm>
                        <a:prstGeom prst="rect">
                          <a:avLst/>
                        </a:prstGeom>
                        <a:solidFill>
                          <a:srgbClr val="FFFFFF"/>
                        </a:solidFill>
                        <a:ln w="9525">
                          <a:solidFill>
                            <a:schemeClr val="bg1"/>
                          </a:solidFill>
                          <a:miter lim="800000"/>
                          <a:headEnd/>
                          <a:tailEnd/>
                        </a:ln>
                      </wps:spPr>
                      <wps:txbx>
                        <w:txbxContent>
                          <w:p w:rsidR="008A6823" w:rsidRPr="0001490A" w:rsidRDefault="008A6823">
                            <w:pPr>
                              <w:rPr>
                                <w:i/>
                                <w:lang w:val="en-US"/>
                              </w:rPr>
                            </w:pPr>
                            <w:r w:rsidRPr="0001490A">
                              <w:rPr>
                                <w:i/>
                                <w:lang w:val="en-US"/>
                              </w:rPr>
                              <w:t>Fig. 2b. MAXENT settings for the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pt;margin-top:242.6pt;width:204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" strokecolor="white [3212]">
                <v:textbox>
                  <w:txbxContent>
                    <w:p w:rsidR="008A6823" w:rsidRPr="0001490A" w:rsidRDefault="008A6823">
                      <w:pPr>
                        <w:rPr>
                          <w:i/>
                          <w:lang w:val="en-US"/>
                        </w:rPr>
                      </w:pPr>
                      <w:r w:rsidRPr="0001490A">
                        <w:rPr>
                          <w:i/>
                          <w:lang w:val="en-US"/>
                        </w:rPr>
                        <w:t>Fig. 2b. MAXENT settings for the analysis</w:t>
                      </w:r>
                    </w:p>
                  </w:txbxContent>
                </v:textbox>
              </v:shape>
            </w:pict>
          </mc:Fallback>
        </mc:AlternateContent>
      </w:r>
      <w:r w:rsidR="0015230D" w:rsidRPr="0015230D">
        <w:rPr>
          <w:noProof/>
        </w:rPr>
        <w:drawing>
          <wp:inline distT="0" distB="0" distL="0" distR="0" wp14:anchorId="76407C19" wp14:editId="62E895F5">
            <wp:extent cx="3263036" cy="307657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1538" cy="3094020"/>
                    </a:xfrm>
                    <a:prstGeom prst="rect">
                      <a:avLst/>
                    </a:prstGeom>
                  </pic:spPr>
                </pic:pic>
              </a:graphicData>
            </a:graphic>
          </wp:inline>
        </w:drawing>
      </w:r>
    </w:p>
    <w:p w:rsidR="0015230D" w:rsidRDefault="0015230D" w:rsidP="009D135B">
      <w:pPr>
        <w:rPr>
          <w:sz w:val="28"/>
          <w:szCs w:val="28"/>
          <w:u w:val="single"/>
          <w:lang w:val="en-US"/>
        </w:rPr>
      </w:pPr>
    </w:p>
    <w:p w:rsidR="0015230D" w:rsidRDefault="0015230D" w:rsidP="009D135B">
      <w:pPr>
        <w:rPr>
          <w:sz w:val="28"/>
          <w:szCs w:val="28"/>
          <w:u w:val="single"/>
          <w:lang w:val="en-US"/>
        </w:rPr>
      </w:pPr>
    </w:p>
    <w:p w:rsidR="0001490A" w:rsidRDefault="0001490A" w:rsidP="009D135B">
      <w:pPr>
        <w:rPr>
          <w:sz w:val="28"/>
          <w:szCs w:val="28"/>
          <w:u w:val="single"/>
          <w:lang w:val="en-US"/>
        </w:rPr>
      </w:pPr>
    </w:p>
    <w:p w:rsidR="0001490A" w:rsidRDefault="0001490A" w:rsidP="009D135B">
      <w:pPr>
        <w:rPr>
          <w:sz w:val="28"/>
          <w:szCs w:val="28"/>
          <w:u w:val="single"/>
          <w:lang w:val="en-US"/>
        </w:rPr>
      </w:pPr>
    </w:p>
    <w:p w:rsidR="00802959" w:rsidRDefault="009D135B" w:rsidP="009D135B">
      <w:pPr>
        <w:rPr>
          <w:sz w:val="28"/>
          <w:szCs w:val="28"/>
          <w:u w:val="single"/>
          <w:lang w:val="en-US"/>
        </w:rPr>
      </w:pPr>
      <w:r w:rsidRPr="008A6823">
        <w:rPr>
          <w:sz w:val="28"/>
          <w:szCs w:val="28"/>
          <w:u w:val="single"/>
          <w:lang w:val="en-US"/>
        </w:rPr>
        <w:lastRenderedPageBreak/>
        <w:t>Variable selection</w:t>
      </w:r>
    </w:p>
    <w:p w:rsidR="00802959" w:rsidRPr="00802959" w:rsidRDefault="008A6823" w:rsidP="009D135B">
      <w:pPr>
        <w:rPr>
          <w:lang w:val="en-US"/>
        </w:rPr>
      </w:pPr>
      <w:r w:rsidRPr="008A6823">
        <w:rPr>
          <w:lang w:val="en-US"/>
        </w:rPr>
        <w:t>As a climate model MIROC5</w:t>
      </w:r>
      <w:r w:rsidR="00802959">
        <w:rPr>
          <w:lang w:val="en-US"/>
        </w:rPr>
        <w:t>(from worldclim.org)</w:t>
      </w:r>
      <w:r w:rsidRPr="008A6823">
        <w:rPr>
          <w:lang w:val="en-US"/>
        </w:rPr>
        <w:t xml:space="preserve"> was chosen</w:t>
      </w:r>
      <w:r w:rsidR="000D4C41">
        <w:rPr>
          <w:lang w:val="en-US"/>
        </w:rPr>
        <w:t xml:space="preserve"> with a spatial resolution of 5 min and RCP45</w:t>
      </w:r>
      <w:r w:rsidRPr="008A6823">
        <w:rPr>
          <w:lang w:val="en-US"/>
        </w:rPr>
        <w:t xml:space="preserve">. The </w:t>
      </w:r>
      <w:r w:rsidR="00805B4C">
        <w:rPr>
          <w:lang w:val="en-US"/>
        </w:rPr>
        <w:t xml:space="preserve">distribution </w:t>
      </w:r>
      <w:r w:rsidRPr="008A6823">
        <w:rPr>
          <w:lang w:val="en-US"/>
        </w:rPr>
        <w:t xml:space="preserve">prediction </w:t>
      </w:r>
      <w:r w:rsidR="00805B4C">
        <w:rPr>
          <w:lang w:val="en-US"/>
        </w:rPr>
        <w:t>was</w:t>
      </w:r>
      <w:r w:rsidRPr="008A6823">
        <w:rPr>
          <w:lang w:val="en-US"/>
        </w:rPr>
        <w:t xml:space="preserve"> done for the year 2070</w:t>
      </w:r>
      <w:r w:rsidR="00802959">
        <w:rPr>
          <w:lang w:val="en-US"/>
        </w:rPr>
        <w:t>.</w:t>
      </w:r>
    </w:p>
    <w:p w:rsidR="009D135B" w:rsidRDefault="008A6823" w:rsidP="009D135B">
      <w:pPr>
        <w:rPr>
          <w:lang w:val="en-US"/>
        </w:rPr>
      </w:pPr>
      <w:r>
        <w:rPr>
          <w:lang w:val="en-US"/>
        </w:rPr>
        <w:t xml:space="preserve">The </w:t>
      </w:r>
      <w:r w:rsidR="009D135B">
        <w:rPr>
          <w:lang w:val="en-US"/>
        </w:rPr>
        <w:t>Bioclimate variables</w:t>
      </w:r>
      <w:r w:rsidR="000D4C41">
        <w:rPr>
          <w:lang w:val="en-US"/>
        </w:rPr>
        <w:t>(</w:t>
      </w:r>
      <w:r w:rsidR="000D4C41">
        <w:rPr>
          <w:lang w:val="en-US"/>
        </w:rPr>
        <w:t>(from worldclim.org)</w:t>
      </w:r>
      <w:r w:rsidR="000D4C41" w:rsidRPr="008A6823">
        <w:rPr>
          <w:lang w:val="en-US"/>
        </w:rPr>
        <w:t xml:space="preserve"> </w:t>
      </w:r>
      <w:r w:rsidR="009D135B">
        <w:rPr>
          <w:lang w:val="en-US"/>
        </w:rPr>
        <w:t xml:space="preserve">chosen </w:t>
      </w:r>
      <w:r>
        <w:rPr>
          <w:lang w:val="en-US"/>
        </w:rPr>
        <w:t>to be inside the climate</w:t>
      </w:r>
      <w:r w:rsidR="009D135B">
        <w:rPr>
          <w:lang w:val="en-US"/>
        </w:rPr>
        <w:t xml:space="preserve"> model</w:t>
      </w:r>
      <w:r>
        <w:rPr>
          <w:lang w:val="en-US"/>
        </w:rPr>
        <w:t xml:space="preserve"> include</w:t>
      </w:r>
      <w:r w:rsidR="009D135B">
        <w:rPr>
          <w:lang w:val="en-US"/>
        </w:rPr>
        <w:t>:</w:t>
      </w:r>
      <w:r w:rsidR="009D135B">
        <w:rPr>
          <w:lang w:val="en-US"/>
        </w:rPr>
        <w:br/>
      </w:r>
      <w:r>
        <w:rPr>
          <w:lang w:val="en-US"/>
        </w:rPr>
        <w:t>-</w:t>
      </w:r>
      <w:r w:rsidR="009D135B">
        <w:rPr>
          <w:lang w:val="en-US"/>
        </w:rPr>
        <w:t>Mean diurnal range(bio2),</w:t>
      </w:r>
      <w:r w:rsidR="009D135B">
        <w:rPr>
          <w:lang w:val="en-US"/>
        </w:rPr>
        <w:br/>
      </w:r>
      <w:r>
        <w:rPr>
          <w:lang w:val="en-US"/>
        </w:rPr>
        <w:t>-</w:t>
      </w:r>
      <w:r w:rsidR="009D135B">
        <w:rPr>
          <w:lang w:val="en-US"/>
        </w:rPr>
        <w:t>Max temperature warmest month(bio5)</w:t>
      </w:r>
      <w:r w:rsidR="009D135B">
        <w:rPr>
          <w:lang w:val="en-US"/>
        </w:rPr>
        <w:br/>
      </w:r>
      <w:r>
        <w:rPr>
          <w:lang w:val="en-US"/>
        </w:rPr>
        <w:t>-</w:t>
      </w:r>
      <w:r w:rsidR="009D135B">
        <w:rPr>
          <w:lang w:val="en-US"/>
        </w:rPr>
        <w:t>Min Temperature coldest month(bio6)</w:t>
      </w:r>
      <w:r w:rsidR="009D135B">
        <w:rPr>
          <w:lang w:val="en-US"/>
        </w:rPr>
        <w:br/>
      </w:r>
      <w:r>
        <w:rPr>
          <w:lang w:val="en-US"/>
        </w:rPr>
        <w:t>-</w:t>
      </w:r>
      <w:r w:rsidR="009D135B">
        <w:rPr>
          <w:lang w:val="en-US"/>
        </w:rPr>
        <w:t>Precipitation of wettest month(bio13)</w:t>
      </w:r>
      <w:r w:rsidR="009D135B">
        <w:rPr>
          <w:lang w:val="en-US"/>
        </w:rPr>
        <w:br/>
      </w:r>
      <w:r>
        <w:rPr>
          <w:lang w:val="en-US"/>
        </w:rPr>
        <w:t>-</w:t>
      </w:r>
      <w:r w:rsidR="009D135B">
        <w:rPr>
          <w:lang w:val="en-US"/>
        </w:rPr>
        <w:t>Precipitation of driest month(bio14)</w:t>
      </w:r>
    </w:p>
    <w:p w:rsidR="00805B4C" w:rsidRPr="00805B4C" w:rsidRDefault="00805B4C" w:rsidP="009D135B">
      <w:pPr>
        <w:rPr>
          <w:lang w:val="en-US"/>
        </w:rPr>
      </w:pPr>
      <w:r>
        <w:rPr>
          <w:lang w:val="en-US"/>
        </w:rPr>
        <w:t xml:space="preserve">The precipitation variables were chosen because plants are dependent on water for survival and most plant need a constant supply of water to survive.  </w:t>
      </w:r>
      <w:r>
        <w:rPr>
          <w:lang w:val="en-US"/>
        </w:rPr>
        <w:br/>
        <w:t xml:space="preserve">The temperature variables were chosen because a lot of plants have an optimum for their temperature range which should lay in between the maximum and minimum of a month and day(24 hour cycle). </w:t>
      </w:r>
      <w:r>
        <w:rPr>
          <w:lang w:val="en-US"/>
        </w:rPr>
        <w:br/>
        <w:t xml:space="preserve">Plant are also are sessile organisms so they can’t move if conditions turn out to become unsuitable. </w:t>
      </w:r>
    </w:p>
    <w:p w:rsidR="009D135B" w:rsidRPr="00F95ED2" w:rsidRDefault="009D135B" w:rsidP="009D135B">
      <w:pPr>
        <w:rPr>
          <w:lang w:val="en-US"/>
        </w:rPr>
      </w:pPr>
      <w:r>
        <w:rPr>
          <w:lang w:val="en-US"/>
        </w:rPr>
        <w:t xml:space="preserve">Min Temperature coldest month(bio6) </w:t>
      </w:r>
      <w:r w:rsidRPr="00F95ED2">
        <w:rPr>
          <w:lang w:val="en-US"/>
        </w:rPr>
        <w:t>had different dimensions th</w:t>
      </w:r>
      <w:r>
        <w:rPr>
          <w:lang w:val="en-US"/>
        </w:rPr>
        <w:t xml:space="preserve">an all other variables. </w:t>
      </w:r>
      <w:r w:rsidR="008A6823">
        <w:rPr>
          <w:lang w:val="en-US"/>
        </w:rPr>
        <w:t xml:space="preserve">Evidently something went wrong </w:t>
      </w:r>
      <w:r w:rsidR="008A6823" w:rsidRPr="00F95ED2">
        <w:rPr>
          <w:lang w:val="en-US"/>
        </w:rPr>
        <w:t xml:space="preserve">in the </w:t>
      </w:r>
      <w:proofErr w:type="spellStart"/>
      <w:r w:rsidR="008A6823" w:rsidRPr="00F95ED2">
        <w:rPr>
          <w:lang w:val="en-US"/>
        </w:rPr>
        <w:t>Rscript</w:t>
      </w:r>
      <w:proofErr w:type="spellEnd"/>
      <w:r w:rsidR="008A6823" w:rsidRPr="00F95ED2">
        <w:rPr>
          <w:lang w:val="en-US"/>
        </w:rPr>
        <w:t xml:space="preserve"> but rerunning</w:t>
      </w:r>
      <w:r w:rsidR="008A6823">
        <w:rPr>
          <w:lang w:val="en-US"/>
        </w:rPr>
        <w:t xml:space="preserve"> the script </w:t>
      </w:r>
      <w:r w:rsidR="008A6823" w:rsidRPr="00F95ED2">
        <w:rPr>
          <w:lang w:val="en-US"/>
        </w:rPr>
        <w:t xml:space="preserve">didn’t solve </w:t>
      </w:r>
      <w:r w:rsidR="008A6823">
        <w:rPr>
          <w:lang w:val="en-US"/>
        </w:rPr>
        <w:t xml:space="preserve">it. </w:t>
      </w:r>
      <w:r>
        <w:rPr>
          <w:lang w:val="en-US"/>
        </w:rPr>
        <w:t>Since MAXENT doesn’t run when variables have different dimensions</w:t>
      </w:r>
      <w:r w:rsidR="008A6823">
        <w:rPr>
          <w:lang w:val="en-US"/>
        </w:rPr>
        <w:t xml:space="preserve"> I consulted 2 assistants and we made the decision to leave Min Temperature coldest month(bio6) out of the analysis(Fig. 2a.)  </w:t>
      </w:r>
    </w:p>
    <w:p w:rsidR="001C277F" w:rsidRPr="0015230D" w:rsidRDefault="0015230D">
      <w:pPr>
        <w:rPr>
          <w:lang w:val="en-US"/>
        </w:rPr>
      </w:pPr>
      <w:r w:rsidRPr="0015230D">
        <w:rPr>
          <w:sz w:val="36"/>
          <w:szCs w:val="36"/>
          <w:lang w:val="en-US"/>
        </w:rPr>
        <w:t>Model output</w:t>
      </w:r>
      <w:r>
        <w:rPr>
          <w:sz w:val="36"/>
          <w:szCs w:val="36"/>
          <w:lang w:val="en-US"/>
        </w:rPr>
        <w:t>:</w:t>
      </w:r>
    </w:p>
    <w:p w:rsidR="00802959" w:rsidRDefault="0015230D">
      <w:pPr>
        <w:rPr>
          <w:lang w:val="en-US"/>
        </w:rPr>
      </w:pPr>
      <w:r w:rsidRPr="0015230D">
        <w:rPr>
          <w:sz w:val="28"/>
          <w:szCs w:val="28"/>
          <w:u w:val="single"/>
          <w:lang w:val="en-US"/>
        </w:rPr>
        <w:t>Present + future distribution map</w:t>
      </w:r>
    </w:p>
    <w:p w:rsidR="0015230D" w:rsidRDefault="001F26B3">
      <w:pPr>
        <w:rPr>
          <w:lang w:val="en-US"/>
        </w:rPr>
      </w:pPr>
      <w:r w:rsidRPr="001F26B3">
        <w:rPr>
          <w:noProof/>
          <w:lang w:val="en-US"/>
        </w:rPr>
        <mc:AlternateContent>
          <mc:Choice Requires="wps">
            <w:drawing>
              <wp:anchor distT="45720" distB="45720" distL="114300" distR="114300" simplePos="0" relativeHeight="251665408" behindDoc="0" locked="0" layoutInCell="1" allowOverlap="1">
                <wp:simplePos x="0" y="0"/>
                <wp:positionH relativeFrom="column">
                  <wp:posOffset>147955</wp:posOffset>
                </wp:positionH>
                <wp:positionV relativeFrom="paragraph">
                  <wp:posOffset>3450590</wp:posOffset>
                </wp:positionV>
                <wp:extent cx="3762375" cy="495300"/>
                <wp:effectExtent l="0" t="0" r="28575" b="19050"/>
                <wp:wrapNone/>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495300"/>
                        </a:xfrm>
                        <a:prstGeom prst="rect">
                          <a:avLst/>
                        </a:prstGeom>
                        <a:solidFill>
                          <a:srgbClr val="FFFFFF"/>
                        </a:solidFill>
                        <a:ln w="9525">
                          <a:solidFill>
                            <a:schemeClr val="bg1"/>
                          </a:solidFill>
                          <a:miter lim="800000"/>
                          <a:headEnd/>
                          <a:tailEnd/>
                        </a:ln>
                      </wps:spPr>
                      <wps:txbx>
                        <w:txbxContent>
                          <w:p w:rsidR="001F26B3" w:rsidRPr="0001490A" w:rsidRDefault="001F26B3">
                            <w:pPr>
                              <w:rPr>
                                <w:i/>
                                <w:lang w:val="en-US"/>
                              </w:rPr>
                            </w:pPr>
                            <w:r w:rsidRPr="0001490A">
                              <w:rPr>
                                <w:i/>
                                <w:lang w:val="en-US"/>
                              </w:rPr>
                              <w:t>Fig. 3a. The present potential distribution of A</w:t>
                            </w:r>
                            <w:r w:rsidR="0061393D" w:rsidRPr="0001490A">
                              <w:rPr>
                                <w:i/>
                                <w:lang w:val="en-US"/>
                              </w:rPr>
                              <w:t>.</w:t>
                            </w:r>
                            <w:r w:rsidRPr="0001490A">
                              <w:rPr>
                                <w:i/>
                                <w:lang w:val="en-US"/>
                              </w:rPr>
                              <w:t xml:space="preserve"> </w:t>
                            </w:r>
                            <w:proofErr w:type="spellStart"/>
                            <w:r w:rsidRPr="0001490A">
                              <w:rPr>
                                <w:i/>
                                <w:lang w:val="en-US"/>
                              </w:rPr>
                              <w:t>comosus</w:t>
                            </w:r>
                            <w:proofErr w:type="spellEnd"/>
                            <w:r w:rsidR="00FD7FD9" w:rsidRPr="0001490A">
                              <w:rPr>
                                <w:i/>
                                <w:lang w:val="en-US"/>
                              </w:rPr>
                              <w:t xml:space="preserve"> between 2060-2080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65pt;margin-top:271.7pt;width:296.25pt;height:3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" strokecolor="white [3212]">
                <v:textbox>
                  <w:txbxContent>
                    <w:p w:rsidR="001F26B3" w:rsidRPr="0001490A" w:rsidRDefault="001F26B3">
                      <w:pPr>
                        <w:rPr>
                          <w:i/>
                          <w:lang w:val="en-US"/>
                        </w:rPr>
                      </w:pPr>
                      <w:r w:rsidRPr="0001490A">
                        <w:rPr>
                          <w:i/>
                          <w:lang w:val="en-US"/>
                        </w:rPr>
                        <w:t>Fig. 3a. The present potential distribution of A</w:t>
                      </w:r>
                      <w:r w:rsidR="0061393D" w:rsidRPr="0001490A">
                        <w:rPr>
                          <w:i/>
                          <w:lang w:val="en-US"/>
                        </w:rPr>
                        <w:t>.</w:t>
                      </w:r>
                      <w:r w:rsidRPr="0001490A">
                        <w:rPr>
                          <w:i/>
                          <w:lang w:val="en-US"/>
                        </w:rPr>
                        <w:t xml:space="preserve"> </w:t>
                      </w:r>
                      <w:proofErr w:type="spellStart"/>
                      <w:r w:rsidRPr="0001490A">
                        <w:rPr>
                          <w:i/>
                          <w:lang w:val="en-US"/>
                        </w:rPr>
                        <w:t>comosus</w:t>
                      </w:r>
                      <w:proofErr w:type="spellEnd"/>
                      <w:r w:rsidR="00FD7FD9" w:rsidRPr="0001490A">
                        <w:rPr>
                          <w:i/>
                          <w:lang w:val="en-US"/>
                        </w:rPr>
                        <w:t xml:space="preserve"> between 2060-2080</w:t>
                      </w:r>
                    </w:p>
                  </w:txbxContent>
                </v:textbox>
              </v:shape>
            </w:pict>
          </mc:Fallback>
        </mc:AlternateContent>
      </w:r>
      <w:r w:rsidRPr="001F26B3">
        <w:rPr>
          <w:noProof/>
        </w:rPr>
        <w:drawing>
          <wp:inline distT="0" distB="0" distL="0" distR="0" wp14:anchorId="5ED5F4D9" wp14:editId="09741521">
            <wp:extent cx="4095750" cy="3502736"/>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621" cy="3524861"/>
                    </a:xfrm>
                    <a:prstGeom prst="rect">
                      <a:avLst/>
                    </a:prstGeom>
                  </pic:spPr>
                </pic:pic>
              </a:graphicData>
            </a:graphic>
          </wp:inline>
        </w:drawing>
      </w:r>
      <w:r>
        <w:rPr>
          <w:lang w:val="en-US"/>
        </w:rPr>
        <w:br/>
      </w:r>
    </w:p>
    <w:p w:rsidR="0015230D" w:rsidRDefault="0015230D">
      <w:pPr>
        <w:rPr>
          <w:noProof/>
          <w:lang w:val="en-US"/>
        </w:rPr>
      </w:pPr>
    </w:p>
    <w:p w:rsidR="001F26B3" w:rsidRPr="0015230D" w:rsidRDefault="0001490A">
      <w:pPr>
        <w:rPr>
          <w:lang w:val="en-US"/>
        </w:rPr>
      </w:pPr>
      <w:r w:rsidRPr="001F26B3">
        <w:rPr>
          <w:noProof/>
          <w:lang w:val="en-US"/>
        </w:rPr>
        <w:lastRenderedPageBreak/>
        <mc:AlternateContent>
          <mc:Choice Requires="wps">
            <w:drawing>
              <wp:anchor distT="45720" distB="45720" distL="114300" distR="114300" simplePos="0" relativeHeight="251667456" behindDoc="0" locked="0" layoutInCell="1" allowOverlap="1">
                <wp:simplePos x="0" y="0"/>
                <wp:positionH relativeFrom="column">
                  <wp:posOffset>138430</wp:posOffset>
                </wp:positionH>
                <wp:positionV relativeFrom="paragraph">
                  <wp:posOffset>3386455</wp:posOffset>
                </wp:positionV>
                <wp:extent cx="3581400" cy="419100"/>
                <wp:effectExtent l="0" t="0" r="19050" b="19050"/>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419100"/>
                        </a:xfrm>
                        <a:prstGeom prst="rect">
                          <a:avLst/>
                        </a:prstGeom>
                        <a:solidFill>
                          <a:srgbClr val="FFFFFF"/>
                        </a:solidFill>
                        <a:ln w="9525">
                          <a:solidFill>
                            <a:schemeClr val="bg1"/>
                          </a:solidFill>
                          <a:miter lim="800000"/>
                          <a:headEnd/>
                          <a:tailEnd/>
                        </a:ln>
                      </wps:spPr>
                      <wps:txbx>
                        <w:txbxContent>
                          <w:p w:rsidR="001F26B3" w:rsidRPr="0001490A" w:rsidRDefault="001F26B3">
                            <w:pPr>
                              <w:rPr>
                                <w:i/>
                                <w:lang w:val="en-US"/>
                              </w:rPr>
                            </w:pPr>
                            <w:r w:rsidRPr="0001490A">
                              <w:rPr>
                                <w:i/>
                                <w:lang w:val="en-US"/>
                              </w:rPr>
                              <w:t>Fig. 3b. Future potential distribution of A</w:t>
                            </w:r>
                            <w:r w:rsidR="0061393D" w:rsidRPr="0001490A">
                              <w:rPr>
                                <w:i/>
                                <w:lang w:val="en-US"/>
                              </w:rPr>
                              <w:t>.</w:t>
                            </w:r>
                            <w:r w:rsidRPr="0001490A">
                              <w:rPr>
                                <w:i/>
                                <w:lang w:val="en-US"/>
                              </w:rPr>
                              <w:t xml:space="preserve"> </w:t>
                            </w:r>
                            <w:proofErr w:type="spellStart"/>
                            <w:r w:rsidRPr="0001490A">
                              <w:rPr>
                                <w:i/>
                                <w:lang w:val="en-US"/>
                              </w:rPr>
                              <w:t>comosus</w:t>
                            </w:r>
                            <w:proofErr w:type="spellEnd"/>
                            <w:r w:rsidR="00FD7FD9" w:rsidRPr="0001490A">
                              <w:rPr>
                                <w:i/>
                                <w:lang w:val="en-US"/>
                              </w:rPr>
                              <w:t xml:space="preserve"> between 2060-2080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0.9pt;margin-top:266.65pt;width:282pt;height:3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" strokecolor="white [3212]">
                <v:textbox>
                  <w:txbxContent>
                    <w:p w:rsidR="001F26B3" w:rsidRPr="0001490A" w:rsidRDefault="001F26B3">
                      <w:pPr>
                        <w:rPr>
                          <w:i/>
                          <w:lang w:val="en-US"/>
                        </w:rPr>
                      </w:pPr>
                      <w:r w:rsidRPr="0001490A">
                        <w:rPr>
                          <w:i/>
                          <w:lang w:val="en-US"/>
                        </w:rPr>
                        <w:t>Fig. 3b. Future potential distribution of A</w:t>
                      </w:r>
                      <w:r w:rsidR="0061393D" w:rsidRPr="0001490A">
                        <w:rPr>
                          <w:i/>
                          <w:lang w:val="en-US"/>
                        </w:rPr>
                        <w:t>.</w:t>
                      </w:r>
                      <w:r w:rsidRPr="0001490A">
                        <w:rPr>
                          <w:i/>
                          <w:lang w:val="en-US"/>
                        </w:rPr>
                        <w:t xml:space="preserve"> </w:t>
                      </w:r>
                      <w:proofErr w:type="spellStart"/>
                      <w:r w:rsidRPr="0001490A">
                        <w:rPr>
                          <w:i/>
                          <w:lang w:val="en-US"/>
                        </w:rPr>
                        <w:t>comosus</w:t>
                      </w:r>
                      <w:proofErr w:type="spellEnd"/>
                      <w:r w:rsidR="00FD7FD9" w:rsidRPr="0001490A">
                        <w:rPr>
                          <w:i/>
                          <w:lang w:val="en-US"/>
                        </w:rPr>
                        <w:t xml:space="preserve"> between 2060-2080</w:t>
                      </w:r>
                    </w:p>
                  </w:txbxContent>
                </v:textbox>
              </v:shape>
            </w:pict>
          </mc:Fallback>
        </mc:AlternateContent>
      </w:r>
      <w:r w:rsidR="001F26B3" w:rsidRPr="001F26B3">
        <w:rPr>
          <w:noProof/>
        </w:rPr>
        <w:drawing>
          <wp:inline distT="0" distB="0" distL="0" distR="0" wp14:anchorId="23D0E90C" wp14:editId="211E9887">
            <wp:extent cx="4029271" cy="340042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8586" cy="3425165"/>
                    </a:xfrm>
                    <a:prstGeom prst="rect">
                      <a:avLst/>
                    </a:prstGeom>
                  </pic:spPr>
                </pic:pic>
              </a:graphicData>
            </a:graphic>
          </wp:inline>
        </w:drawing>
      </w:r>
      <w:r w:rsidR="001F26B3">
        <w:rPr>
          <w:lang w:val="en-US"/>
        </w:rPr>
        <w:br/>
      </w:r>
    </w:p>
    <w:p w:rsidR="001C277F" w:rsidRDefault="001C277F">
      <w:pPr>
        <w:rPr>
          <w:lang w:val="en-US"/>
        </w:rPr>
      </w:pPr>
    </w:p>
    <w:p w:rsidR="00FD7FD9" w:rsidRDefault="00FD7FD9">
      <w:pPr>
        <w:rPr>
          <w:lang w:val="en-US"/>
        </w:rPr>
      </w:pPr>
      <w:r>
        <w:rPr>
          <w:lang w:val="en-US"/>
        </w:rPr>
        <w:t>At first sight there doesn’t seem to be major distribution shifts from 1960-1990</w:t>
      </w:r>
      <w:r w:rsidR="002059C5">
        <w:rPr>
          <w:lang w:val="en-US"/>
        </w:rPr>
        <w:t>(Fig. 3a.)</w:t>
      </w:r>
      <w:r>
        <w:rPr>
          <w:lang w:val="en-US"/>
        </w:rPr>
        <w:t xml:space="preserve"> to 2060-2080</w:t>
      </w:r>
      <w:r w:rsidR="002059C5">
        <w:rPr>
          <w:lang w:val="en-US"/>
        </w:rPr>
        <w:t>(Fig 3b.)</w:t>
      </w:r>
    </w:p>
    <w:p w:rsidR="001C277F" w:rsidRDefault="0022024E">
      <w:pPr>
        <w:rPr>
          <w:lang w:val="en-US"/>
        </w:rPr>
      </w:pPr>
      <w:r w:rsidRPr="0022024E">
        <w:rPr>
          <w:sz w:val="28"/>
          <w:szCs w:val="28"/>
          <w:u w:val="single"/>
          <w:lang w:val="en-US"/>
        </w:rPr>
        <w:t>Model performance</w:t>
      </w:r>
    </w:p>
    <w:p w:rsidR="00540504" w:rsidRDefault="00E17E6A">
      <w:pPr>
        <w:rPr>
          <w:lang w:val="en-US"/>
        </w:rPr>
      </w:pPr>
      <w:r w:rsidRPr="0022024E">
        <w:rPr>
          <w:noProof/>
          <w:lang w:val="en-US"/>
        </w:rPr>
        <mc:AlternateContent>
          <mc:Choice Requires="wps">
            <w:drawing>
              <wp:anchor distT="45720" distB="45720" distL="114300" distR="114300" simplePos="0" relativeHeight="251669504" behindDoc="0" locked="0" layoutInCell="1" allowOverlap="1">
                <wp:simplePos x="0" y="0"/>
                <wp:positionH relativeFrom="column">
                  <wp:posOffset>195580</wp:posOffset>
                </wp:positionH>
                <wp:positionV relativeFrom="paragraph">
                  <wp:posOffset>2531110</wp:posOffset>
                </wp:positionV>
                <wp:extent cx="2360930" cy="266700"/>
                <wp:effectExtent l="0" t="0" r="19685" b="19050"/>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solidFill>
                            <a:schemeClr val="bg1"/>
                          </a:solidFill>
                          <a:miter lim="800000"/>
                          <a:headEnd/>
                          <a:tailEnd/>
                        </a:ln>
                      </wps:spPr>
                      <wps:txbx>
                        <w:txbxContent>
                          <w:p w:rsidR="0022024E" w:rsidRPr="0001490A" w:rsidRDefault="0022024E">
                            <w:pPr>
                              <w:rPr>
                                <w:i/>
                              </w:rPr>
                            </w:pPr>
                            <w:r w:rsidRPr="0001490A">
                              <w:rPr>
                                <w:i/>
                              </w:rPr>
                              <w:t>Fig. 4. AUC model performance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5.4pt;margin-top:199.3pt;width:185.9pt;height:2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" strokecolor="white [3212]">
                <v:textbox>
                  <w:txbxContent>
                    <w:p w:rsidR="0022024E" w:rsidRPr="0001490A" w:rsidRDefault="0022024E">
                      <w:pPr>
                        <w:rPr>
                          <w:i/>
                        </w:rPr>
                      </w:pPr>
                      <w:r w:rsidRPr="0001490A">
                        <w:rPr>
                          <w:i/>
                        </w:rPr>
                        <w:t>Fig. 4. AUC model performance</w:t>
                      </w:r>
                    </w:p>
                  </w:txbxContent>
                </v:textbox>
              </v:shape>
            </w:pict>
          </mc:Fallback>
        </mc:AlternateContent>
      </w:r>
      <w:r w:rsidR="0022024E" w:rsidRPr="0022024E">
        <w:rPr>
          <w:noProof/>
        </w:rPr>
        <w:drawing>
          <wp:inline distT="0" distB="0" distL="0" distR="0" wp14:anchorId="6D76BE19" wp14:editId="25D17960">
            <wp:extent cx="4000500" cy="2542206"/>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2647" cy="2556280"/>
                    </a:xfrm>
                    <a:prstGeom prst="rect">
                      <a:avLst/>
                    </a:prstGeom>
                  </pic:spPr>
                </pic:pic>
              </a:graphicData>
            </a:graphic>
          </wp:inline>
        </w:drawing>
      </w:r>
      <w:r w:rsidR="0022024E">
        <w:rPr>
          <w:lang w:val="en-US"/>
        </w:rPr>
        <w:br/>
      </w:r>
    </w:p>
    <w:p w:rsidR="0001490A" w:rsidRDefault="0001490A" w:rsidP="00AF66D8">
      <w:pPr>
        <w:rPr>
          <w:lang w:val="en-US"/>
        </w:rPr>
      </w:pPr>
    </w:p>
    <w:p w:rsidR="00FE3910" w:rsidRDefault="00FE3910" w:rsidP="00AF66D8">
      <w:pPr>
        <w:rPr>
          <w:lang w:val="en-US"/>
        </w:rPr>
      </w:pPr>
      <w:r>
        <w:rPr>
          <w:lang w:val="en-US"/>
        </w:rPr>
        <w:t>The AUC</w:t>
      </w:r>
      <w:r w:rsidR="002059C5">
        <w:rPr>
          <w:lang w:val="en-US"/>
        </w:rPr>
        <w:t>(Fig. 4.)</w:t>
      </w:r>
      <w:r>
        <w:rPr>
          <w:lang w:val="en-US"/>
        </w:rPr>
        <w:t xml:space="preserve"> is about 0.867</w:t>
      </w:r>
      <w:r w:rsidR="001F0E4B">
        <w:rPr>
          <w:lang w:val="en-US"/>
        </w:rPr>
        <w:t xml:space="preserve"> which is a relatively high score meaning we can have a confidence in its predictions. </w:t>
      </w:r>
    </w:p>
    <w:p w:rsidR="00AF66D8" w:rsidRPr="00FD7FD9" w:rsidRDefault="00AF66D8" w:rsidP="00AF66D8">
      <w:pPr>
        <w:rPr>
          <w:lang w:val="en-US"/>
        </w:rPr>
      </w:pPr>
      <w:r w:rsidRPr="00FD7FD9">
        <w:rPr>
          <w:lang w:val="en-US"/>
        </w:rPr>
        <w:lastRenderedPageBreak/>
        <w:t xml:space="preserve">AUC is </w:t>
      </w:r>
      <w:r w:rsidR="00FD7FD9" w:rsidRPr="00FD7FD9">
        <w:rPr>
          <w:lang w:val="en-US"/>
        </w:rPr>
        <w:t>actually not a good measure for the precision of th</w:t>
      </w:r>
      <w:r w:rsidR="00FD7FD9">
        <w:rPr>
          <w:lang w:val="en-US"/>
        </w:rPr>
        <w:t xml:space="preserve">e model. </w:t>
      </w:r>
      <w:r w:rsidR="00FD7FD9" w:rsidRPr="00FD7FD9">
        <w:rPr>
          <w:lang w:val="en-US"/>
        </w:rPr>
        <w:t>For a good measure of the precision you would need to</w:t>
      </w:r>
      <w:r w:rsidR="00FD7FD9">
        <w:rPr>
          <w:lang w:val="en-US"/>
        </w:rPr>
        <w:t xml:space="preserve"> run tests </w:t>
      </w:r>
      <w:r w:rsidR="0061393D">
        <w:rPr>
          <w:lang w:val="en-US"/>
        </w:rPr>
        <w:t xml:space="preserve">of </w:t>
      </w:r>
      <w:r w:rsidR="00FD7FD9">
        <w:rPr>
          <w:lang w:val="en-US"/>
        </w:rPr>
        <w:t xml:space="preserve">our model against a null-model and get a p-value as a sign for significance but this would take too much time to do in this practical. </w:t>
      </w:r>
    </w:p>
    <w:p w:rsidR="002A5590" w:rsidRPr="00185143" w:rsidRDefault="002A5590">
      <w:pPr>
        <w:rPr>
          <w:sz w:val="28"/>
          <w:szCs w:val="28"/>
          <w:u w:val="single"/>
        </w:rPr>
      </w:pPr>
      <w:proofErr w:type="spellStart"/>
      <w:r w:rsidRPr="00185143">
        <w:rPr>
          <w:sz w:val="28"/>
          <w:szCs w:val="28"/>
          <w:u w:val="single"/>
        </w:rPr>
        <w:t>Variable</w:t>
      </w:r>
      <w:proofErr w:type="spellEnd"/>
      <w:r w:rsidRPr="00185143">
        <w:rPr>
          <w:sz w:val="28"/>
          <w:szCs w:val="28"/>
          <w:u w:val="single"/>
        </w:rPr>
        <w:t xml:space="preserve"> </w:t>
      </w:r>
      <w:proofErr w:type="spellStart"/>
      <w:r w:rsidRPr="00185143">
        <w:rPr>
          <w:sz w:val="28"/>
          <w:szCs w:val="28"/>
          <w:u w:val="single"/>
        </w:rPr>
        <w:t>importance</w:t>
      </w:r>
      <w:proofErr w:type="spellEnd"/>
      <w:r w:rsidRPr="00185143">
        <w:rPr>
          <w:sz w:val="28"/>
          <w:szCs w:val="28"/>
          <w:u w:val="single"/>
        </w:rPr>
        <w:t xml:space="preserve"> </w:t>
      </w:r>
      <w:proofErr w:type="spellStart"/>
      <w:r w:rsidRPr="00185143">
        <w:rPr>
          <w:sz w:val="28"/>
          <w:szCs w:val="28"/>
          <w:u w:val="single"/>
        </w:rPr>
        <w:t>table</w:t>
      </w:r>
      <w:proofErr w:type="spellEnd"/>
    </w:p>
    <w:p w:rsidR="00185143" w:rsidRPr="00185143" w:rsidRDefault="002059C5">
      <w:r>
        <w:rPr>
          <w:noProof/>
        </w:rPr>
        <mc:AlternateContent>
          <mc:Choice Requires="wps">
            <w:drawing>
              <wp:anchor distT="45720" distB="45720" distL="114300" distR="114300" simplePos="0" relativeHeight="251671552" behindDoc="0" locked="0" layoutInCell="1" allowOverlap="1">
                <wp:simplePos x="0" y="0"/>
                <wp:positionH relativeFrom="column">
                  <wp:posOffset>-4445</wp:posOffset>
                </wp:positionH>
                <wp:positionV relativeFrom="paragraph">
                  <wp:posOffset>1269365</wp:posOffset>
                </wp:positionV>
                <wp:extent cx="3743325" cy="447675"/>
                <wp:effectExtent l="0" t="0" r="28575" b="28575"/>
                <wp:wrapNone/>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447675"/>
                        </a:xfrm>
                        <a:prstGeom prst="rect">
                          <a:avLst/>
                        </a:prstGeom>
                        <a:solidFill>
                          <a:srgbClr val="FFFFFF"/>
                        </a:solidFill>
                        <a:ln w="9525">
                          <a:solidFill>
                            <a:schemeClr val="bg1"/>
                          </a:solidFill>
                          <a:miter lim="800000"/>
                          <a:headEnd/>
                          <a:tailEnd/>
                        </a:ln>
                      </wps:spPr>
                      <wps:txbx>
                        <w:txbxContent>
                          <w:p w:rsidR="00185143" w:rsidRPr="002059C5" w:rsidRDefault="002059C5">
                            <w:pPr>
                              <w:rPr>
                                <w:i/>
                                <w:lang w:val="en-US"/>
                              </w:rPr>
                            </w:pPr>
                            <w:r>
                              <w:rPr>
                                <w:i/>
                                <w:lang w:val="en-US"/>
                              </w:rPr>
                              <w:t>Tab</w:t>
                            </w:r>
                            <w:r w:rsidR="00185143" w:rsidRPr="002059C5">
                              <w:rPr>
                                <w:i/>
                                <w:lang w:val="en-US"/>
                              </w:rPr>
                              <w:t xml:space="preserve">. </w:t>
                            </w:r>
                            <w:r>
                              <w:rPr>
                                <w:i/>
                                <w:lang w:val="en-US"/>
                              </w:rPr>
                              <w:t>1</w:t>
                            </w:r>
                            <w:r w:rsidR="00185143" w:rsidRPr="002059C5">
                              <w:rPr>
                                <w:i/>
                                <w:lang w:val="en-US"/>
                              </w:rPr>
                              <w:t>. Individual contribution of the variables ranked by importance high to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pt;margin-top:99.95pt;width:294.75pt;height:3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" strokecolor="white [3212]">
                <v:textbox>
                  <w:txbxContent>
                    <w:p w:rsidR="00185143" w:rsidRPr="002059C5" w:rsidRDefault="002059C5">
                      <w:pPr>
                        <w:rPr>
                          <w:i/>
                          <w:lang w:val="en-US"/>
                        </w:rPr>
                      </w:pPr>
                      <w:r>
                        <w:rPr>
                          <w:i/>
                          <w:lang w:val="en-US"/>
                        </w:rPr>
                        <w:t>Tab</w:t>
                      </w:r>
                      <w:r w:rsidR="00185143" w:rsidRPr="002059C5">
                        <w:rPr>
                          <w:i/>
                          <w:lang w:val="en-US"/>
                        </w:rPr>
                        <w:t xml:space="preserve">. </w:t>
                      </w:r>
                      <w:r>
                        <w:rPr>
                          <w:i/>
                          <w:lang w:val="en-US"/>
                        </w:rPr>
                        <w:t>1</w:t>
                      </w:r>
                      <w:r w:rsidR="00185143" w:rsidRPr="002059C5">
                        <w:rPr>
                          <w:i/>
                          <w:lang w:val="en-US"/>
                        </w:rPr>
                        <w:t>. Individual contribution of the variables ranked by importance high to low.</w:t>
                      </w:r>
                    </w:p>
                  </w:txbxContent>
                </v:textbox>
              </v:shape>
            </w:pict>
          </mc:Fallback>
        </mc:AlternateContent>
      </w:r>
      <w:r w:rsidR="00185143" w:rsidRPr="00185143">
        <w:rPr>
          <w:noProof/>
        </w:rPr>
        <w:drawing>
          <wp:inline distT="0" distB="0" distL="0" distR="0" wp14:anchorId="08A4EC0B" wp14:editId="22EBFF10">
            <wp:extent cx="3819525" cy="12668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9525" cy="1266825"/>
                    </a:xfrm>
                    <a:prstGeom prst="rect">
                      <a:avLst/>
                    </a:prstGeom>
                  </pic:spPr>
                </pic:pic>
              </a:graphicData>
            </a:graphic>
          </wp:inline>
        </w:drawing>
      </w:r>
      <w:r w:rsidR="00185143">
        <w:rPr>
          <w:sz w:val="32"/>
          <w:szCs w:val="32"/>
        </w:rPr>
        <w:br/>
      </w:r>
    </w:p>
    <w:p w:rsidR="00185143" w:rsidRDefault="00185143">
      <w:pPr>
        <w:rPr>
          <w:sz w:val="36"/>
          <w:szCs w:val="36"/>
        </w:rPr>
      </w:pPr>
    </w:p>
    <w:p w:rsidR="00805B4C" w:rsidRPr="0061393D" w:rsidRDefault="0061393D">
      <w:pPr>
        <w:rPr>
          <w:lang w:val="en-US"/>
        </w:rPr>
      </w:pPr>
      <w:r w:rsidRPr="0061393D">
        <w:rPr>
          <w:lang w:val="en-US"/>
        </w:rPr>
        <w:t>We</w:t>
      </w:r>
      <w:r>
        <w:rPr>
          <w:lang w:val="en-US"/>
        </w:rPr>
        <w:t xml:space="preserve"> can clearly see that, in absence of the Minimum temperature coldest Month(bio6) variable, the Precipitation of the wettest Month(Bio13) and Precipitation of the driest Month(Bio14) variables are on top in the importance table</w:t>
      </w:r>
      <w:r w:rsidR="002059C5">
        <w:rPr>
          <w:lang w:val="en-US"/>
        </w:rPr>
        <w:t>(Tab. 1.)</w:t>
      </w:r>
      <w:r>
        <w:rPr>
          <w:lang w:val="en-US"/>
        </w:rPr>
        <w:t xml:space="preserve"> for explaining the distribution of </w:t>
      </w:r>
      <w:r w:rsidRPr="0061393D">
        <w:rPr>
          <w:i/>
          <w:lang w:val="en-US"/>
        </w:rPr>
        <w:t xml:space="preserve">A. </w:t>
      </w:r>
      <w:proofErr w:type="spellStart"/>
      <w:r w:rsidRPr="0061393D">
        <w:rPr>
          <w:i/>
          <w:lang w:val="en-US"/>
        </w:rPr>
        <w:t>comosus</w:t>
      </w:r>
      <w:proofErr w:type="spellEnd"/>
      <w:r>
        <w:rPr>
          <w:lang w:val="en-US"/>
        </w:rPr>
        <w:t>.</w:t>
      </w:r>
      <w:r>
        <w:rPr>
          <w:lang w:val="en-US"/>
        </w:rPr>
        <w:br/>
        <w:t xml:space="preserve">The variation in temperature during the day expressed by the variable Mean diurnal range(bio2) seems to be the least important in this selection. </w:t>
      </w:r>
    </w:p>
    <w:p w:rsidR="00185143" w:rsidRPr="0061393D" w:rsidRDefault="00185143">
      <w:pPr>
        <w:rPr>
          <w:sz w:val="28"/>
          <w:szCs w:val="28"/>
          <w:u w:val="single"/>
          <w:lang w:val="en-US"/>
        </w:rPr>
      </w:pPr>
      <w:r w:rsidRPr="0061393D">
        <w:rPr>
          <w:sz w:val="28"/>
          <w:szCs w:val="28"/>
          <w:u w:val="single"/>
          <w:lang w:val="en-US"/>
        </w:rPr>
        <w:t>Future distribution change map</w:t>
      </w:r>
    </w:p>
    <w:p w:rsidR="00185143" w:rsidRDefault="002059C5">
      <w:r>
        <w:rPr>
          <w:noProof/>
        </w:rPr>
        <mc:AlternateContent>
          <mc:Choice Requires="wps">
            <w:drawing>
              <wp:anchor distT="45720" distB="45720" distL="114300" distR="114300" simplePos="0" relativeHeight="251673600" behindDoc="0" locked="0" layoutInCell="1" allowOverlap="1">
                <wp:simplePos x="0" y="0"/>
                <wp:positionH relativeFrom="column">
                  <wp:posOffset>224155</wp:posOffset>
                </wp:positionH>
                <wp:positionV relativeFrom="paragraph">
                  <wp:posOffset>4090035</wp:posOffset>
                </wp:positionV>
                <wp:extent cx="4171950" cy="1404620"/>
                <wp:effectExtent l="0" t="0" r="19050" b="27305"/>
                <wp:wrapNone/>
                <wp:docPr id="2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solidFill>
                            <a:schemeClr val="bg1"/>
                          </a:solidFill>
                          <a:miter lim="800000"/>
                          <a:headEnd/>
                          <a:tailEnd/>
                        </a:ln>
                      </wps:spPr>
                      <wps:txbx>
                        <w:txbxContent>
                          <w:p w:rsidR="00AF66D8" w:rsidRPr="002059C5" w:rsidRDefault="00AF66D8">
                            <w:pPr>
                              <w:rPr>
                                <w:i/>
                                <w:lang w:val="en-US"/>
                              </w:rPr>
                            </w:pPr>
                            <w:r w:rsidRPr="002059C5">
                              <w:rPr>
                                <w:i/>
                                <w:lang w:val="en-US"/>
                              </w:rPr>
                              <w:t xml:space="preserve">Fig. </w:t>
                            </w:r>
                            <w:r w:rsidR="002059C5">
                              <w:rPr>
                                <w:i/>
                                <w:lang w:val="en-US"/>
                              </w:rPr>
                              <w:t>5</w:t>
                            </w:r>
                            <w:r w:rsidRPr="002059C5">
                              <w:rPr>
                                <w:i/>
                                <w:lang w:val="en-US"/>
                              </w:rPr>
                              <w:t>.  Change in suitable habitat between 1960-1990 and 2060-2080.</w:t>
                            </w:r>
                            <w:r w:rsidRPr="002059C5">
                              <w:rPr>
                                <w:i/>
                                <w:lang w:val="en-US"/>
                              </w:rPr>
                              <w:br/>
                              <w:t>Red = Loss of suitable habitat, Yellow = remains suitable habitat, Green = gain of suitable habitat, Grey = never suitable habitat.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7.65pt;margin-top:322.05pt;width:32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" strokecolor="white [3212]">
                <v:textbox style="mso-fit-shape-to-text:t">
                  <w:txbxContent>
                    <w:p w:rsidR="00AF66D8" w:rsidRPr="002059C5" w:rsidRDefault="00AF66D8">
                      <w:pPr>
                        <w:rPr>
                          <w:i/>
                          <w:lang w:val="en-US"/>
                        </w:rPr>
                      </w:pPr>
                      <w:r w:rsidRPr="002059C5">
                        <w:rPr>
                          <w:i/>
                          <w:lang w:val="en-US"/>
                        </w:rPr>
                        <w:t xml:space="preserve">Fig. </w:t>
                      </w:r>
                      <w:r w:rsidR="002059C5">
                        <w:rPr>
                          <w:i/>
                          <w:lang w:val="en-US"/>
                        </w:rPr>
                        <w:t>5</w:t>
                      </w:r>
                      <w:r w:rsidRPr="002059C5">
                        <w:rPr>
                          <w:i/>
                          <w:lang w:val="en-US"/>
                        </w:rPr>
                        <w:t>.  Change in suitable habitat between 1960-1990 and 2060-2080.</w:t>
                      </w:r>
                      <w:r w:rsidRPr="002059C5">
                        <w:rPr>
                          <w:i/>
                          <w:lang w:val="en-US"/>
                        </w:rPr>
                        <w:br/>
                        <w:t>Red = Loss of suitable habitat, Yellow = remains suitable habitat, Green = gain of suitable habitat, Grey = never suitable habitat.</w:t>
                      </w:r>
                    </w:p>
                  </w:txbxContent>
                </v:textbox>
              </v:shape>
            </w:pict>
          </mc:Fallback>
        </mc:AlternateContent>
      </w:r>
      <w:r w:rsidR="00AF66D8" w:rsidRPr="00AF66D8">
        <w:rPr>
          <w:noProof/>
        </w:rPr>
        <w:drawing>
          <wp:inline distT="0" distB="0" distL="0" distR="0" wp14:anchorId="027E73D4" wp14:editId="2B7E99F2">
            <wp:extent cx="5000625" cy="4152900"/>
            <wp:effectExtent l="0" t="0" r="952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4152900"/>
                    </a:xfrm>
                    <a:prstGeom prst="rect">
                      <a:avLst/>
                    </a:prstGeom>
                  </pic:spPr>
                </pic:pic>
              </a:graphicData>
            </a:graphic>
          </wp:inline>
        </w:drawing>
      </w:r>
      <w:r w:rsidR="00AF66D8">
        <w:br/>
      </w:r>
    </w:p>
    <w:p w:rsidR="00AF66D8" w:rsidRPr="00185143" w:rsidRDefault="00AF66D8"/>
    <w:p w:rsidR="00AF66D8" w:rsidRDefault="00AF66D8">
      <w:pPr>
        <w:rPr>
          <w:sz w:val="36"/>
          <w:szCs w:val="36"/>
        </w:rPr>
      </w:pPr>
    </w:p>
    <w:p w:rsidR="00AF66D8" w:rsidRPr="00E155A7" w:rsidRDefault="0061393D">
      <w:pPr>
        <w:rPr>
          <w:lang w:val="en-US"/>
        </w:rPr>
      </w:pPr>
      <w:r w:rsidRPr="0061393D">
        <w:rPr>
          <w:lang w:val="en-US"/>
        </w:rPr>
        <w:t>We see that</w:t>
      </w:r>
      <w:r>
        <w:rPr>
          <w:lang w:val="en-US"/>
        </w:rPr>
        <w:t xml:space="preserve"> the</w:t>
      </w:r>
      <w:r w:rsidRPr="0061393D">
        <w:rPr>
          <w:lang w:val="en-US"/>
        </w:rPr>
        <w:t xml:space="preserve"> most l</w:t>
      </w:r>
      <w:r>
        <w:rPr>
          <w:lang w:val="en-US"/>
        </w:rPr>
        <w:t xml:space="preserve">oss of suitable habitat for </w:t>
      </w:r>
      <w:r w:rsidRPr="0061393D">
        <w:rPr>
          <w:i/>
          <w:lang w:val="en-US"/>
        </w:rPr>
        <w:t xml:space="preserve">A. </w:t>
      </w:r>
      <w:proofErr w:type="spellStart"/>
      <w:r w:rsidRPr="0061393D">
        <w:rPr>
          <w:i/>
          <w:lang w:val="en-US"/>
        </w:rPr>
        <w:t>comosus</w:t>
      </w:r>
      <w:proofErr w:type="spellEnd"/>
      <w:r>
        <w:rPr>
          <w:lang w:val="en-US"/>
        </w:rPr>
        <w:t xml:space="preserve"> is in its native area Brazil in the southern part of the Amazon rain forest. In the North-Amerika there is also </w:t>
      </w:r>
      <w:r w:rsidR="00E155A7">
        <w:rPr>
          <w:lang w:val="en-US"/>
        </w:rPr>
        <w:t xml:space="preserve">a net loss of suitable area. </w:t>
      </w:r>
      <w:r w:rsidR="00E155A7">
        <w:rPr>
          <w:lang w:val="en-US"/>
        </w:rPr>
        <w:br/>
        <w:t>In the African tropics the amount of suitable habitat seems to be slightly declining. In comparison</w:t>
      </w:r>
      <w:r w:rsidR="00E155A7">
        <w:rPr>
          <w:lang w:val="en-US"/>
        </w:rPr>
        <w:br/>
        <w:t xml:space="preserve">East-Asia seems to be doing a much better job in the future in terms of suitable habitat for </w:t>
      </w:r>
      <w:r w:rsidR="00E155A7" w:rsidRPr="00E155A7">
        <w:rPr>
          <w:i/>
          <w:lang w:val="en-US"/>
        </w:rPr>
        <w:t xml:space="preserve">A. </w:t>
      </w:r>
      <w:proofErr w:type="spellStart"/>
      <w:r w:rsidR="00E155A7" w:rsidRPr="00E155A7">
        <w:rPr>
          <w:i/>
          <w:lang w:val="en-US"/>
        </w:rPr>
        <w:t>comosus</w:t>
      </w:r>
      <w:proofErr w:type="spellEnd"/>
      <w:r w:rsidR="00E155A7" w:rsidRPr="00E155A7">
        <w:rPr>
          <w:i/>
          <w:lang w:val="en-US"/>
        </w:rPr>
        <w:t>.</w:t>
      </w:r>
      <w:r w:rsidR="00E155A7">
        <w:rPr>
          <w:lang w:val="en-US"/>
        </w:rPr>
        <w:t xml:space="preserve"> Especially China and Thailand will have a better chance of housing </w:t>
      </w:r>
      <w:r w:rsidR="00E155A7" w:rsidRPr="00E155A7">
        <w:rPr>
          <w:i/>
          <w:lang w:val="en-US"/>
        </w:rPr>
        <w:t xml:space="preserve">A. </w:t>
      </w:r>
      <w:proofErr w:type="spellStart"/>
      <w:r w:rsidR="00E155A7" w:rsidRPr="00E155A7">
        <w:rPr>
          <w:i/>
          <w:lang w:val="en-US"/>
        </w:rPr>
        <w:t>comosus</w:t>
      </w:r>
      <w:proofErr w:type="spellEnd"/>
      <w:r w:rsidR="002059C5">
        <w:rPr>
          <w:lang w:val="en-US"/>
        </w:rPr>
        <w:t>(Fig. 5.)</w:t>
      </w:r>
      <w:r w:rsidR="00E155A7">
        <w:rPr>
          <w:lang w:val="en-US"/>
        </w:rPr>
        <w:t>.</w:t>
      </w:r>
    </w:p>
    <w:p w:rsidR="00AF66D8" w:rsidRDefault="00E17E6A">
      <w:pPr>
        <w:rPr>
          <w:lang w:val="en-US"/>
        </w:rPr>
      </w:pPr>
      <w:r w:rsidRPr="0061393D">
        <w:rPr>
          <w:sz w:val="36"/>
          <w:szCs w:val="36"/>
          <w:lang w:val="en-US"/>
        </w:rPr>
        <w:t>Biological i</w:t>
      </w:r>
      <w:r w:rsidR="00AF66D8" w:rsidRPr="0061393D">
        <w:rPr>
          <w:sz w:val="36"/>
          <w:szCs w:val="36"/>
          <w:lang w:val="en-US"/>
        </w:rPr>
        <w:t>nterpretation</w:t>
      </w:r>
    </w:p>
    <w:p w:rsidR="000D4C41" w:rsidRDefault="00707E78">
      <w:pPr>
        <w:rPr>
          <w:lang w:val="en-US"/>
        </w:rPr>
      </w:pPr>
      <w:r>
        <w:rPr>
          <w:lang w:val="en-US"/>
        </w:rPr>
        <w:t>The distribution</w:t>
      </w:r>
      <w:r w:rsidR="00260290">
        <w:rPr>
          <w:lang w:val="en-US"/>
        </w:rPr>
        <w:t>(Fig. 5.)</w:t>
      </w:r>
      <w:r>
        <w:rPr>
          <w:lang w:val="en-US"/>
        </w:rPr>
        <w:t xml:space="preserve"> is expected to change to most in North- and South-Amerika and East Asia. In North-and South-Amerika the changes to the suitable habitat are foremost negative with huge areas of suitable habitat loss in the period 1960-1990 to 2060-2080. East Asia is the only place where </w:t>
      </w:r>
      <w:r w:rsidRPr="00707E78">
        <w:rPr>
          <w:i/>
          <w:lang w:val="en-US"/>
        </w:rPr>
        <w:t xml:space="preserve">A. </w:t>
      </w:r>
      <w:proofErr w:type="spellStart"/>
      <w:r w:rsidRPr="00707E78">
        <w:rPr>
          <w:i/>
          <w:lang w:val="en-US"/>
        </w:rPr>
        <w:t>comosus</w:t>
      </w:r>
      <w:proofErr w:type="spellEnd"/>
      <w:r>
        <w:rPr>
          <w:lang w:val="en-US"/>
        </w:rPr>
        <w:t xml:space="preserve"> will find more suitable habitat in the future</w:t>
      </w:r>
      <w:r w:rsidR="000D4C41">
        <w:rPr>
          <w:lang w:val="en-US"/>
        </w:rPr>
        <w:t>(2060-2080)</w:t>
      </w:r>
      <w:r>
        <w:rPr>
          <w:lang w:val="en-US"/>
        </w:rPr>
        <w:t xml:space="preserve"> than it did in </w:t>
      </w:r>
      <w:r w:rsidR="000D4C41">
        <w:rPr>
          <w:lang w:val="en-US"/>
        </w:rPr>
        <w:t>the past(1960-1990).</w:t>
      </w:r>
      <w:r w:rsidR="000D4C41">
        <w:rPr>
          <w:lang w:val="en-US"/>
        </w:rPr>
        <w:br/>
        <w:t xml:space="preserve">Fortunately there are also major areas where the habitat will remain suitable. </w:t>
      </w:r>
    </w:p>
    <w:p w:rsidR="001F0E4B" w:rsidRDefault="001F0E4B">
      <w:pPr>
        <w:rPr>
          <w:lang w:val="en-US"/>
        </w:rPr>
      </w:pPr>
      <w:r>
        <w:rPr>
          <w:lang w:val="en-US"/>
        </w:rPr>
        <w:t xml:space="preserve">The variables regarding precipitation were found most important by the model to project the future distribution range of </w:t>
      </w:r>
      <w:r w:rsidRPr="00F718B3">
        <w:rPr>
          <w:i/>
          <w:lang w:val="en-US"/>
        </w:rPr>
        <w:t xml:space="preserve">A. </w:t>
      </w:r>
      <w:proofErr w:type="spellStart"/>
      <w:r w:rsidRPr="00F718B3">
        <w:rPr>
          <w:i/>
          <w:lang w:val="en-US"/>
        </w:rPr>
        <w:t>comosus</w:t>
      </w:r>
      <w:proofErr w:type="spellEnd"/>
      <w:r>
        <w:rPr>
          <w:lang w:val="en-US"/>
        </w:rPr>
        <w:t xml:space="preserve">. </w:t>
      </w:r>
      <w:r w:rsidR="00F718B3">
        <w:rPr>
          <w:lang w:val="en-US"/>
        </w:rPr>
        <w:t>Temperature was a whole lot less important</w:t>
      </w:r>
      <w:r w:rsidR="00260290">
        <w:rPr>
          <w:lang w:val="en-US"/>
        </w:rPr>
        <w:t>(Tab. 1.)</w:t>
      </w:r>
      <w:r w:rsidR="00F718B3">
        <w:rPr>
          <w:lang w:val="en-US"/>
        </w:rPr>
        <w:t xml:space="preserve">. </w:t>
      </w:r>
    </w:p>
    <w:p w:rsidR="000D4C41" w:rsidRDefault="001F0E4B">
      <w:pPr>
        <w:rPr>
          <w:lang w:val="en-US"/>
        </w:rPr>
      </w:pPr>
      <w:r>
        <w:rPr>
          <w:lang w:val="en-US"/>
        </w:rPr>
        <w:t xml:space="preserve">As mentioned in the introduction the distribution of A. </w:t>
      </w:r>
      <w:proofErr w:type="spellStart"/>
      <w:r>
        <w:rPr>
          <w:lang w:val="en-US"/>
        </w:rPr>
        <w:t>comosus</w:t>
      </w:r>
      <w:proofErr w:type="spellEnd"/>
      <w:r>
        <w:rPr>
          <w:lang w:val="en-US"/>
        </w:rPr>
        <w:t xml:space="preserve"> is heavily influenced by trade. </w:t>
      </w:r>
      <w:r>
        <w:rPr>
          <w:lang w:val="en-US"/>
        </w:rPr>
        <w:br/>
        <w:t xml:space="preserve">Because it is traded it has value for humans and the value A. </w:t>
      </w:r>
      <w:proofErr w:type="spellStart"/>
      <w:r>
        <w:rPr>
          <w:lang w:val="en-US"/>
        </w:rPr>
        <w:t>comosus</w:t>
      </w:r>
      <w:proofErr w:type="spellEnd"/>
      <w:r>
        <w:rPr>
          <w:lang w:val="en-US"/>
        </w:rPr>
        <w:t xml:space="preserve"> represents to humans might also be the best dispersal capability it has. </w:t>
      </w:r>
      <w:r w:rsidR="000D4C41" w:rsidRPr="000D4C41">
        <w:rPr>
          <w:i/>
          <w:lang w:val="en-US"/>
        </w:rPr>
        <w:t xml:space="preserve">A. </w:t>
      </w:r>
      <w:proofErr w:type="spellStart"/>
      <w:r w:rsidR="000D4C41" w:rsidRPr="000D4C41">
        <w:rPr>
          <w:i/>
          <w:lang w:val="en-US"/>
        </w:rPr>
        <w:t>comosus</w:t>
      </w:r>
      <w:proofErr w:type="spellEnd"/>
      <w:r w:rsidR="000D4C41">
        <w:rPr>
          <w:lang w:val="en-US"/>
        </w:rPr>
        <w:t xml:space="preserve"> won’t find itself threatened in the future as much as other</w:t>
      </w:r>
      <w:r>
        <w:rPr>
          <w:lang w:val="en-US"/>
        </w:rPr>
        <w:t xml:space="preserve"> “non-valuable” </w:t>
      </w:r>
      <w:r w:rsidR="000D4C41">
        <w:rPr>
          <w:lang w:val="en-US"/>
        </w:rPr>
        <w:t xml:space="preserve">species might. </w:t>
      </w:r>
    </w:p>
    <w:p w:rsidR="00F718B3" w:rsidRDefault="00F718B3">
      <w:pPr>
        <w:rPr>
          <w:lang w:val="en-US"/>
        </w:rPr>
      </w:pPr>
      <w:r>
        <w:rPr>
          <w:lang w:val="en-US"/>
        </w:rPr>
        <w:t>The model with an AUC of 0.867 was an overall model we can put confidence in</w:t>
      </w:r>
      <w:r w:rsidR="00260290">
        <w:rPr>
          <w:lang w:val="en-US"/>
        </w:rPr>
        <w:t>(Fig</w:t>
      </w:r>
      <w:r>
        <w:rPr>
          <w:lang w:val="en-US"/>
        </w:rPr>
        <w:t>.</w:t>
      </w:r>
      <w:r w:rsidR="00260290">
        <w:rPr>
          <w:lang w:val="en-US"/>
        </w:rPr>
        <w:t xml:space="preserve"> 4.).</w:t>
      </w:r>
      <w:r>
        <w:rPr>
          <w:lang w:val="en-US"/>
        </w:rPr>
        <w:t xml:space="preserve"> Some of the downsides of this Species distribution model(SDM) might be that it only takes into account the climatic variables. In reality there is a lot more to SDM’s. An area might have suitable habitat but if there is no place to grow because there are already a lot of other plants, there are herbivores that eat the seeds or the organism face other strong competitive forces it might never start to prosper. </w:t>
      </w:r>
      <w:r>
        <w:rPr>
          <w:lang w:val="en-US"/>
        </w:rPr>
        <w:br/>
        <w:t xml:space="preserve">If the area is suitable and the plant can actually maintain a population, we should also take into account the accessibility of the area and if the dispersal capacity of the plant is up to par to reach the area. </w:t>
      </w:r>
      <w:r>
        <w:rPr>
          <w:lang w:val="en-US"/>
        </w:rPr>
        <w:br/>
        <w:t xml:space="preserve">So </w:t>
      </w:r>
      <w:r w:rsidR="0001490A">
        <w:rPr>
          <w:lang w:val="en-US"/>
        </w:rPr>
        <w:t xml:space="preserve">while this model can predict where </w:t>
      </w:r>
      <w:r w:rsidR="0001490A" w:rsidRPr="0001490A">
        <w:rPr>
          <w:i/>
          <w:lang w:val="en-US"/>
        </w:rPr>
        <w:t xml:space="preserve">A. </w:t>
      </w:r>
      <w:proofErr w:type="spellStart"/>
      <w:r w:rsidR="0001490A" w:rsidRPr="0001490A">
        <w:rPr>
          <w:i/>
          <w:lang w:val="en-US"/>
        </w:rPr>
        <w:t>comosus</w:t>
      </w:r>
      <w:proofErr w:type="spellEnd"/>
      <w:r w:rsidR="0001490A">
        <w:rPr>
          <w:lang w:val="en-US"/>
        </w:rPr>
        <w:t xml:space="preserve"> can occur based on climate is doesn’t tell you the places </w:t>
      </w:r>
      <w:r w:rsidR="0001490A" w:rsidRPr="0001490A">
        <w:rPr>
          <w:i/>
          <w:lang w:val="en-US"/>
        </w:rPr>
        <w:t xml:space="preserve">A. </w:t>
      </w:r>
      <w:proofErr w:type="spellStart"/>
      <w:r w:rsidR="0001490A" w:rsidRPr="0001490A">
        <w:rPr>
          <w:i/>
          <w:lang w:val="en-US"/>
        </w:rPr>
        <w:t>comosus</w:t>
      </w:r>
      <w:proofErr w:type="spellEnd"/>
      <w:r w:rsidR="0001490A">
        <w:rPr>
          <w:lang w:val="en-US"/>
        </w:rPr>
        <w:t xml:space="preserve"> will actually settle down. </w:t>
      </w:r>
    </w:p>
    <w:p w:rsidR="00F718B3" w:rsidRDefault="00F718B3">
      <w:pPr>
        <w:rPr>
          <w:lang w:val="en-US"/>
        </w:rPr>
      </w:pPr>
    </w:p>
    <w:p w:rsidR="007B1E34" w:rsidRPr="00260290" w:rsidRDefault="001C277F">
      <w:pPr>
        <w:rPr>
          <w:color w:val="000000"/>
          <w:shd w:val="clear" w:color="auto" w:fill="FFFFFF"/>
          <w:lang w:val="en-US"/>
        </w:rPr>
      </w:pPr>
      <w:proofErr w:type="spellStart"/>
      <w:r w:rsidRPr="00260290">
        <w:rPr>
          <w:sz w:val="36"/>
          <w:szCs w:val="36"/>
          <w:lang w:val="en-US"/>
        </w:rPr>
        <w:t>Bronnen</w:t>
      </w:r>
      <w:proofErr w:type="spellEnd"/>
      <w:r w:rsidRPr="00260290">
        <w:rPr>
          <w:sz w:val="36"/>
          <w:szCs w:val="36"/>
          <w:lang w:val="en-US"/>
        </w:rPr>
        <w:t>:</w:t>
      </w:r>
      <w:r w:rsidRPr="00260290">
        <w:rPr>
          <w:lang w:val="en-US"/>
        </w:rPr>
        <w:br/>
      </w:r>
      <w:r w:rsidR="00260290" w:rsidRPr="00260290">
        <w:rPr>
          <w:color w:val="000000"/>
          <w:shd w:val="clear" w:color="auto" w:fill="FFFFFF"/>
          <w:lang w:val="en-US"/>
        </w:rPr>
        <w:t xml:space="preserve">- Dataset </w:t>
      </w:r>
      <w:proofErr w:type="spellStart"/>
      <w:r w:rsidR="00260290" w:rsidRPr="00260290">
        <w:rPr>
          <w:color w:val="000000"/>
          <w:shd w:val="clear" w:color="auto" w:fill="FFFFFF"/>
          <w:lang w:val="en-US"/>
        </w:rPr>
        <w:t>Gbif</w:t>
      </w:r>
      <w:proofErr w:type="spellEnd"/>
      <w:r w:rsidR="00260290" w:rsidRPr="00260290">
        <w:rPr>
          <w:color w:val="000000"/>
          <w:shd w:val="clear" w:color="auto" w:fill="FFFFFF"/>
          <w:lang w:val="en-US"/>
        </w:rPr>
        <w:t xml:space="preserve">: </w:t>
      </w:r>
      <w:r w:rsidR="00260290" w:rsidRPr="00260290">
        <w:rPr>
          <w:color w:val="000000"/>
          <w:shd w:val="clear" w:color="auto" w:fill="FFFFFF"/>
          <w:lang w:val="en-US"/>
        </w:rPr>
        <w:t xml:space="preserve">GBIF.org (5th December 2018) GBIF Occurrence Download </w:t>
      </w:r>
      <w:hyperlink r:id="rId14" w:history="1">
        <w:r w:rsidR="00260290" w:rsidRPr="008E6B03">
          <w:rPr>
            <w:rStyle w:val="Hyperlink"/>
            <w:shd w:val="clear" w:color="auto" w:fill="FFFFFF"/>
            <w:lang w:val="en-US"/>
          </w:rPr>
          <w:t>https://doi.org/10.15468/dl.dz5phm</w:t>
        </w:r>
      </w:hyperlink>
      <w:r w:rsidR="00260290">
        <w:rPr>
          <w:color w:val="000000"/>
          <w:shd w:val="clear" w:color="auto" w:fill="FFFFFF"/>
          <w:lang w:val="en-US"/>
        </w:rPr>
        <w:br/>
      </w:r>
      <w:r w:rsidR="007B1E34" w:rsidRPr="00260290">
        <w:rPr>
          <w:color w:val="000000"/>
          <w:shd w:val="clear" w:color="auto" w:fill="FFFFFF"/>
          <w:lang w:val="en-US"/>
        </w:rPr>
        <w:t xml:space="preserve">- </w:t>
      </w:r>
      <w:proofErr w:type="spellStart"/>
      <w:r w:rsidR="007B1E34" w:rsidRPr="00260290">
        <w:rPr>
          <w:color w:val="000000"/>
          <w:shd w:val="clear" w:color="auto" w:fill="FFFFFF"/>
          <w:lang w:val="en-US"/>
        </w:rPr>
        <w:t>Matuszak-Renger</w:t>
      </w:r>
      <w:proofErr w:type="spellEnd"/>
      <w:r w:rsidR="007B1E34" w:rsidRPr="00260290">
        <w:rPr>
          <w:color w:val="000000"/>
          <w:shd w:val="clear" w:color="auto" w:fill="FFFFFF"/>
          <w:lang w:val="en-US"/>
        </w:rPr>
        <w:t xml:space="preserve">, Sabine &amp; </w:t>
      </w:r>
      <w:proofErr w:type="spellStart"/>
      <w:r w:rsidR="007B1E34" w:rsidRPr="00260290">
        <w:rPr>
          <w:color w:val="000000"/>
          <w:shd w:val="clear" w:color="auto" w:fill="FFFFFF"/>
          <w:lang w:val="en-US"/>
        </w:rPr>
        <w:t>Paule</w:t>
      </w:r>
      <w:proofErr w:type="spellEnd"/>
      <w:r w:rsidR="007B1E34" w:rsidRPr="00260290">
        <w:rPr>
          <w:color w:val="000000"/>
          <w:shd w:val="clear" w:color="auto" w:fill="FFFFFF"/>
          <w:lang w:val="en-US"/>
        </w:rPr>
        <w:t xml:space="preserve">, </w:t>
      </w:r>
      <w:proofErr w:type="spellStart"/>
      <w:r w:rsidR="007B1E34" w:rsidRPr="00260290">
        <w:rPr>
          <w:color w:val="000000"/>
          <w:shd w:val="clear" w:color="auto" w:fill="FFFFFF"/>
          <w:lang w:val="en-US"/>
        </w:rPr>
        <w:t>Juraj</w:t>
      </w:r>
      <w:proofErr w:type="spellEnd"/>
      <w:r w:rsidR="007B1E34" w:rsidRPr="00260290">
        <w:rPr>
          <w:color w:val="000000"/>
          <w:shd w:val="clear" w:color="auto" w:fill="FFFFFF"/>
          <w:lang w:val="en-US"/>
        </w:rPr>
        <w:t xml:space="preserve"> &amp; Heller, Sascha &amp; M. C. </w:t>
      </w:r>
      <w:proofErr w:type="spellStart"/>
      <w:r w:rsidR="007B1E34" w:rsidRPr="00260290">
        <w:rPr>
          <w:color w:val="000000"/>
          <w:shd w:val="clear" w:color="auto" w:fill="FFFFFF"/>
          <w:lang w:val="en-US"/>
        </w:rPr>
        <w:t>Leme</w:t>
      </w:r>
      <w:proofErr w:type="spellEnd"/>
      <w:r w:rsidR="007B1E34" w:rsidRPr="00260290">
        <w:rPr>
          <w:color w:val="000000"/>
          <w:shd w:val="clear" w:color="auto" w:fill="FFFFFF"/>
          <w:lang w:val="en-US"/>
        </w:rPr>
        <w:t xml:space="preserve">, Elton &amp; M. </w:t>
      </w:r>
      <w:proofErr w:type="spellStart"/>
      <w:r w:rsidR="007B1E34" w:rsidRPr="00260290">
        <w:rPr>
          <w:color w:val="000000"/>
          <w:shd w:val="clear" w:color="auto" w:fill="FFFFFF"/>
          <w:lang w:val="en-US"/>
        </w:rPr>
        <w:t>Steinbeisser</w:t>
      </w:r>
      <w:proofErr w:type="spellEnd"/>
      <w:r w:rsidR="007B1E34" w:rsidRPr="00260290">
        <w:rPr>
          <w:color w:val="000000"/>
          <w:shd w:val="clear" w:color="auto" w:fill="FFFFFF"/>
          <w:lang w:val="en-US"/>
        </w:rPr>
        <w:t xml:space="preserve">, Gerardo &amp; </w:t>
      </w:r>
      <w:proofErr w:type="spellStart"/>
      <w:r w:rsidR="007B1E34" w:rsidRPr="00260290">
        <w:rPr>
          <w:color w:val="000000"/>
          <w:shd w:val="clear" w:color="auto" w:fill="FFFFFF"/>
          <w:lang w:val="en-US"/>
        </w:rPr>
        <w:t>Barfuss</w:t>
      </w:r>
      <w:proofErr w:type="spellEnd"/>
      <w:r w:rsidR="007B1E34" w:rsidRPr="00260290">
        <w:rPr>
          <w:color w:val="000000"/>
          <w:shd w:val="clear" w:color="auto" w:fill="FFFFFF"/>
          <w:lang w:val="en-US"/>
        </w:rPr>
        <w:t xml:space="preserve">, Michael &amp; </w:t>
      </w:r>
      <w:proofErr w:type="spellStart"/>
      <w:r w:rsidR="007B1E34" w:rsidRPr="00260290">
        <w:rPr>
          <w:color w:val="000000"/>
          <w:shd w:val="clear" w:color="auto" w:fill="FFFFFF"/>
          <w:lang w:val="en-US"/>
        </w:rPr>
        <w:t>Zizka</w:t>
      </w:r>
      <w:proofErr w:type="spellEnd"/>
      <w:r w:rsidR="007B1E34" w:rsidRPr="00260290">
        <w:rPr>
          <w:color w:val="000000"/>
          <w:shd w:val="clear" w:color="auto" w:fill="FFFFFF"/>
          <w:lang w:val="en-US"/>
        </w:rPr>
        <w:t xml:space="preserve">, Georg. </w:t>
      </w:r>
      <w:r w:rsidR="007B1E34" w:rsidRPr="007B1E34">
        <w:rPr>
          <w:color w:val="000000"/>
          <w:shd w:val="clear" w:color="auto" w:fill="FFFFFF"/>
          <w:lang w:val="en-US"/>
        </w:rPr>
        <w:t xml:space="preserve">(2018). Phylogenetic relationships among </w:t>
      </w:r>
      <w:proofErr w:type="spellStart"/>
      <w:r w:rsidR="007B1E34" w:rsidRPr="007B1E34">
        <w:rPr>
          <w:color w:val="000000"/>
          <w:shd w:val="clear" w:color="auto" w:fill="FFFFFF"/>
          <w:lang w:val="en-US"/>
        </w:rPr>
        <w:t>Ananas</w:t>
      </w:r>
      <w:proofErr w:type="spellEnd"/>
      <w:r w:rsidR="007B1E34" w:rsidRPr="007B1E34">
        <w:rPr>
          <w:color w:val="000000"/>
          <w:shd w:val="clear" w:color="auto" w:fill="FFFFFF"/>
          <w:lang w:val="en-US"/>
        </w:rPr>
        <w:t xml:space="preserve"> and related taxa (</w:t>
      </w:r>
      <w:proofErr w:type="spellStart"/>
      <w:r w:rsidR="007B1E34" w:rsidRPr="007B1E34">
        <w:rPr>
          <w:color w:val="000000"/>
          <w:shd w:val="clear" w:color="auto" w:fill="FFFFFF"/>
          <w:lang w:val="en-US"/>
        </w:rPr>
        <w:t>Bromelioideae</w:t>
      </w:r>
      <w:proofErr w:type="spellEnd"/>
      <w:r w:rsidR="007B1E34" w:rsidRPr="007B1E34">
        <w:rPr>
          <w:color w:val="000000"/>
          <w:shd w:val="clear" w:color="auto" w:fill="FFFFFF"/>
          <w:lang w:val="en-US"/>
        </w:rPr>
        <w:t xml:space="preserve">, </w:t>
      </w:r>
      <w:proofErr w:type="spellStart"/>
      <w:r w:rsidR="007B1E34" w:rsidRPr="007B1E34">
        <w:rPr>
          <w:color w:val="000000"/>
          <w:shd w:val="clear" w:color="auto" w:fill="FFFFFF"/>
          <w:lang w:val="en-US"/>
        </w:rPr>
        <w:t>Bromeliaceae</w:t>
      </w:r>
      <w:proofErr w:type="spellEnd"/>
      <w:r w:rsidR="007B1E34" w:rsidRPr="007B1E34">
        <w:rPr>
          <w:color w:val="000000"/>
          <w:shd w:val="clear" w:color="auto" w:fill="FFFFFF"/>
          <w:lang w:val="en-US"/>
        </w:rPr>
        <w:t>) based on nuclear, plastid and AFLP data. Plant Systematics and Evolution. 10.1007/s00606-018-1514-3.</w:t>
      </w:r>
      <w:r w:rsidR="007B1E34" w:rsidRPr="007B1E34">
        <w:rPr>
          <w:color w:val="000000"/>
          <w:shd w:val="clear" w:color="auto" w:fill="FFFFFF"/>
          <w:lang w:val="en-US"/>
        </w:rPr>
        <w:br/>
      </w:r>
      <w:r w:rsidR="007B1E34">
        <w:rPr>
          <w:color w:val="000000"/>
          <w:shd w:val="clear" w:color="auto" w:fill="FFFFFF"/>
          <w:lang w:val="en-US"/>
        </w:rPr>
        <w:t xml:space="preserve">- </w:t>
      </w:r>
      <w:r w:rsidR="007B1E34" w:rsidRPr="001C277F">
        <w:rPr>
          <w:color w:val="000000"/>
          <w:shd w:val="clear" w:color="auto" w:fill="FFFFFF"/>
          <w:lang w:val="en-US"/>
        </w:rPr>
        <w:t xml:space="preserve">Morton, J. 1987. Pineapple. p. 18–28. In: Fruits of warm climates. </w:t>
      </w:r>
      <w:r w:rsidR="007B1E34" w:rsidRPr="007B1E34">
        <w:rPr>
          <w:color w:val="000000"/>
          <w:shd w:val="clear" w:color="auto" w:fill="FFFFFF"/>
          <w:lang w:val="en-US"/>
        </w:rPr>
        <w:t>Julia F. Morton, Miami, FL.</w:t>
      </w:r>
      <w:r w:rsidR="007B1E34" w:rsidRPr="007B1E34">
        <w:rPr>
          <w:color w:val="000000"/>
          <w:shd w:val="clear" w:color="auto" w:fill="FFFFFF"/>
          <w:lang w:val="en-US"/>
        </w:rPr>
        <w:br/>
      </w:r>
    </w:p>
    <w:p w:rsidR="001C277F" w:rsidRPr="001C277F" w:rsidRDefault="001C277F">
      <w:pPr>
        <w:rPr>
          <w:lang w:val="en-US"/>
        </w:rPr>
      </w:pPr>
      <w:bookmarkStart w:id="1" w:name="_GoBack"/>
      <w:bookmarkEnd w:id="1"/>
    </w:p>
    <w:sectPr w:rsidR="001C277F" w:rsidRPr="001C27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AA"/>
    <w:rsid w:val="0001490A"/>
    <w:rsid w:val="000D4C41"/>
    <w:rsid w:val="0015230D"/>
    <w:rsid w:val="001715E4"/>
    <w:rsid w:val="00175D35"/>
    <w:rsid w:val="00185143"/>
    <w:rsid w:val="001C277F"/>
    <w:rsid w:val="001F0E4B"/>
    <w:rsid w:val="001F26B3"/>
    <w:rsid w:val="002059C5"/>
    <w:rsid w:val="0022024E"/>
    <w:rsid w:val="00260290"/>
    <w:rsid w:val="00260895"/>
    <w:rsid w:val="002A5590"/>
    <w:rsid w:val="00345101"/>
    <w:rsid w:val="00540504"/>
    <w:rsid w:val="00575055"/>
    <w:rsid w:val="0061393D"/>
    <w:rsid w:val="006E71AA"/>
    <w:rsid w:val="00707E78"/>
    <w:rsid w:val="007B1E34"/>
    <w:rsid w:val="00802959"/>
    <w:rsid w:val="00805B4C"/>
    <w:rsid w:val="008A6823"/>
    <w:rsid w:val="008E28EA"/>
    <w:rsid w:val="009D135B"/>
    <w:rsid w:val="00AF66D8"/>
    <w:rsid w:val="00B1537E"/>
    <w:rsid w:val="00BB1F90"/>
    <w:rsid w:val="00BD5FE1"/>
    <w:rsid w:val="00C06185"/>
    <w:rsid w:val="00D004AF"/>
    <w:rsid w:val="00D54369"/>
    <w:rsid w:val="00DB38C5"/>
    <w:rsid w:val="00E155A7"/>
    <w:rsid w:val="00E17E6A"/>
    <w:rsid w:val="00E61B58"/>
    <w:rsid w:val="00F718B3"/>
    <w:rsid w:val="00F95ED2"/>
    <w:rsid w:val="00FD7FD9"/>
    <w:rsid w:val="00FE39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D412"/>
  <w15:chartTrackingRefBased/>
  <w15:docId w15:val="{402B59F5-E983-4E41-A580-88EFE19C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C277F"/>
    <w:rPr>
      <w:color w:val="0000FF"/>
      <w:u w:val="single"/>
    </w:rPr>
  </w:style>
  <w:style w:type="character" w:styleId="Onopgelostemelding">
    <w:name w:val="Unresolved Mention"/>
    <w:basedOn w:val="Standaardalinea-lettertype"/>
    <w:uiPriority w:val="99"/>
    <w:semiHidden/>
    <w:unhideWhenUsed/>
    <w:rsid w:val="00260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5468/dl.dz5ph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doi.org/10.15468/dl.dz5phm" TargetMode="External"/><Relationship Id="rId9" Type="http://schemas.openxmlformats.org/officeDocument/2006/relationships/image" Target="media/image4.png"/><Relationship Id="rId14" Type="http://schemas.openxmlformats.org/officeDocument/2006/relationships/hyperlink" Target="https://doi.org/10.15468/dl.dz5ph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6</Pages>
  <Words>991</Words>
  <Characters>5456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Dekker</dc:creator>
  <cp:keywords/>
  <dc:description/>
  <cp:lastModifiedBy>Cas Dekker</cp:lastModifiedBy>
  <cp:revision>14</cp:revision>
  <dcterms:created xsi:type="dcterms:W3CDTF">2018-12-07T10:58:00Z</dcterms:created>
  <dcterms:modified xsi:type="dcterms:W3CDTF">2018-12-09T15:45:00Z</dcterms:modified>
</cp:coreProperties>
</file>