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买家购物车商品结账用例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548" w:type="dxa"/>
            <w:noWrap w:val="0"/>
            <w:vAlign w:val="top"/>
          </w:tcPr>
          <w:p>
            <w:pPr>
              <w:ind w:left="363" w:hanging="363"/>
              <w:rPr>
                <w:b/>
              </w:rPr>
            </w:pPr>
            <w:r>
              <w:rPr>
                <w:rFonts w:hint="eastAsia"/>
                <w:b/>
              </w:rPr>
              <w:t>用例标识</w:t>
            </w:r>
          </w:p>
        </w:tc>
        <w:tc>
          <w:tcPr>
            <w:tcW w:w="6974" w:type="dxa"/>
            <w:noWrap w:val="0"/>
            <w:vAlign w:val="top"/>
          </w:tcPr>
          <w:p>
            <w:pPr>
              <w:ind w:left="1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用例名称</w:t>
            </w:r>
          </w:p>
        </w:tc>
        <w:tc>
          <w:tcPr>
            <w:tcW w:w="6974" w:type="dxa"/>
            <w:noWrap w:val="0"/>
            <w:vAlign w:val="top"/>
          </w:tcPr>
          <w:p>
            <w:pPr>
              <w:tabs>
                <w:tab w:val="left" w:pos="945"/>
              </w:tabs>
              <w:rPr>
                <w:rFonts w:hint="default" w:eastAsia="宋体"/>
                <w:lang w:val="en-US" w:eastAsia="zh-CN"/>
              </w:rPr>
            </w:pPr>
            <w:r>
              <w:rPr>
                <w:rFonts w:hint="eastAsia"/>
                <w:lang w:val="en-US" w:eastAsia="zh-CN"/>
              </w:rPr>
              <w:t>买家购物车商品结账用例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参与者</w:t>
            </w:r>
          </w:p>
        </w:tc>
        <w:tc>
          <w:tcPr>
            <w:tcW w:w="6974" w:type="dxa"/>
            <w:noWrap w:val="0"/>
            <w:vAlign w:val="top"/>
          </w:tcPr>
          <w:p>
            <w:pPr>
              <w:ind w:left="12"/>
              <w:rPr>
                <w:rFonts w:hint="eastAsia" w:eastAsia="宋体"/>
                <w:lang w:eastAsia="zh-CN"/>
              </w:rPr>
            </w:pPr>
            <w:r>
              <w:rPr>
                <w:rFonts w:hint="eastAsia"/>
                <w:lang w:val="en-US" w:eastAsia="zh-CN"/>
              </w:rPr>
              <w:t>买家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前置条件</w:t>
            </w:r>
          </w:p>
        </w:tc>
        <w:tc>
          <w:tcPr>
            <w:tcW w:w="6974" w:type="dxa"/>
            <w:noWrap w:val="0"/>
            <w:vAlign w:val="top"/>
          </w:tcPr>
          <w:p>
            <w:pPr>
              <w:ind w:left="12"/>
              <w:rPr>
                <w:rFonts w:hint="default" w:eastAsia="宋体"/>
                <w:lang w:val="en-US" w:eastAsia="zh-CN"/>
              </w:rPr>
            </w:pPr>
            <w:r>
              <w:rPr>
                <w:rFonts w:hint="eastAsia"/>
                <w:lang w:val="en-US" w:eastAsia="zh-CN"/>
              </w:rPr>
              <w:t>购物车内有商品，且已登录。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后置条件</w:t>
            </w:r>
          </w:p>
        </w:tc>
        <w:tc>
          <w:tcPr>
            <w:tcW w:w="6974" w:type="dxa"/>
            <w:noWrap w:val="0"/>
            <w:vAlign w:val="top"/>
          </w:tcPr>
          <w:p>
            <w:pPr>
              <w:ind w:left="12"/>
              <w:rPr>
                <w:rFonts w:hint="default" w:eastAsia="宋体"/>
                <w:lang w:val="en-US" w:eastAsia="zh-CN"/>
              </w:rPr>
            </w:pPr>
            <w:r>
              <w:rPr>
                <w:rFonts w:hint="eastAsia"/>
                <w:lang w:val="en-US" w:eastAsia="zh-CN"/>
              </w:rPr>
              <w:t>商品数量及买家地址等买家信息添加到卖家未发货列表，商品数量与商品 信息根据商家是否填写物流信息添加到买家的已发货或未发货列表中。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用例概述</w:t>
            </w:r>
          </w:p>
        </w:tc>
        <w:tc>
          <w:tcPr>
            <w:tcW w:w="6974" w:type="dxa"/>
            <w:noWrap w:val="0"/>
            <w:vAlign w:val="top"/>
          </w:tcPr>
          <w:p>
            <w:pPr>
              <w:ind w:left="12"/>
              <w:rPr>
                <w:rFonts w:hint="default" w:eastAsia="宋体"/>
                <w:lang w:val="en-US" w:eastAsia="zh-CN"/>
              </w:rPr>
            </w:pPr>
            <w:r>
              <w:rPr>
                <w:rFonts w:hint="eastAsia"/>
                <w:lang w:val="en-US" w:eastAsia="zh-CN"/>
              </w:rPr>
              <w:t>买家选择购物车中想要下单购买的商品进行付款的一系列操作。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基本事件流</w:t>
            </w:r>
          </w:p>
        </w:tc>
        <w:tc>
          <w:tcPr>
            <w:tcW w:w="6974" w:type="dxa"/>
            <w:noWrap w:val="0"/>
            <w:vAlign w:val="top"/>
          </w:tcPr>
          <w:p>
            <w:pPr>
              <w:ind w:left="12" w:hanging="12"/>
              <w:rPr>
                <w:rFonts w:hint="eastAsia"/>
              </w:rPr>
            </w:pPr>
            <w:r>
              <w:rPr>
                <w:rFonts w:hint="eastAsia"/>
              </w:rPr>
              <w:t xml:space="preserve">1. </w:t>
            </w:r>
            <w:r>
              <w:rPr>
                <w:rFonts w:hint="eastAsia"/>
                <w:lang w:val="en-US" w:eastAsia="zh-CN"/>
              </w:rPr>
              <w:t>买家勾选购物车中希望购买的商品</w:t>
            </w:r>
            <w:r>
              <w:rPr>
                <w:rFonts w:hint="eastAsia"/>
              </w:rPr>
              <w:t>。</w:t>
            </w:r>
          </w:p>
          <w:p>
            <w:r>
              <w:rPr>
                <w:rFonts w:hint="eastAsia"/>
              </w:rPr>
              <w:t xml:space="preserve">2. </w:t>
            </w:r>
            <w:r>
              <w:rPr>
                <w:rFonts w:hint="eastAsia"/>
                <w:lang w:val="en-US" w:eastAsia="zh-CN"/>
              </w:rPr>
              <w:t>买家根据需要来更改商品的数量（可不更改）</w:t>
            </w:r>
            <w:r>
              <w:rPr>
                <w:rFonts w:hint="eastAsia"/>
              </w:rPr>
              <w:t>。</w:t>
            </w:r>
          </w:p>
          <w:p>
            <w:pPr>
              <w:ind w:left="12" w:hanging="12"/>
              <w:rPr>
                <w:rFonts w:hint="eastAsia"/>
              </w:rPr>
            </w:pPr>
            <w:r>
              <w:rPr>
                <w:rFonts w:hint="eastAsia"/>
              </w:rPr>
              <w:t xml:space="preserve">3. </w:t>
            </w:r>
            <w:r>
              <w:rPr>
                <w:rFonts w:hint="eastAsia"/>
                <w:lang w:val="en-US" w:eastAsia="zh-CN"/>
              </w:rPr>
              <w:t>选好商品并更改好商品数量后，点击下单(支付)按钮，跳转到</w:t>
            </w:r>
            <w:r>
              <w:rPr>
                <w:rFonts w:hint="eastAsia"/>
                <w:b/>
                <w:bCs/>
                <w:color w:val="FF0000"/>
                <w:lang w:val="en-US" w:eastAsia="zh-CN"/>
              </w:rPr>
              <w:t>下单商品陈列展示页</w:t>
            </w:r>
            <w:r>
              <w:rPr>
                <w:rFonts w:hint="eastAsia"/>
                <w:b w:val="0"/>
                <w:bCs w:val="0"/>
                <w:color w:val="auto"/>
                <w:lang w:val="en-US" w:eastAsia="zh-CN"/>
              </w:rPr>
              <w:t>（该页面的信息，商品的具体信息与数量等是根据商品编号去对应买家的购物车中查找数量拼凑返回来的信息当前页面信息不做单独数据表记录，收货地址中将买家设置的默认地址信息放在索引为0的位置，前端默认选中此条信息）</w:t>
            </w:r>
            <w:r>
              <w:rPr>
                <w:rFonts w:hint="eastAsia"/>
              </w:rPr>
              <w:t>。</w:t>
            </w:r>
          </w:p>
          <w:p>
            <w:pPr>
              <w:rPr>
                <w:rFonts w:hint="eastAsia"/>
              </w:rPr>
            </w:pPr>
            <w:r>
              <w:rPr>
                <w:rFonts w:hint="eastAsia"/>
              </w:rPr>
              <w:t xml:space="preserve">4. </w:t>
            </w:r>
            <w:r>
              <w:rPr>
                <w:rFonts w:hint="eastAsia"/>
                <w:lang w:val="en-US" w:eastAsia="zh-CN"/>
              </w:rPr>
              <w:t>在</w:t>
            </w:r>
            <w:r>
              <w:rPr>
                <w:rFonts w:hint="eastAsia"/>
                <w:b/>
                <w:bCs/>
                <w:color w:val="FF0000"/>
                <w:lang w:val="en-US" w:eastAsia="zh-CN"/>
              </w:rPr>
              <w:t>下单商品陈列展示页</w:t>
            </w:r>
            <w:r>
              <w:rPr>
                <w:rFonts w:hint="eastAsia"/>
                <w:b w:val="0"/>
                <w:bCs w:val="0"/>
                <w:color w:val="auto"/>
                <w:lang w:val="en-US" w:eastAsia="zh-CN"/>
              </w:rPr>
              <w:t>可</w:t>
            </w:r>
            <w:r>
              <w:rPr>
                <w:rFonts w:hint="eastAsia"/>
                <w:b/>
                <w:bCs/>
                <w:color w:val="00B0F0"/>
                <w:lang w:val="en-US" w:eastAsia="zh-CN"/>
              </w:rPr>
              <w:t>选择地址</w:t>
            </w:r>
            <w:r>
              <w:rPr>
                <w:rFonts w:hint="eastAsia"/>
              </w:rPr>
              <w:t>。</w:t>
            </w:r>
          </w:p>
          <w:p>
            <w:r>
              <w:rPr>
                <w:rFonts w:hint="eastAsia"/>
              </w:rPr>
              <w:t xml:space="preserve">5. </w:t>
            </w:r>
            <w:r>
              <w:rPr>
                <w:rFonts w:hint="eastAsia"/>
                <w:lang w:val="en-US" w:eastAsia="zh-CN"/>
              </w:rPr>
              <w:t>可选择地址或使用默认选择的地址后，提交订单（订单信息：商品编号及数量以及买家id与地址被后端记录，该订单保存10分钟，10分钟后后端自动删除该订单，并向客户端发送信息通知本订单已关闭，前端请求未付款列表信息，这10分钟被用来给买家准备好资金付款）</w:t>
            </w:r>
            <w:r>
              <w:rPr>
                <w:rFonts w:hint="eastAsia"/>
              </w:rPr>
              <w:t>。</w:t>
            </w:r>
          </w:p>
          <w:p>
            <w:pPr>
              <w:ind w:left="12" w:hanging="12"/>
              <w:rPr>
                <w:rFonts w:hint="eastAsia"/>
              </w:rPr>
            </w:pPr>
            <w:r>
              <w:rPr>
                <w:rFonts w:hint="eastAsia"/>
              </w:rPr>
              <w:t xml:space="preserve">6. </w:t>
            </w:r>
            <w:r>
              <w:rPr>
                <w:rFonts w:hint="eastAsia"/>
                <w:lang w:val="en-US" w:eastAsia="zh-CN"/>
              </w:rPr>
              <w:t>提交订单后，地址选择器置灰，并且页面出现付款二维码</w:t>
            </w:r>
            <w:r>
              <w:rPr>
                <w:rFonts w:hint="eastAsia"/>
              </w:rPr>
              <w:t>。</w:t>
            </w:r>
          </w:p>
          <w:p>
            <w:pPr>
              <w:ind w:left="12" w:hanging="12"/>
              <w:rPr>
                <w:rFonts w:hint="eastAsia"/>
                <w:lang w:val="en-US" w:eastAsia="zh-CN"/>
              </w:rPr>
            </w:pPr>
            <w:r>
              <w:rPr>
                <w:rFonts w:hint="eastAsia"/>
                <w:lang w:val="en-US" w:eastAsia="zh-CN"/>
              </w:rPr>
              <w:t>7. 二维码付款后，服务器端向客户端发送已付款的消息。</w:t>
            </w:r>
          </w:p>
          <w:p>
            <w:pPr>
              <w:ind w:left="12" w:hanging="12"/>
              <w:rPr>
                <w:rFonts w:hint="eastAsia"/>
                <w:lang w:val="en-US" w:eastAsia="zh-CN"/>
              </w:rPr>
            </w:pPr>
            <w:r>
              <w:rPr>
                <w:rFonts w:hint="eastAsia"/>
                <w:lang w:val="en-US" w:eastAsia="zh-CN"/>
              </w:rPr>
              <w:t>8. 得到后端发送的已付款的消息后，前端提示付款成功，并关闭本页面或退回购物车页面。</w:t>
            </w:r>
          </w:p>
          <w:p>
            <w:pPr>
              <w:ind w:left="12" w:hanging="12"/>
              <w:rPr>
                <w:rFonts w:hint="default"/>
                <w:lang w:val="en-US" w:eastAsia="zh-CN"/>
              </w:rPr>
            </w:pPr>
            <w:r>
              <w:rPr>
                <w:rFonts w:hint="eastAsia"/>
                <w:lang w:val="en-US" w:eastAsia="zh-CN"/>
              </w:rPr>
              <w:t>9. 前端进行请求：购物车列表信息、未发货列表信息。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备选事件流</w:t>
            </w:r>
          </w:p>
        </w:tc>
        <w:tc>
          <w:tcPr>
            <w:tcW w:w="6974" w:type="dxa"/>
            <w:noWrap w:val="0"/>
            <w:vAlign w:val="top"/>
          </w:tcPr>
          <w:p>
            <w:pPr>
              <w:numPr>
                <w:ilvl w:val="0"/>
                <w:numId w:val="1"/>
              </w:numPr>
              <w:rPr>
                <w:rFonts w:hint="eastAsia"/>
                <w:lang w:val="en-US" w:eastAsia="zh-CN"/>
              </w:rPr>
            </w:pPr>
            <w:r>
              <w:rPr>
                <w:rFonts w:hint="eastAsia"/>
                <w:lang w:val="en-US" w:eastAsia="zh-CN"/>
              </w:rPr>
              <w:t>4、5中在下单商品陈列展示页，买家可点击取消按钮取消下单，退回购物车页面。</w:t>
            </w:r>
          </w:p>
          <w:p>
            <w:pPr>
              <w:numPr>
                <w:ilvl w:val="0"/>
                <w:numId w:val="1"/>
              </w:numPr>
              <w:ind w:left="0" w:leftChars="0" w:firstLine="0" w:firstLineChars="0"/>
              <w:rPr>
                <w:rFonts w:hint="default"/>
                <w:lang w:val="en-US" w:eastAsia="zh-CN"/>
              </w:rPr>
            </w:pPr>
            <w:r>
              <w:rPr>
                <w:rFonts w:hint="eastAsia"/>
                <w:lang w:val="en-US" w:eastAsia="zh-CN"/>
              </w:rPr>
              <w:t>下单后可取消付款，退回购物车页面</w:t>
            </w:r>
            <w:bookmarkStart w:id="0" w:name="_GoBack"/>
            <w:bookmarkEnd w:id="0"/>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noWrap w:val="0"/>
            <w:vAlign w:val="top"/>
          </w:tcPr>
          <w:p>
            <w:pPr>
              <w:ind w:left="363" w:hanging="363"/>
              <w:rPr>
                <w:b/>
              </w:rPr>
            </w:pPr>
            <w:r>
              <w:rPr>
                <w:rFonts w:hint="eastAsia"/>
                <w:b/>
              </w:rPr>
              <w:t>备注</w:t>
            </w:r>
          </w:p>
        </w:tc>
        <w:tc>
          <w:tcPr>
            <w:tcW w:w="6974" w:type="dxa"/>
            <w:noWrap w:val="0"/>
            <w:vAlign w:val="top"/>
          </w:tcPr>
          <w:p>
            <w:pPr>
              <w:ind w:left="12"/>
              <w:rPr>
                <w:rFonts w:hint="default" w:eastAsia="宋体"/>
                <w:lang w:val="en-US" w:eastAsia="zh-CN"/>
              </w:rPr>
            </w:pPr>
            <w:r>
              <w:rPr>
                <w:rFonts w:hint="eastAsia"/>
                <w:lang w:val="en-US" w:eastAsia="zh-CN"/>
              </w:rPr>
              <w:t>本用例使用的数据表为：用户未付款订单表（需设计是否给用户单独建表或者都放入一个未付款的总表中，进行查询，或者全部订单信息都放入一个订单表，用不同字段区分当前为哪种订单-未付款-未发货-已发货，此表 信息需根据时间排序，买家查询全部订单时需要拿到按照时间排序的订单）</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C8DE0"/>
    <w:multiLevelType w:val="singleLevel"/>
    <w:tmpl w:val="A2EC8DE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31892"/>
    <w:rsid w:val="0B036694"/>
    <w:rsid w:val="0E217C7C"/>
    <w:rsid w:val="182030C4"/>
    <w:rsid w:val="19DB3194"/>
    <w:rsid w:val="21A22FB9"/>
    <w:rsid w:val="24A50DD1"/>
    <w:rsid w:val="27AF1AEC"/>
    <w:rsid w:val="44C5774B"/>
    <w:rsid w:val="46863DD4"/>
    <w:rsid w:val="580B6CBE"/>
    <w:rsid w:val="5CB9673F"/>
    <w:rsid w:val="66976D85"/>
    <w:rsid w:val="69DE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2021-04-10T06:35:49Z</dcterms:created>
  <dc:creator>rongda</dc:creator>
  <cp:lastModifiedBy>0 ： 60</cp:lastModifiedBy>
  <dcterms:modified xsi:type="dcterms:W3CDTF">2021-04-10T08:00:07Z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CDF5C4F8423A4F9A8316CB6E10A2E71E</vt:lpwstr>
  </property>
</Properties>
</file>