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9EF01">
      <w:pPr>
        <w:jc w:val="center"/>
        <w:rPr/>
      </w:pPr>
      <w:r>
        <w:t>云岭脑机（北京）科技有限公司团队简介</w:t>
      </w:r>
    </w:p>
    <w:p w14:paraId="0337B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云岭脑机</w:t>
      </w:r>
      <w:r>
        <w:t>（北京）科技有限公司</w:t>
      </w:r>
      <w:r>
        <w:rPr>
          <w:lang w:val="en-US" w:eastAsia="zh-CN"/>
        </w:rPr>
        <w:t>成立于2024年12月，注册于北京丰台区，是聚焦教育与科研领域的脑机接口创新企业。团队核心依托控股股东北京脑智星耀的技术支撑，由脑机接口领域权威专家伏云发教授作为重要股东加持，汇聚清华大学、北京航空航天大学等高校科研人才，形成“学术资源赋能+硬核技术研发+场景精准落地”的核心协同优势，深耕非侵入式脑机接口技术转化与行业应用。</w:t>
      </w:r>
    </w:p>
    <w:p w14:paraId="395B2870">
      <w:pPr>
        <w:rPr>
          <w:lang w:val="en-US" w:eastAsia="zh-CN"/>
        </w:rPr>
      </w:pPr>
    </w:p>
    <w:p w14:paraId="09538782">
      <w:pPr>
        <w:rPr/>
      </w:pPr>
      <w:r>
        <w:t>核心优势与经历</w:t>
      </w:r>
    </w:p>
    <w:p w14:paraId="49F109A0">
      <w:pPr>
        <w:rPr/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技术自主研发：团队核心技术自主可控，聚焦非侵入式脑机接口产业化，针对教育与科研场景痛点，独立完成设备的信号优化、功能设计与场景适配，形成“科普+专业+科研”的多元业务布局。</w:t>
      </w:r>
    </w:p>
    <w:p w14:paraId="7B23E873">
      <w:pPr>
        <w:rPr/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产品场景落地：围绕课堂教学、实验研究、学科竞赛等核心场景，打造操作便捷、性能稳定的标准化产品体系，已实现多终端适配与规模化应用。</w:t>
      </w:r>
    </w:p>
    <w:p w14:paraId="02542298">
      <w:pPr>
        <w:rPr/>
      </w:pPr>
    </w:p>
    <w:p w14:paraId="1AC231DC">
      <w:pPr>
        <w:rPr/>
      </w:pPr>
      <w:r>
        <w:t>领域核心成果</w:t>
      </w:r>
    </w:p>
    <w:p w14:paraId="77349052">
      <w:pPr>
        <w:rPr/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技术性能领先：自主研发的核心干电极技术识别率达90%-100%，跻身全球非侵入式技术顶尖水平，超过法国Nextmind同类产品（75%识别率）；设备输入阻抗≥1TΩ、输入噪声≤1uVpp，性能对标国际先进标准。</w:t>
      </w:r>
    </w:p>
    <w:p w14:paraId="3834AC5B">
      <w:pPr>
        <w:rPr/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标杆产品推出：独立研发8通道脑电采集头环，支持250Hz采样频率、24bit采样精度，具备蓝牙无线传输、3小时长续航等特性，无需导电膏即可精准采集脑电信号，适配电脑、安卓手机等多终端。</w:t>
      </w:r>
    </w:p>
    <w:p w14:paraId="47D616BF">
      <w:pPr>
        <w:rPr/>
      </w:pPr>
      <w:r>
        <w:rPr>
          <w:rFonts w:hint="eastAsia"/>
          <w:lang w:val="en-US" w:eastAsia="zh-CN"/>
        </w:rPr>
        <w:t>3.</w:t>
      </w:r>
      <w:r>
        <w:rPr>
          <w:lang w:val="en-US" w:eastAsia="zh-CN"/>
        </w:rPr>
        <w:t>科研权威认可：相关设备已支持客户发表多篇JCR Q1区高分论文，包括影响因子29.4的《Advanced Materials》、23.6的《IEEE Transactions on Industrial Informatics》等国际顶级期刊，实验效果获学术界高度肯定。</w:t>
      </w:r>
    </w:p>
    <w:p w14:paraId="4E4E3230">
      <w:pPr>
        <w:rPr/>
      </w:pPr>
      <w:r>
        <w:rPr>
          <w:rFonts w:hint="eastAsia"/>
          <w:lang w:val="en-US" w:eastAsia="zh-CN"/>
        </w:rPr>
        <w:t>4.</w:t>
      </w:r>
      <w:bookmarkStart w:id="0" w:name="_GoBack"/>
      <w:bookmarkEnd w:id="0"/>
      <w:r>
        <w:rPr>
          <w:lang w:val="en-US" w:eastAsia="zh-CN"/>
        </w:rPr>
        <w:t>市场覆盖广泛：已服务海内外300余家客户，涵盖清华大学等高校科研团队、中小学教育机构及科技企业，应用场景覆盖脑机接口竞赛、认知研究、实验培训等领域。</w:t>
      </w:r>
    </w:p>
    <w:p w14:paraId="6D68E74B">
      <w:pPr>
        <w:rPr/>
      </w:pPr>
    </w:p>
    <w:p w14:paraId="3E528452">
      <w:pPr>
        <w:rPr/>
      </w:pPr>
      <w:r>
        <w:t>团队愿景</w:t>
      </w:r>
    </w:p>
    <w:p w14:paraId="576AF8F5">
      <w:pPr>
        <w:rPr/>
      </w:pPr>
      <w:r>
        <w:rPr>
          <w:lang w:val="en-US" w:eastAsia="zh-CN"/>
        </w:rPr>
        <w:t>依托自主技术实力与行业资源优势，持续推动脑机接口技术在教育与科研领域的普及应用，搭建脑科学理论与实践应用的桥梁，成为该领域的场景化解决方案引领者。</w:t>
      </w:r>
    </w:p>
    <w:p w14:paraId="377CF7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EBBEE9"/>
    <w:rsid w:val="E7EBB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2025-11-14T16:19:00Z</dcterms:created>
  <dc:creator>T.</dc:creator>
  <cp:lastModifiedBy>T.</cp:lastModifiedBy>
  <dcterms:modified xsi:type="dcterms:W3CDTF">2025-11-14T16:45:45Z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36D28ACD25E1C66E21E616690071DE42_41</vt:lpwstr>
  </property>
</Properties>
</file>