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2B31BA3B" w:rsidR="00C17356" w:rsidRPr="00DF084F" w:rsidRDefault="00691F3F" w:rsidP="00AC2C1A">
      <w:pPr>
        <w:pStyle w:val="Heading2"/>
        <w:jc w:val="center"/>
        <w:rPr>
          <w:rFonts w:cs="Times New Roman"/>
        </w:rPr>
      </w:pPr>
      <w:r w:rsidRPr="00691F3F">
        <w:rPr>
          <w:rFonts w:ascii="Kohinoor Devanagari" w:hAnsi="Kohinoor Devanagari" w:cs="Kohinoor Devanagari"/>
          <w:color w:val="202122"/>
          <w:shd w:val="clear" w:color="auto" w:fill="FFFFFF"/>
        </w:rPr>
        <w:t>मनुस्मृति</w:t>
      </w:r>
      <w:r w:rsidR="00AA42B7" w:rsidRPr="005F5935">
        <w:rPr>
          <w:rStyle w:val="Annotation"/>
          <w:highlight w:val="white"/>
          <w:vertAlign w:val="superscript"/>
        </w:rPr>
        <w:footnoteReference w:id="1"/>
      </w:r>
      <w:r w:rsidRPr="00DF084F">
        <w:rPr>
          <w:rFonts w:ascii="Kohinoor Devanagari" w:hAnsi="Kohinoor Devanagari" w:cs="Kohinoor Devanagari"/>
        </w:rPr>
        <w:t xml:space="preserve"> </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43B83E4A" w:rsidR="008F3730" w:rsidRPr="00397AB5" w:rsidRDefault="00877523" w:rsidP="008F3730">
      <w:pPr>
        <w:spacing w:before="170" w:after="170"/>
        <w:jc w:val="center"/>
      </w:pPr>
      <w:r>
        <w:t>a rewriting of wor(l)d history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4ED234E4" w14:textId="7422BDCE" w:rsidR="00767CAA" w:rsidRPr="00DF084F" w:rsidRDefault="008F3730" w:rsidP="00870FB4">
      <w:pPr>
        <w:spacing w:before="170" w:after="170"/>
        <w:jc w:val="cente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2"/>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0DA6A81C"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1E4783C" w14:textId="097E866D" w:rsidR="00F931F4" w:rsidRPr="00082C08" w:rsidRDefault="00F931F4" w:rsidP="00082C08">
      <w:pPr>
        <w:pStyle w:val="Quote"/>
        <w:rPr>
          <w:i/>
          <w:iCs/>
          <w:sz w:val="22"/>
          <w:szCs w:val="22"/>
        </w:rPr>
        <w:sectPr w:rsidR="00F931F4" w:rsidRPr="00082C08">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3"/>
      </w: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4"/>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5"/>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6"/>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7"/>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8"/>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9"/>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10"/>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1"/>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2"/>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3"/>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4"/>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6"/>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7"/>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8"/>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9"/>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20"/>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1"/>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2"/>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3"/>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4"/>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5"/>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6"/>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7"/>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proofErr w:type="gramStart"/>
      <w:r w:rsidRPr="006C5881">
        <w:rPr>
          <w:color w:val="000000" w:themeColor="text1"/>
        </w:rPr>
        <w:t>Thee</w:t>
      </w:r>
      <w:proofErr w:type="gramEnd"/>
      <w:r w:rsidRPr="006C5881">
        <w:rPr>
          <w:color w:val="000000" w:themeColor="text1"/>
        </w:rPr>
        <w:t xml:space="preserv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8"/>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9"/>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30"/>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1"/>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2"/>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3"/>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4"/>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5"/>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6"/>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7"/>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8"/>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9"/>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40"/>
      </w:r>
    </w:p>
    <w:p w14:paraId="365F9B54" w14:textId="5313CE38" w:rsidR="009F144D" w:rsidRPr="00DF084F" w:rsidRDefault="00EA7D2A" w:rsidP="00F931F4">
      <w:pPr>
        <w:pStyle w:val="Heading1"/>
      </w:pPr>
      <w:bookmarkStart w:id="16" w:name="_Toc131238219"/>
      <w:r w:rsidRPr="00DF084F">
        <w:lastRenderedPageBreak/>
        <w:t xml:space="preserve">Conclusion or What is </w:t>
      </w:r>
      <w:r w:rsidR="00D83BF4" w:rsidRPr="00D83BF4">
        <w:rPr>
          <w:rFonts w:eastAsiaTheme="minorHAnsi"/>
          <w:i/>
          <w:iCs/>
        </w:rPr>
        <w:t>Religion</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1"/>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w:t>
      </w:r>
      <w:proofErr w:type="gramStart"/>
      <w:r w:rsidRPr="00DF084F">
        <w:t>light</w:t>
      </w:r>
      <w:proofErr w:type="gramEnd"/>
      <w:r w:rsidRPr="00DF084F">
        <w:t xml:space="preserve">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8C70AE7" w:rsidR="00A975C8" w:rsidRDefault="00566732" w:rsidP="00A975C8">
      <w:pPr>
        <w:pStyle w:val="Heading1"/>
      </w:pPr>
      <w:bookmarkStart w:id="17" w:name="_Toc131238220"/>
      <w:r>
        <w:lastRenderedPageBreak/>
        <w:t>A</w:t>
      </w:r>
      <w:r w:rsidR="008E1F80" w:rsidRPr="00DF084F">
        <w:t>ppendix</w:t>
      </w:r>
      <w:bookmarkEnd w:id="17"/>
      <w:r w:rsidR="00827F52" w:rsidRPr="00E73641">
        <w:rPr>
          <w:rStyle w:val="Annotation"/>
          <w:color w:val="FFFFFF" w:themeColor="background1"/>
          <w:highlight w:val="white"/>
          <w:vertAlign w:val="superscript"/>
        </w:rPr>
        <w:footnoteReference w:id="42"/>
      </w:r>
    </w:p>
    <w:p w14:paraId="3EFF3FBF" w14:textId="383E7803" w:rsidR="00A975C8" w:rsidRDefault="00827F52" w:rsidP="00B376B8">
      <w:pPr>
        <w:pStyle w:val="Caption"/>
        <w:jc w:val="left"/>
        <w:rPr>
          <w:noProof/>
        </w:rPr>
      </w:pPr>
      <w:r>
        <w:rPr>
          <w:noProof/>
        </w:rPr>
        <mc:AlternateContent>
          <mc:Choice Requires="wps">
            <w:drawing>
              <wp:anchor distT="0" distB="0" distL="114300" distR="114300" simplePos="0" relativeHeight="251682816" behindDoc="0" locked="0" layoutInCell="1" allowOverlap="1" wp14:anchorId="4F8EDCC3" wp14:editId="28FE308A">
                <wp:simplePos x="0" y="0"/>
                <wp:positionH relativeFrom="column">
                  <wp:posOffset>1172845</wp:posOffset>
                </wp:positionH>
                <wp:positionV relativeFrom="paragraph">
                  <wp:posOffset>5520690</wp:posOffset>
                </wp:positionV>
                <wp:extent cx="3653155" cy="635"/>
                <wp:effectExtent l="0" t="0" r="4445" b="12065"/>
                <wp:wrapTopAndBottom/>
                <wp:docPr id="570908949" name="Text Box 1"/>
                <wp:cNvGraphicFramePr/>
                <a:graphic xmlns:a="http://schemas.openxmlformats.org/drawingml/2006/main">
                  <a:graphicData uri="http://schemas.microsoft.com/office/word/2010/wordprocessingShape">
                    <wps:wsp>
                      <wps:cNvSpPr txBox="1"/>
                      <wps:spPr>
                        <a:xfrm>
                          <a:off x="0" y="0"/>
                          <a:ext cx="3653155" cy="635"/>
                        </a:xfrm>
                        <a:prstGeom prst="rect">
                          <a:avLst/>
                        </a:prstGeom>
                        <a:solidFill>
                          <a:prstClr val="white"/>
                        </a:solidFill>
                        <a:ln>
                          <a:noFill/>
                        </a:ln>
                      </wps:spPr>
                      <wps:txbx>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EDCC3" id="_x0000_t202" coordsize="21600,21600" o:spt="202" path="m,l,21600r21600,l21600,xe">
                <v:stroke joinstyle="miter"/>
                <v:path gradientshapeok="t" o:connecttype="rect"/>
              </v:shapetype>
              <v:shape id="Text Box 1" o:spid="_x0000_s1026" type="#_x0000_t202" style="position:absolute;margin-left:92.35pt;margin-top:434.7pt;width:287.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" stroked="f">
                <v:textbox style="mso-fit-shape-to-text:t" inset="0,0,0,0">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v:textbox>
                <w10:wrap type="topAndBottom"/>
              </v:shape>
            </w:pict>
          </mc:Fallback>
        </mc:AlternateContent>
      </w:r>
      <w:r w:rsidR="00EC3655">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3"/>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4"/>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5"/>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6"/>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7"/>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8"/>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380FBCCE" w14:textId="77777777" w:rsidR="00E957B0" w:rsidRPr="00E957B0" w:rsidRDefault="00E013D7" w:rsidP="00E957B0">
      <w:pPr>
        <w:pStyle w:val="EndNoteBibliography"/>
        <w:ind w:left="720" w:hanging="720"/>
        <w:rPr>
          <w:noProof/>
        </w:rPr>
      </w:pPr>
      <w:r>
        <w:fldChar w:fldCharType="begin"/>
      </w:r>
      <w:r>
        <w:instrText xml:space="preserve"> ADDIN EN.REFLIST </w:instrText>
      </w:r>
      <w:r>
        <w:fldChar w:fldCharType="separate"/>
      </w:r>
      <w:bookmarkStart w:id="24" w:name="_ENREF_1"/>
      <w:r w:rsidR="00E957B0" w:rsidRPr="00E957B0">
        <w:rPr>
          <w:i/>
          <w:noProof/>
        </w:rPr>
        <w:t>Al-Qurʾān.</w:t>
      </w:r>
      <w:r w:rsidR="00E957B0" w:rsidRPr="00E957B0">
        <w:rPr>
          <w:noProof/>
        </w:rPr>
        <w:t xml:space="preserve"> The Cairo Edition, Amiri Press, 1924, Al-Azhar University.</w:t>
      </w:r>
      <w:bookmarkEnd w:id="24"/>
    </w:p>
    <w:p w14:paraId="5CC7492E" w14:textId="77777777" w:rsidR="00E957B0" w:rsidRPr="00E957B0" w:rsidRDefault="00E957B0" w:rsidP="00E957B0">
      <w:pPr>
        <w:pStyle w:val="EndNoteBibliography"/>
        <w:ind w:left="720" w:hanging="720"/>
        <w:rPr>
          <w:noProof/>
        </w:rPr>
      </w:pPr>
      <w:bookmarkStart w:id="25" w:name="_ENREF_2"/>
      <w:r w:rsidRPr="00E957B0">
        <w:rPr>
          <w:i/>
          <w:noProof/>
        </w:rPr>
        <w:t>The Bhagavad Gita with the Commentary of Sri Sankaracharya.</w:t>
      </w:r>
      <w:r w:rsidRPr="00E957B0">
        <w:rPr>
          <w:noProof/>
        </w:rPr>
        <w:t xml:space="preserve"> Translated by Alladi Mahadeva Sastri, Samata Books, 1897.</w:t>
      </w:r>
      <w:bookmarkEnd w:id="25"/>
    </w:p>
    <w:p w14:paraId="181B0A41" w14:textId="77777777" w:rsidR="00E957B0" w:rsidRPr="00E957B0" w:rsidRDefault="00E957B0" w:rsidP="00E957B0">
      <w:pPr>
        <w:pStyle w:val="EndNoteBibliography"/>
        <w:ind w:left="720" w:hanging="720"/>
        <w:rPr>
          <w:noProof/>
        </w:rPr>
      </w:pPr>
      <w:bookmarkStart w:id="26" w:name="_ENREF_3"/>
      <w:r w:rsidRPr="00E957B0">
        <w:rPr>
          <w:i/>
          <w:noProof/>
        </w:rPr>
        <w:t>The Christian Bible.</w:t>
      </w:r>
      <w:r w:rsidRPr="00E957B0">
        <w:rPr>
          <w:noProof/>
        </w:rPr>
        <w:t xml:space="preserve"> Novum Testamentum Graece, Wurttembergische Bibelanstalt, 1898, Eberhard Nestle.</w:t>
      </w:r>
      <w:bookmarkEnd w:id="26"/>
    </w:p>
    <w:p w14:paraId="22D6314B" w14:textId="77777777" w:rsidR="00E957B0" w:rsidRPr="00E957B0" w:rsidRDefault="00E957B0" w:rsidP="00E957B0">
      <w:pPr>
        <w:pStyle w:val="EndNoteBibliography"/>
        <w:ind w:left="720" w:hanging="720"/>
        <w:rPr>
          <w:noProof/>
        </w:rPr>
      </w:pPr>
      <w:bookmarkStart w:id="27" w:name="_ENREF_4"/>
      <w:r w:rsidRPr="00E957B0">
        <w:rPr>
          <w:i/>
          <w:noProof/>
        </w:rPr>
        <w:t>The Dhammapada.</w:t>
      </w:r>
      <w:r w:rsidRPr="00E957B0">
        <w:rPr>
          <w:noProof/>
        </w:rPr>
        <w:t xml:space="preserve"> Translated by Daw Mya Tin, Department for the Promotion and Propagation of the Sasana, 1993.</w:t>
      </w:r>
      <w:bookmarkEnd w:id="27"/>
    </w:p>
    <w:p w14:paraId="0F57EB67" w14:textId="77777777" w:rsidR="00E957B0" w:rsidRPr="00E957B0" w:rsidRDefault="00E957B0" w:rsidP="00E957B0">
      <w:pPr>
        <w:pStyle w:val="EndNoteBibliography"/>
        <w:ind w:left="720" w:hanging="720"/>
        <w:rPr>
          <w:noProof/>
        </w:rPr>
      </w:pPr>
      <w:bookmarkStart w:id="28" w:name="_ENREF_5"/>
      <w:r w:rsidRPr="00E957B0">
        <w:rPr>
          <w:i/>
          <w:noProof/>
        </w:rPr>
        <w:t>The Flag Code of India.</w:t>
      </w:r>
      <w:r w:rsidRPr="00E957B0">
        <w:rPr>
          <w:noProof/>
        </w:rPr>
        <w:t xml:space="preserve"> Ministry of Home Affairs, Government of India, 2002.</w:t>
      </w:r>
      <w:bookmarkEnd w:id="28"/>
    </w:p>
    <w:p w14:paraId="2148F43B" w14:textId="77777777" w:rsidR="00E957B0" w:rsidRPr="00E957B0" w:rsidRDefault="00E957B0" w:rsidP="00E957B0">
      <w:pPr>
        <w:pStyle w:val="EndNoteBibliography"/>
        <w:ind w:left="720" w:hanging="720"/>
        <w:rPr>
          <w:noProof/>
        </w:rPr>
      </w:pPr>
      <w:bookmarkStart w:id="29" w:name="_ENREF_6"/>
      <w:r w:rsidRPr="00E957B0">
        <w:rPr>
          <w:i/>
          <w:noProof/>
        </w:rPr>
        <w:t>The Holy Bible, Containing the Old Teſtament, and the New: Tranſlated out of the Original Tongues and with the Former Translations Diligently Compared and Reviſed, by His Majesty’s Speciall Comand.</w:t>
      </w:r>
      <w:r w:rsidRPr="00E957B0">
        <w:rPr>
          <w:noProof/>
        </w:rPr>
        <w:t xml:space="preserve"> Oxford University Press, 1769, The Church of England.</w:t>
      </w:r>
      <w:bookmarkEnd w:id="29"/>
    </w:p>
    <w:p w14:paraId="64E74183" w14:textId="77777777" w:rsidR="00E957B0" w:rsidRPr="00E957B0" w:rsidRDefault="00E957B0" w:rsidP="00E957B0">
      <w:pPr>
        <w:pStyle w:val="EndNoteBibliography"/>
        <w:ind w:left="720" w:hanging="720"/>
        <w:rPr>
          <w:noProof/>
        </w:rPr>
      </w:pPr>
      <w:bookmarkStart w:id="30" w:name="_ENREF_7"/>
      <w:r w:rsidRPr="00E957B0">
        <w:rPr>
          <w:i/>
          <w:noProof/>
        </w:rPr>
        <w:t>The Holy Scriptures According to the Masoretic Text a New Translation with the Aid of Previous Versions and with Constant Consultation of Jewish Authorities.</w:t>
      </w:r>
      <w:r w:rsidRPr="00E957B0">
        <w:rPr>
          <w:noProof/>
        </w:rPr>
        <w:t xml:space="preserve"> Jewish Publication Society of America, 1917, Max L. Margolis.</w:t>
      </w:r>
      <w:bookmarkEnd w:id="30"/>
    </w:p>
    <w:p w14:paraId="6B1C89A3" w14:textId="77777777" w:rsidR="00E957B0" w:rsidRPr="00E957B0" w:rsidRDefault="00E957B0" w:rsidP="00E957B0">
      <w:pPr>
        <w:pStyle w:val="EndNoteBibliography"/>
        <w:ind w:left="720" w:hanging="720"/>
        <w:rPr>
          <w:noProof/>
        </w:rPr>
      </w:pPr>
      <w:bookmarkStart w:id="31" w:name="_ENREF_8"/>
      <w:r w:rsidRPr="00E957B0">
        <w:rPr>
          <w:i/>
          <w:noProof/>
        </w:rPr>
        <w:t>Mahābhāratam.</w:t>
      </w:r>
      <w:r w:rsidRPr="00E957B0">
        <w:rPr>
          <w:noProof/>
        </w:rPr>
        <w:t xml:space="preserve"> BORI Critical Edition, The Bhandarkar Oriental Research Institute, 1966, Vishnu S. Sukhtankar.</w:t>
      </w:r>
      <w:bookmarkEnd w:id="31"/>
    </w:p>
    <w:p w14:paraId="633CF4FC" w14:textId="77777777" w:rsidR="00E957B0" w:rsidRPr="00E957B0" w:rsidRDefault="00E957B0" w:rsidP="00E957B0">
      <w:pPr>
        <w:pStyle w:val="EndNoteBibliography"/>
        <w:ind w:left="720" w:hanging="720"/>
        <w:rPr>
          <w:noProof/>
        </w:rPr>
      </w:pPr>
      <w:bookmarkStart w:id="32" w:name="_ENREF_9"/>
      <w:r w:rsidRPr="00E957B0">
        <w:rPr>
          <w:i/>
          <w:noProof/>
        </w:rPr>
        <w:t>The Message of the Qurʼan.</w:t>
      </w:r>
      <w:r w:rsidRPr="00E957B0">
        <w:rPr>
          <w:noProof/>
        </w:rPr>
        <w:t xml:space="preserve"> Translated by Muhammad Asad, Book Foundation, 2004.</w:t>
      </w:r>
      <w:bookmarkEnd w:id="32"/>
    </w:p>
    <w:p w14:paraId="78C90DBE" w14:textId="77777777" w:rsidR="00E957B0" w:rsidRPr="00E957B0" w:rsidRDefault="00E957B0" w:rsidP="00E957B0">
      <w:pPr>
        <w:pStyle w:val="EndNoteBibliography"/>
        <w:ind w:left="720" w:hanging="720"/>
        <w:rPr>
          <w:noProof/>
        </w:rPr>
      </w:pPr>
      <w:bookmarkStart w:id="33" w:name="_ENREF_10"/>
      <w:r w:rsidRPr="00E957B0">
        <w:rPr>
          <w:i/>
          <w:noProof/>
        </w:rPr>
        <w:t>Mundakopanishad.</w:t>
      </w:r>
      <w:r w:rsidRPr="00E957B0">
        <w:rPr>
          <w:noProof/>
        </w:rPr>
        <w:t xml:space="preserve"> Ministry of Culture, Government of India, 2023.</w:t>
      </w:r>
      <w:bookmarkEnd w:id="33"/>
    </w:p>
    <w:p w14:paraId="67AC6DD5" w14:textId="77777777" w:rsidR="00E957B0" w:rsidRPr="00E957B0" w:rsidRDefault="00E957B0" w:rsidP="00E957B0">
      <w:pPr>
        <w:pStyle w:val="EndNoteBibliography"/>
        <w:ind w:left="720" w:hanging="720"/>
        <w:rPr>
          <w:noProof/>
        </w:rPr>
      </w:pPr>
      <w:bookmarkStart w:id="34" w:name="_ENREF_11"/>
      <w:r w:rsidRPr="00E957B0">
        <w:rPr>
          <w:i/>
          <w:noProof/>
        </w:rPr>
        <w:t>Pali Tipiṭaka.</w:t>
      </w:r>
      <w:r w:rsidRPr="00E957B0">
        <w:rPr>
          <w:noProof/>
        </w:rPr>
        <w:t xml:space="preserve"> Sixth Council Edition, Vipassana Research Institute, 1956, The Sixth Buddhist Council.</w:t>
      </w:r>
      <w:bookmarkEnd w:id="34"/>
    </w:p>
    <w:p w14:paraId="28B8B641" w14:textId="77777777" w:rsidR="00E957B0" w:rsidRPr="00E957B0" w:rsidRDefault="00E957B0" w:rsidP="00E957B0">
      <w:pPr>
        <w:pStyle w:val="EndNoteBibliography"/>
        <w:ind w:left="720" w:hanging="720"/>
        <w:rPr>
          <w:noProof/>
        </w:rPr>
      </w:pPr>
      <w:bookmarkStart w:id="35" w:name="_ENREF_12"/>
      <w:r w:rsidRPr="00E957B0">
        <w:rPr>
          <w:i/>
          <w:noProof/>
        </w:rPr>
        <w:t>The Torah.</w:t>
      </w:r>
      <w:r w:rsidRPr="00E957B0">
        <w:rPr>
          <w:noProof/>
        </w:rPr>
        <w:t xml:space="preserve"> Aleppo Codex, Shlomo ben Buya, 920, Aaron ben Moses ben Asher.</w:t>
      </w:r>
      <w:bookmarkEnd w:id="35"/>
    </w:p>
    <w:p w14:paraId="6BF44DE6" w14:textId="77777777" w:rsidR="00E957B0" w:rsidRPr="00E957B0" w:rsidRDefault="00E957B0" w:rsidP="00E957B0">
      <w:pPr>
        <w:pStyle w:val="EndNoteBibliography"/>
        <w:ind w:left="720" w:hanging="720"/>
        <w:rPr>
          <w:noProof/>
        </w:rPr>
      </w:pPr>
      <w:bookmarkStart w:id="36" w:name="_ENREF_13"/>
      <w:r w:rsidRPr="00E957B0">
        <w:rPr>
          <w:noProof/>
        </w:rPr>
        <w:t xml:space="preserve">Abbas, Khwaja Ahmad. </w:t>
      </w:r>
      <w:r w:rsidRPr="00E957B0">
        <w:rPr>
          <w:i/>
          <w:noProof/>
        </w:rPr>
        <w:t>Mera Naam Joker.</w:t>
      </w:r>
      <w:r w:rsidRPr="00E957B0">
        <w:rPr>
          <w:noProof/>
        </w:rPr>
        <w:t xml:space="preserve"> HarperCollins, 2014.</w:t>
      </w:r>
      <w:bookmarkEnd w:id="36"/>
    </w:p>
    <w:p w14:paraId="18BE9F9B" w14:textId="77777777" w:rsidR="00E957B0" w:rsidRPr="00E957B0" w:rsidRDefault="00E957B0" w:rsidP="00E957B0">
      <w:pPr>
        <w:pStyle w:val="EndNoteBibliography"/>
        <w:ind w:left="720" w:hanging="720"/>
        <w:rPr>
          <w:noProof/>
        </w:rPr>
      </w:pPr>
      <w:bookmarkStart w:id="37" w:name="_ENREF_14"/>
      <w:r w:rsidRPr="00E957B0">
        <w:rPr>
          <w:noProof/>
        </w:rPr>
        <w:t>Alex-engraver. "Sahaja Subtle System." Wikimedia Foundation, 2011.</w:t>
      </w:r>
      <w:bookmarkEnd w:id="37"/>
    </w:p>
    <w:p w14:paraId="74AA4E3B" w14:textId="77777777" w:rsidR="00E957B0" w:rsidRPr="00E957B0" w:rsidRDefault="00E957B0" w:rsidP="00E957B0">
      <w:pPr>
        <w:pStyle w:val="EndNoteBibliography"/>
        <w:ind w:left="720" w:hanging="720"/>
        <w:rPr>
          <w:noProof/>
        </w:rPr>
      </w:pPr>
      <w:bookmarkStart w:id="38" w:name="_ENREF_15"/>
      <w:r w:rsidRPr="00E957B0">
        <w:rPr>
          <w:noProof/>
        </w:rPr>
        <w:t xml:space="preserve">Belsare, Malhar Bhikaji. </w:t>
      </w:r>
      <w:r w:rsidRPr="00E957B0">
        <w:rPr>
          <w:i/>
          <w:noProof/>
        </w:rPr>
        <w:t>ગુજરાતી-</w:t>
      </w:r>
      <w:r w:rsidRPr="00E957B0">
        <w:rPr>
          <w:rFonts w:ascii="Shruti" w:hAnsi="Shruti" w:cs="Shruti"/>
          <w:i/>
          <w:noProof/>
        </w:rPr>
        <w:t>અંગ્રેજી</w:t>
      </w:r>
      <w:r w:rsidRPr="00E957B0">
        <w:rPr>
          <w:i/>
          <w:noProof/>
        </w:rPr>
        <w:t xml:space="preserve"> </w:t>
      </w:r>
      <w:r w:rsidRPr="00E957B0">
        <w:rPr>
          <w:rFonts w:ascii="Shruti" w:hAnsi="Shruti" w:cs="Shruti"/>
          <w:i/>
          <w:noProof/>
        </w:rPr>
        <w:t>ડિકશનરી</w:t>
      </w:r>
      <w:r w:rsidRPr="00E957B0">
        <w:rPr>
          <w:i/>
          <w:noProof/>
        </w:rPr>
        <w:t xml:space="preserve"> [Etymological Gujarati-English Dictionary].</w:t>
      </w:r>
      <w:r w:rsidRPr="00E957B0">
        <w:rPr>
          <w:noProof/>
        </w:rPr>
        <w:t xml:space="preserve"> 2nd Edition, Asian Educational Services, 2002.</w:t>
      </w:r>
      <w:bookmarkEnd w:id="38"/>
    </w:p>
    <w:p w14:paraId="3477388E" w14:textId="77777777" w:rsidR="00E957B0" w:rsidRPr="00E957B0" w:rsidRDefault="00E957B0" w:rsidP="00E957B0">
      <w:pPr>
        <w:pStyle w:val="EndNoteBibliography"/>
        <w:ind w:left="720" w:hanging="720"/>
        <w:rPr>
          <w:noProof/>
        </w:rPr>
      </w:pPr>
      <w:bookmarkStart w:id="39" w:name="_ENREF_16"/>
      <w:r w:rsidRPr="00E957B0">
        <w:rPr>
          <w:noProof/>
        </w:rPr>
        <w:t xml:space="preserve">Cook, Francis H. </w:t>
      </w:r>
      <w:r w:rsidRPr="00E957B0">
        <w:rPr>
          <w:i/>
          <w:noProof/>
        </w:rPr>
        <w:t>Hua-Yen Buddhism: The Jewel Net of Indra.</w:t>
      </w:r>
      <w:r w:rsidRPr="00E957B0">
        <w:rPr>
          <w:noProof/>
        </w:rPr>
        <w:t xml:space="preserve"> Penn State Press, 2010.</w:t>
      </w:r>
      <w:bookmarkEnd w:id="39"/>
    </w:p>
    <w:p w14:paraId="28B674FD" w14:textId="77777777" w:rsidR="00E957B0" w:rsidRPr="00E957B0" w:rsidRDefault="00E957B0" w:rsidP="00E957B0">
      <w:pPr>
        <w:pStyle w:val="EndNoteBibliography"/>
        <w:ind w:left="720" w:hanging="720"/>
        <w:rPr>
          <w:noProof/>
        </w:rPr>
      </w:pPr>
      <w:bookmarkStart w:id="40" w:name="_ENREF_17"/>
      <w:r w:rsidRPr="00E957B0">
        <w:rPr>
          <w:noProof/>
        </w:rPr>
        <w:t xml:space="preserve">Erikson, E.H. and J.M. Erikson. </w:t>
      </w:r>
      <w:r w:rsidRPr="00E957B0">
        <w:rPr>
          <w:i/>
          <w:noProof/>
        </w:rPr>
        <w:t>Life Cycle Completed.</w:t>
      </w:r>
      <w:r w:rsidRPr="00E957B0">
        <w:rPr>
          <w:noProof/>
        </w:rPr>
        <w:t xml:space="preserve"> W. W. Norton, 1998.</w:t>
      </w:r>
      <w:bookmarkEnd w:id="40"/>
    </w:p>
    <w:p w14:paraId="3BDC14A6" w14:textId="77777777" w:rsidR="00E957B0" w:rsidRPr="00E957B0" w:rsidRDefault="00E957B0" w:rsidP="00E957B0">
      <w:pPr>
        <w:pStyle w:val="EndNoteBibliography"/>
        <w:ind w:left="720" w:hanging="720"/>
        <w:rPr>
          <w:noProof/>
        </w:rPr>
      </w:pPr>
      <w:bookmarkStart w:id="41" w:name="_ENREF_18"/>
      <w:r w:rsidRPr="00E957B0">
        <w:rPr>
          <w:noProof/>
        </w:rPr>
        <w:t xml:space="preserve">Gandhi, Mohandas K. "The Magic Spell of a Book." </w:t>
      </w:r>
      <w:r w:rsidRPr="00E957B0">
        <w:rPr>
          <w:i/>
          <w:noProof/>
        </w:rPr>
        <w:t>An Autobiography, or, the Story of My Experiments with Truth</w:t>
      </w:r>
      <w:r w:rsidRPr="00E957B0">
        <w:rPr>
          <w:noProof/>
        </w:rPr>
        <w:t>, translated by Mahadev Desai, Navajivan Trust, 1945, pp. 334-36.</w:t>
      </w:r>
      <w:bookmarkEnd w:id="41"/>
    </w:p>
    <w:p w14:paraId="385B4F55" w14:textId="77777777" w:rsidR="00E957B0" w:rsidRPr="00E957B0" w:rsidRDefault="00E957B0" w:rsidP="00E957B0">
      <w:pPr>
        <w:pStyle w:val="EndNoteBibliography"/>
        <w:ind w:left="720" w:hanging="720"/>
        <w:rPr>
          <w:noProof/>
        </w:rPr>
      </w:pPr>
      <w:bookmarkStart w:id="42" w:name="_ENREF_19"/>
      <w:r w:rsidRPr="00E957B0">
        <w:rPr>
          <w:noProof/>
        </w:rPr>
        <w:t xml:space="preserve">---. </w:t>
      </w:r>
      <w:r w:rsidRPr="00E957B0">
        <w:rPr>
          <w:i/>
          <w:noProof/>
        </w:rPr>
        <w:t>Sarvodaya.</w:t>
      </w:r>
      <w:r w:rsidRPr="00E957B0">
        <w:rPr>
          <w:noProof/>
        </w:rPr>
        <w:t xml:space="preserve"> Translated by Vinoba Bhave, Jitendra T. Desai, 1956.</w:t>
      </w:r>
      <w:bookmarkEnd w:id="42"/>
    </w:p>
    <w:p w14:paraId="6DB6B6A9" w14:textId="77777777" w:rsidR="00E957B0" w:rsidRPr="00E957B0" w:rsidRDefault="00E957B0" w:rsidP="00E957B0">
      <w:pPr>
        <w:pStyle w:val="EndNoteBibliography"/>
        <w:ind w:left="720" w:hanging="720"/>
        <w:rPr>
          <w:noProof/>
        </w:rPr>
      </w:pPr>
      <w:bookmarkStart w:id="43" w:name="_ENREF_20"/>
      <w:r w:rsidRPr="00E957B0">
        <w:rPr>
          <w:noProof/>
        </w:rPr>
        <w:t xml:space="preserve">---. </w:t>
      </w:r>
      <w:r w:rsidRPr="00E957B0">
        <w:rPr>
          <w:i/>
          <w:noProof/>
        </w:rPr>
        <w:t>સર્વોદય [Sarvodaya].</w:t>
      </w:r>
      <w:r w:rsidRPr="00E957B0">
        <w:rPr>
          <w:noProof/>
        </w:rPr>
        <w:t xml:space="preserve"> 1908.</w:t>
      </w:r>
      <w:bookmarkEnd w:id="43"/>
    </w:p>
    <w:p w14:paraId="7A71551F" w14:textId="77777777" w:rsidR="00E957B0" w:rsidRPr="00E957B0" w:rsidRDefault="00E957B0" w:rsidP="00E957B0">
      <w:pPr>
        <w:pStyle w:val="EndNoteBibliography"/>
        <w:ind w:left="720" w:hanging="720"/>
        <w:rPr>
          <w:noProof/>
        </w:rPr>
      </w:pPr>
      <w:bookmarkStart w:id="44" w:name="_ENREF_21"/>
      <w:r w:rsidRPr="00E957B0">
        <w:rPr>
          <w:noProof/>
        </w:rPr>
        <w:t xml:space="preserve">Gentile, Benito Mussolini and Giovanni. </w:t>
      </w:r>
      <w:r w:rsidRPr="00E957B0">
        <w:rPr>
          <w:i/>
          <w:noProof/>
        </w:rPr>
        <w:t>Fascism Doctrine and Institutions.</w:t>
      </w:r>
      <w:r w:rsidRPr="00E957B0">
        <w:rPr>
          <w:noProof/>
        </w:rPr>
        <w:t xml:space="preserve"> Ardita Publishers, 1935.</w:t>
      </w:r>
      <w:bookmarkEnd w:id="44"/>
    </w:p>
    <w:p w14:paraId="45BD17B1" w14:textId="77777777" w:rsidR="00E957B0" w:rsidRPr="00E957B0" w:rsidRDefault="00E957B0" w:rsidP="00E957B0">
      <w:pPr>
        <w:pStyle w:val="EndNoteBibliography"/>
        <w:ind w:left="720" w:hanging="720"/>
        <w:rPr>
          <w:noProof/>
        </w:rPr>
      </w:pPr>
      <w:bookmarkStart w:id="45" w:name="_ENREF_22"/>
      <w:r w:rsidRPr="00E957B0">
        <w:rPr>
          <w:noProof/>
        </w:rPr>
        <w:t xml:space="preserve">---. </w:t>
      </w:r>
      <w:r w:rsidRPr="00E957B0">
        <w:rPr>
          <w:i/>
          <w:noProof/>
        </w:rPr>
        <w:t>La Dottrina Del Fascismo.</w:t>
      </w:r>
      <w:r w:rsidRPr="00E957B0">
        <w:rPr>
          <w:noProof/>
        </w:rPr>
        <w:t xml:space="preserve"> Treccani, 1932, </w:t>
      </w:r>
      <w:r w:rsidRPr="00E957B0">
        <w:rPr>
          <w:i/>
          <w:noProof/>
        </w:rPr>
        <w:t>Enciclopedia Italiana</w:t>
      </w:r>
      <w:r w:rsidRPr="00E957B0">
        <w:rPr>
          <w:noProof/>
        </w:rPr>
        <w:t>.</w:t>
      </w:r>
      <w:bookmarkEnd w:id="45"/>
    </w:p>
    <w:p w14:paraId="4A04A898" w14:textId="77777777" w:rsidR="00E957B0" w:rsidRPr="00E957B0" w:rsidRDefault="00E957B0" w:rsidP="00E957B0">
      <w:pPr>
        <w:pStyle w:val="EndNoteBibliography"/>
        <w:ind w:left="720" w:hanging="720"/>
        <w:rPr>
          <w:noProof/>
        </w:rPr>
      </w:pPr>
      <w:bookmarkStart w:id="46" w:name="_ENREF_23"/>
      <w:r w:rsidRPr="00E957B0">
        <w:rPr>
          <w:noProof/>
        </w:rPr>
        <w:t xml:space="preserve">Gupta, Mahendranath. </w:t>
      </w:r>
      <w:r w:rsidRPr="00E957B0">
        <w:rPr>
          <w:i/>
          <w:noProof/>
        </w:rPr>
        <w:t>The Gospel of Sri Ramakrishna.</w:t>
      </w:r>
      <w:r w:rsidRPr="00E957B0">
        <w:rPr>
          <w:noProof/>
        </w:rPr>
        <w:t xml:space="preserve"> Edited by Mahendranath Gupta, Translated by Swami Nikhilananda, Ramakrishna-Vivekananda Center of New York, 1942.</w:t>
      </w:r>
      <w:bookmarkEnd w:id="46"/>
    </w:p>
    <w:p w14:paraId="5BE93649" w14:textId="77777777" w:rsidR="00E957B0" w:rsidRPr="00E957B0" w:rsidRDefault="00E957B0" w:rsidP="00E957B0">
      <w:pPr>
        <w:pStyle w:val="EndNoteBibliography"/>
        <w:ind w:left="720" w:hanging="720"/>
        <w:rPr>
          <w:noProof/>
        </w:rPr>
      </w:pPr>
      <w:bookmarkStart w:id="47" w:name="_ENREF_24"/>
      <w:r w:rsidRPr="00E957B0">
        <w:rPr>
          <w:noProof/>
        </w:rPr>
        <w:t>Jefferson, Thomas. "Declaration of Independence." Stone Engraving ed., William J. Stone, 1820 1776. general editor, Second Continental Congress.</w:t>
      </w:r>
      <w:bookmarkEnd w:id="47"/>
    </w:p>
    <w:p w14:paraId="1D6F0F2E" w14:textId="77777777" w:rsidR="00E957B0" w:rsidRPr="00E957B0" w:rsidRDefault="00E957B0" w:rsidP="00E957B0">
      <w:pPr>
        <w:pStyle w:val="EndNoteBibliography"/>
        <w:ind w:left="720" w:hanging="720"/>
        <w:rPr>
          <w:noProof/>
        </w:rPr>
      </w:pPr>
      <w:bookmarkStart w:id="48" w:name="_ENREF_25"/>
      <w:r w:rsidRPr="00E957B0">
        <w:rPr>
          <w:noProof/>
        </w:rPr>
        <w:t>Kapoor, Raj. "Mera Naam Joker." R. K. Films, 1970.</w:t>
      </w:r>
      <w:bookmarkEnd w:id="48"/>
    </w:p>
    <w:p w14:paraId="279764A0" w14:textId="77777777" w:rsidR="00E957B0" w:rsidRPr="00E957B0" w:rsidRDefault="00E957B0" w:rsidP="00E957B0">
      <w:pPr>
        <w:pStyle w:val="EndNoteBibliography"/>
        <w:ind w:left="720" w:hanging="720"/>
        <w:rPr>
          <w:noProof/>
        </w:rPr>
      </w:pPr>
      <w:bookmarkStart w:id="49" w:name="_ENREF_26"/>
      <w:r w:rsidRPr="00E957B0">
        <w:rPr>
          <w:noProof/>
        </w:rPr>
        <w:t xml:space="preserve">Kipling, Rudyard. "The Elephant’s Child." </w:t>
      </w:r>
      <w:r w:rsidRPr="00E957B0">
        <w:rPr>
          <w:i/>
          <w:noProof/>
        </w:rPr>
        <w:t>Just So Stories</w:t>
      </w:r>
      <w:r w:rsidRPr="00E957B0">
        <w:rPr>
          <w:noProof/>
        </w:rPr>
        <w:t>, Doubleday, Page &amp; Company, 1902, pp. 63-83.</w:t>
      </w:r>
      <w:bookmarkEnd w:id="49"/>
    </w:p>
    <w:p w14:paraId="62B061C4" w14:textId="77777777" w:rsidR="00E957B0" w:rsidRPr="00E957B0" w:rsidRDefault="00E957B0" w:rsidP="00E957B0">
      <w:pPr>
        <w:pStyle w:val="EndNoteBibliography"/>
        <w:ind w:left="720" w:hanging="720"/>
        <w:rPr>
          <w:noProof/>
        </w:rPr>
      </w:pPr>
      <w:bookmarkStart w:id="50" w:name="_ENREF_27"/>
      <w:r w:rsidRPr="00E957B0">
        <w:rPr>
          <w:noProof/>
        </w:rPr>
        <w:lastRenderedPageBreak/>
        <w:t>MapGrid. "Flag of India — Construction Sheet." Wikimedia Foundation, 2023.</w:t>
      </w:r>
      <w:bookmarkEnd w:id="50"/>
    </w:p>
    <w:p w14:paraId="5B8C4326" w14:textId="77777777" w:rsidR="00E957B0" w:rsidRPr="00E957B0" w:rsidRDefault="00E957B0" w:rsidP="00E957B0">
      <w:pPr>
        <w:pStyle w:val="EndNoteBibliography"/>
        <w:ind w:left="720" w:hanging="720"/>
        <w:rPr>
          <w:noProof/>
        </w:rPr>
      </w:pPr>
      <w:bookmarkStart w:id="51" w:name="_ENREF_28"/>
      <w:r w:rsidRPr="00E957B0">
        <w:rPr>
          <w:noProof/>
        </w:rPr>
        <w:t xml:space="preserve">Marx, Karl and Friedrich Engels. </w:t>
      </w:r>
      <w:r w:rsidRPr="00E957B0">
        <w:rPr>
          <w:i/>
          <w:noProof/>
        </w:rPr>
        <w:t>Manifest Der Kommunistischen Partei: Veröffentlicht Im Februar 1848.</w:t>
      </w:r>
      <w:r w:rsidRPr="00E957B0">
        <w:rPr>
          <w:noProof/>
        </w:rPr>
        <w:t xml:space="preserve"> Gedruckt in der Office der "Bildungs-Gesellschaft für Arbeiter" von J.E. Burghard, 1848.</w:t>
      </w:r>
      <w:bookmarkEnd w:id="51"/>
    </w:p>
    <w:p w14:paraId="3CA86782" w14:textId="77777777" w:rsidR="00E957B0" w:rsidRPr="00E957B0" w:rsidRDefault="00E957B0" w:rsidP="00E957B0">
      <w:pPr>
        <w:pStyle w:val="EndNoteBibliography"/>
        <w:ind w:left="720" w:hanging="720"/>
        <w:rPr>
          <w:noProof/>
        </w:rPr>
      </w:pPr>
      <w:bookmarkStart w:id="52" w:name="_ENREF_29"/>
      <w:r w:rsidRPr="00E957B0">
        <w:rPr>
          <w:noProof/>
        </w:rPr>
        <w:t xml:space="preserve">---. </w:t>
      </w:r>
      <w:r w:rsidRPr="00E957B0">
        <w:rPr>
          <w:i/>
          <w:noProof/>
        </w:rPr>
        <w:t>Manifesto of the Communist Party.</w:t>
      </w:r>
      <w:r w:rsidRPr="00E957B0">
        <w:rPr>
          <w:noProof/>
        </w:rPr>
        <w:t xml:space="preserve"> Translated by Friedrich Engels, Charles H. Kerr &amp; Company, 1906.</w:t>
      </w:r>
      <w:bookmarkEnd w:id="52"/>
    </w:p>
    <w:p w14:paraId="0E516DA1" w14:textId="77777777" w:rsidR="00E957B0" w:rsidRPr="00E957B0" w:rsidRDefault="00E957B0" w:rsidP="00E957B0">
      <w:pPr>
        <w:pStyle w:val="EndNoteBibliography"/>
        <w:ind w:left="720" w:hanging="720"/>
        <w:rPr>
          <w:noProof/>
        </w:rPr>
      </w:pPr>
      <w:bookmarkStart w:id="53" w:name="_ENREF_30"/>
      <w:r w:rsidRPr="00E957B0">
        <w:rPr>
          <w:noProof/>
        </w:rPr>
        <w:t xml:space="preserve">Publius. </w:t>
      </w:r>
      <w:r w:rsidRPr="00E957B0">
        <w:rPr>
          <w:i/>
          <w:noProof/>
        </w:rPr>
        <w:t>The Federalist.</w:t>
      </w:r>
      <w:r w:rsidRPr="00E957B0">
        <w:rPr>
          <w:noProof/>
        </w:rPr>
        <w:t xml:space="preserve"> John and Andrew M'Lean, 1788.</w:t>
      </w:r>
      <w:bookmarkEnd w:id="53"/>
    </w:p>
    <w:p w14:paraId="1DD60B32" w14:textId="77777777" w:rsidR="00E957B0" w:rsidRPr="00E957B0" w:rsidRDefault="00E957B0" w:rsidP="00E957B0">
      <w:pPr>
        <w:pStyle w:val="EndNoteBibliography"/>
        <w:ind w:left="720" w:hanging="720"/>
        <w:rPr>
          <w:noProof/>
        </w:rPr>
      </w:pPr>
      <w:bookmarkStart w:id="54" w:name="_ENREF_31"/>
      <w:r w:rsidRPr="00E957B0">
        <w:rPr>
          <w:noProof/>
        </w:rPr>
        <w:t xml:space="preserve">Radhakrishnan, Sarvepalli. </w:t>
      </w:r>
      <w:r w:rsidRPr="00E957B0">
        <w:rPr>
          <w:i/>
          <w:noProof/>
        </w:rPr>
        <w:t>The Principal Upaniṣads.</w:t>
      </w:r>
      <w:r w:rsidRPr="00E957B0">
        <w:rPr>
          <w:noProof/>
        </w:rPr>
        <w:t xml:space="preserve"> HarperCollins Publishers, 2020.</w:t>
      </w:r>
      <w:bookmarkEnd w:id="54"/>
    </w:p>
    <w:p w14:paraId="1DB75E29" w14:textId="77777777" w:rsidR="00E957B0" w:rsidRPr="00E957B0" w:rsidRDefault="00E957B0" w:rsidP="00E957B0">
      <w:pPr>
        <w:pStyle w:val="EndNoteBibliography"/>
        <w:ind w:left="720" w:hanging="720"/>
        <w:rPr>
          <w:noProof/>
        </w:rPr>
      </w:pPr>
      <w:bookmarkStart w:id="55" w:name="_ENREF_32"/>
      <w:r w:rsidRPr="00E957B0">
        <w:rPr>
          <w:noProof/>
        </w:rPr>
        <w:t xml:space="preserve">Rand, Ayn. </w:t>
      </w:r>
      <w:r w:rsidRPr="00E957B0">
        <w:rPr>
          <w:i/>
          <w:noProof/>
        </w:rPr>
        <w:t>Atlas Shrugged.</w:t>
      </w:r>
      <w:r w:rsidRPr="00E957B0">
        <w:rPr>
          <w:noProof/>
        </w:rPr>
        <w:t xml:space="preserve"> Random House, 1957.</w:t>
      </w:r>
      <w:bookmarkEnd w:id="55"/>
    </w:p>
    <w:p w14:paraId="132C63C9" w14:textId="77777777" w:rsidR="00E957B0" w:rsidRPr="00E957B0" w:rsidRDefault="00E957B0" w:rsidP="00E957B0">
      <w:pPr>
        <w:pStyle w:val="EndNoteBibliography"/>
        <w:ind w:left="720" w:hanging="720"/>
        <w:rPr>
          <w:noProof/>
        </w:rPr>
      </w:pPr>
      <w:bookmarkStart w:id="56" w:name="_ENREF_33"/>
      <w:r w:rsidRPr="00E957B0">
        <w:rPr>
          <w:noProof/>
        </w:rPr>
        <w:t xml:space="preserve">---. </w:t>
      </w:r>
      <w:r w:rsidRPr="00E957B0">
        <w:rPr>
          <w:i/>
          <w:noProof/>
        </w:rPr>
        <w:t>For the New Intellectual.</w:t>
      </w:r>
      <w:r w:rsidRPr="00E957B0">
        <w:rPr>
          <w:noProof/>
        </w:rPr>
        <w:t xml:space="preserve"> Penguin Publishing Group, 1963.</w:t>
      </w:r>
      <w:bookmarkEnd w:id="56"/>
    </w:p>
    <w:p w14:paraId="03D0CA10" w14:textId="77777777" w:rsidR="00E957B0" w:rsidRPr="00E957B0" w:rsidRDefault="00E957B0" w:rsidP="00E957B0">
      <w:pPr>
        <w:pStyle w:val="EndNoteBibliography"/>
        <w:ind w:left="720" w:hanging="720"/>
        <w:rPr>
          <w:noProof/>
        </w:rPr>
      </w:pPr>
      <w:bookmarkStart w:id="57" w:name="_ENREF_34"/>
      <w:r w:rsidRPr="00E957B0">
        <w:rPr>
          <w:noProof/>
        </w:rPr>
        <w:t xml:space="preserve">Shakespeare, William. </w:t>
      </w:r>
      <w:r w:rsidRPr="00E957B0">
        <w:rPr>
          <w:i/>
          <w:noProof/>
        </w:rPr>
        <w:t>Romeo and Juliet, Quarto 2.</w:t>
      </w:r>
      <w:r w:rsidRPr="00E957B0">
        <w:rPr>
          <w:noProof/>
        </w:rPr>
        <w:t xml:space="preserve"> Thomas Creede, 1599.</w:t>
      </w:r>
      <w:bookmarkEnd w:id="57"/>
    </w:p>
    <w:p w14:paraId="09462172" w14:textId="77777777" w:rsidR="00E957B0" w:rsidRPr="00E957B0" w:rsidRDefault="00E957B0" w:rsidP="00E957B0">
      <w:pPr>
        <w:pStyle w:val="EndNoteBibliography"/>
        <w:ind w:left="720" w:hanging="720"/>
        <w:rPr>
          <w:noProof/>
        </w:rPr>
      </w:pPr>
      <w:bookmarkStart w:id="58" w:name="_ENREF_35"/>
      <w:r w:rsidRPr="00E957B0">
        <w:rPr>
          <w:noProof/>
        </w:rPr>
        <w:t xml:space="preserve">Sieyès, Emmanuel Joseph. </w:t>
      </w:r>
      <w:r w:rsidRPr="00E957B0">
        <w:rPr>
          <w:i/>
          <w:noProof/>
        </w:rPr>
        <w:t>Qu'est-Ce Que Le Tiers-État?</w:t>
      </w:r>
      <w:r w:rsidRPr="00E957B0">
        <w:rPr>
          <w:noProof/>
        </w:rPr>
        <w:t xml:space="preserve"> 1789.</w:t>
      </w:r>
      <w:bookmarkEnd w:id="58"/>
    </w:p>
    <w:p w14:paraId="0D6E021B" w14:textId="77777777" w:rsidR="00E957B0" w:rsidRPr="00E957B0" w:rsidRDefault="00E957B0" w:rsidP="00E957B0">
      <w:pPr>
        <w:pStyle w:val="EndNoteBibliography"/>
        <w:ind w:left="720" w:hanging="720"/>
        <w:rPr>
          <w:noProof/>
        </w:rPr>
      </w:pPr>
      <w:bookmarkStart w:id="59" w:name="_ENREF_36"/>
      <w:r w:rsidRPr="00E957B0">
        <w:rPr>
          <w:noProof/>
        </w:rPr>
        <w:t xml:space="preserve">---. "What Is the Third Estate?" </w:t>
      </w:r>
      <w:r w:rsidRPr="00E957B0">
        <w:rPr>
          <w:i/>
          <w:noProof/>
        </w:rPr>
        <w:t>Emmanuel Joseph Sieyès: The Essential Political Writings</w:t>
      </w:r>
      <w:r w:rsidRPr="00E957B0">
        <w:rPr>
          <w:noProof/>
        </w:rPr>
        <w:t>, Brill, 2014, Oliver W. Lembcke and Florian Weber.</w:t>
      </w:r>
      <w:bookmarkEnd w:id="59"/>
    </w:p>
    <w:p w14:paraId="7098E53B" w14:textId="77777777" w:rsidR="00E957B0" w:rsidRPr="00E957B0" w:rsidRDefault="00E957B0" w:rsidP="00E957B0">
      <w:pPr>
        <w:pStyle w:val="EndNoteBibliography"/>
        <w:ind w:left="720" w:hanging="720"/>
        <w:rPr>
          <w:noProof/>
        </w:rPr>
      </w:pPr>
      <w:bookmarkStart w:id="60" w:name="_ENREF_37"/>
      <w:r w:rsidRPr="00E957B0">
        <w:rPr>
          <w:noProof/>
        </w:rPr>
        <w:t xml:space="preserve">Sir Monier Monier-Williams. </w:t>
      </w:r>
      <w:r w:rsidRPr="00E957B0">
        <w:rPr>
          <w:i/>
          <w:noProof/>
        </w:rPr>
        <w:t>A Sanskṛit-English dictionary etymologically and philologically arranged with special reference to Greek, Latin, Gothic, German, Anglo-Saxon, and other cognate Indo-European languages</w:t>
      </w:r>
      <w:r w:rsidRPr="00E957B0">
        <w:rPr>
          <w:noProof/>
        </w:rPr>
        <w:t>, The Clarendon Press, 1872.</w:t>
      </w:r>
      <w:bookmarkEnd w:id="60"/>
    </w:p>
    <w:p w14:paraId="5271BA1A" w14:textId="77777777" w:rsidR="00E957B0" w:rsidRPr="00E957B0" w:rsidRDefault="00E957B0" w:rsidP="00E957B0">
      <w:pPr>
        <w:pStyle w:val="EndNoteBibliography"/>
        <w:ind w:left="720" w:hanging="720"/>
        <w:rPr>
          <w:noProof/>
        </w:rPr>
      </w:pPr>
      <w:bookmarkStart w:id="61" w:name="_ENREF_38"/>
      <w:r w:rsidRPr="00E957B0">
        <w:rPr>
          <w:noProof/>
        </w:rPr>
        <w:t xml:space="preserve">Swami Abhedānanda. </w:t>
      </w:r>
      <w:r w:rsidRPr="00E957B0">
        <w:rPr>
          <w:i/>
          <w:noProof/>
        </w:rPr>
        <w:t>Vedanta Philosophy Three Lectures.</w:t>
      </w:r>
      <w:r w:rsidRPr="00E957B0">
        <w:rPr>
          <w:noProof/>
        </w:rPr>
        <w:t xml:space="preserve"> The Vedanta Society, 1901.</w:t>
      </w:r>
      <w:bookmarkEnd w:id="61"/>
    </w:p>
    <w:p w14:paraId="6ED3BE70" w14:textId="77777777" w:rsidR="00E957B0" w:rsidRPr="00E957B0" w:rsidRDefault="00E957B0" w:rsidP="00E957B0">
      <w:pPr>
        <w:pStyle w:val="EndNoteBibliography"/>
        <w:ind w:left="720" w:hanging="720"/>
        <w:rPr>
          <w:noProof/>
        </w:rPr>
      </w:pPr>
      <w:bookmarkStart w:id="62" w:name="_ENREF_39"/>
      <w:r w:rsidRPr="00E957B0">
        <w:rPr>
          <w:noProof/>
        </w:rPr>
        <w:t xml:space="preserve">Swami Vivekananda. "A Study of the Sāṅkhya Philosophy." </w:t>
      </w:r>
      <w:r w:rsidRPr="00E957B0">
        <w:rPr>
          <w:i/>
          <w:noProof/>
        </w:rPr>
        <w:t>The Complete Works of the Swami Vivekananda, Part 2</w:t>
      </w:r>
      <w:r w:rsidRPr="00E957B0">
        <w:rPr>
          <w:noProof/>
        </w:rPr>
        <w:t>, edited by Swami Prajnananda, Mayavati Memorial Edition ed., Prabuddha Bharat Office, 1915, pp. 439-49.</w:t>
      </w:r>
      <w:bookmarkEnd w:id="62"/>
    </w:p>
    <w:p w14:paraId="75BBE619" w14:textId="77777777" w:rsidR="00E957B0" w:rsidRPr="00E957B0" w:rsidRDefault="00E957B0" w:rsidP="00E957B0">
      <w:pPr>
        <w:pStyle w:val="EndNoteBibliography"/>
        <w:ind w:left="720" w:hanging="720"/>
        <w:rPr>
          <w:noProof/>
        </w:rPr>
      </w:pPr>
      <w:bookmarkStart w:id="63" w:name="_ENREF_40"/>
      <w:r w:rsidRPr="00E957B0">
        <w:rPr>
          <w:noProof/>
        </w:rPr>
        <w:t xml:space="preserve">---. "What Is Religion?" </w:t>
      </w:r>
      <w:r w:rsidRPr="00E957B0">
        <w:rPr>
          <w:i/>
          <w:noProof/>
        </w:rPr>
        <w:t>The Complete Works of the Swami Vivekananda, Part 1</w:t>
      </w:r>
      <w:r w:rsidRPr="00E957B0">
        <w:rPr>
          <w:noProof/>
        </w:rPr>
        <w:t>, edited by Swami Prajnananda, Mayavati Memorial Edition ed., Prabuddha Bharat Office, 1915, pp. 333-43.</w:t>
      </w:r>
      <w:bookmarkEnd w:id="63"/>
    </w:p>
    <w:p w14:paraId="16D8469D" w14:textId="77777777" w:rsidR="00E957B0" w:rsidRPr="00E957B0" w:rsidRDefault="00E957B0" w:rsidP="00E957B0">
      <w:pPr>
        <w:pStyle w:val="EndNoteBibliography"/>
        <w:ind w:left="720" w:hanging="720"/>
        <w:rPr>
          <w:noProof/>
        </w:rPr>
      </w:pPr>
      <w:bookmarkStart w:id="64" w:name="_ENREF_41"/>
      <w:r w:rsidRPr="00E957B0">
        <w:rPr>
          <w:noProof/>
        </w:rPr>
        <w:t>Tagore, Rabindranath. "Bharoto Bhagyo Bidhata." 1911.</w:t>
      </w:r>
      <w:bookmarkEnd w:id="64"/>
    </w:p>
    <w:p w14:paraId="2D11FEE2" w14:textId="77777777" w:rsidR="00E957B0" w:rsidRPr="00E957B0" w:rsidRDefault="00E957B0" w:rsidP="00E957B0">
      <w:pPr>
        <w:pStyle w:val="EndNoteBibliography"/>
        <w:ind w:left="720" w:hanging="720"/>
        <w:rPr>
          <w:noProof/>
        </w:rPr>
      </w:pPr>
      <w:bookmarkStart w:id="65" w:name="_ENREF_42"/>
      <w:r w:rsidRPr="00E957B0">
        <w:rPr>
          <w:noProof/>
        </w:rPr>
        <w:t>---. "The Morning Song of India." 1919.</w:t>
      </w:r>
      <w:bookmarkEnd w:id="65"/>
    </w:p>
    <w:p w14:paraId="17F42F7D" w14:textId="77777777" w:rsidR="00E957B0" w:rsidRPr="00E957B0" w:rsidRDefault="00E957B0" w:rsidP="00E957B0">
      <w:pPr>
        <w:pStyle w:val="EndNoteBibliography"/>
        <w:ind w:left="720" w:hanging="720"/>
        <w:rPr>
          <w:noProof/>
        </w:rPr>
      </w:pPr>
      <w:bookmarkStart w:id="66" w:name="_ENREF_43"/>
      <w:r w:rsidRPr="00E957B0">
        <w:rPr>
          <w:noProof/>
        </w:rPr>
        <w:t>Wachowski, Lana and Lilly Wachowski. "The Matrix." Warner Brothers, 1999.</w:t>
      </w:r>
      <w:bookmarkEnd w:id="66"/>
    </w:p>
    <w:p w14:paraId="278D16F7" w14:textId="77777777" w:rsidR="00E957B0" w:rsidRPr="00E957B0" w:rsidRDefault="00E957B0" w:rsidP="00E957B0">
      <w:pPr>
        <w:pStyle w:val="EndNoteBibliography"/>
        <w:ind w:left="720" w:hanging="720"/>
        <w:rPr>
          <w:noProof/>
        </w:rPr>
      </w:pPr>
      <w:bookmarkStart w:id="67" w:name="_ENREF_44"/>
      <w:r w:rsidRPr="00E957B0">
        <w:rPr>
          <w:noProof/>
        </w:rPr>
        <w:t xml:space="preserve">"Why the Matrix Is a Trans Story According to Lilly Wachowski." </w:t>
      </w:r>
      <w:r w:rsidRPr="00E957B0">
        <w:rPr>
          <w:i/>
          <w:noProof/>
        </w:rPr>
        <w:t>Netflix: Behind the Streams</w:t>
      </w:r>
      <w:r w:rsidRPr="00E957B0">
        <w:rPr>
          <w:noProof/>
        </w:rPr>
        <w:t>. reported by Lilly Wachowski, 4 August 2020, Netflix.</w:t>
      </w:r>
      <w:bookmarkEnd w:id="67"/>
    </w:p>
    <w:p w14:paraId="2C4177C0" w14:textId="4628D556"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5"/>
          <w:headerReference w:type="default" r:id="rId86"/>
          <w:footerReference w:type="default" r:id="rId87"/>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115EE" id="_x0000_s1027"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fldSimple w:instr=" SEQ Equation \* ARABIC ">
                              <w:r>
                                <w:rPr>
                                  <w:noProof/>
                                </w:rPr>
                                <w:t>1</w:t>
                              </w:r>
                            </w:fldSimple>
                            <w:r w:rsidRPr="00954DC5">
                              <w:t xml:space="preserve">The whole problem of speaking about the end (particularly the end of history) is that you </w:t>
                            </w:r>
                            <w:r w:rsidRPr="00954DC5">
                              <w:t>have to speak of what lies beyond the end and also, at the same time, of the impossibility of ending. This paradox is produced by the fact that in a non-linear, 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8"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8"/>
          <w:footerReference w:type="default" r:id="rId89"/>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1225A15E">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9"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cZ57MRkCAAAyBAAADgAAAAAAAAAAAAAAAAAuAgAAZHJzL2Uyb0RvYy54bWxQSwECLQAU&#13;&#10;AAYACAAAACEAUUFyC98AAAAKAQAADwAAAAAAAAAAAAAAAABzBAAAZHJzL2Rvd25yZXYueG1sUEsF&#13;&#10;BgAAAAAEAAQA8wAAAH8FAAAAAA==&#13;&#10;" filled="f" stroked="f" strokeweight=".5p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9"/>
      </w:r>
    </w:p>
    <w:p w14:paraId="056DA26D" w14:textId="10907ABC" w:rsidR="00B42249" w:rsidRPr="004B5CA8" w:rsidRDefault="00DC1529" w:rsidP="00B42249">
      <w:pPr>
        <w:pStyle w:val="Heading1"/>
        <w:rPr>
          <w:color w:val="000000" w:themeColor="text1"/>
        </w:rPr>
        <w:sectPr w:rsidR="00B42249" w:rsidRPr="004B5CA8" w:rsidSect="00B42249">
          <w:footnotePr>
            <w:numRestart w:val="eachSect"/>
          </w:footnotePr>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80768" behindDoc="0" locked="0" layoutInCell="1" allowOverlap="1" wp14:anchorId="3B1F531C" wp14:editId="6EA61CB7">
                <wp:simplePos x="0" y="0"/>
                <wp:positionH relativeFrom="column">
                  <wp:posOffset>850265</wp:posOffset>
                </wp:positionH>
                <wp:positionV relativeFrom="paragraph">
                  <wp:posOffset>4338320</wp:posOffset>
                </wp:positionV>
                <wp:extent cx="4242435" cy="635"/>
                <wp:effectExtent l="0" t="0" r="0" b="12065"/>
                <wp:wrapNone/>
                <wp:docPr id="1563097887" name="Text Box 1"/>
                <wp:cNvGraphicFramePr/>
                <a:graphic xmlns:a="http://schemas.openxmlformats.org/drawingml/2006/main">
                  <a:graphicData uri="http://schemas.microsoft.com/office/word/2010/wordprocessingShape">
                    <wps:wsp>
                      <wps:cNvSpPr txBox="1"/>
                      <wps:spPr>
                        <a:xfrm>
                          <a:off x="0" y="0"/>
                          <a:ext cx="4242435" cy="635"/>
                        </a:xfrm>
                        <a:prstGeom prst="rect">
                          <a:avLst/>
                        </a:prstGeom>
                        <a:solidFill>
                          <a:prstClr val="white"/>
                        </a:solidFill>
                        <a:ln>
                          <a:noFill/>
                        </a:ln>
                      </wps:spPr>
                      <wps:txbx>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F531C" id="_x0000_s1030" type="#_x0000_t202" style="position:absolute;margin-left:66.95pt;margin-top:341.6pt;width:334.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" stroked="f">
                <v:textbox style="mso-fit-shape-to-text:t" inset="0,0,0,0">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v:textbox>
              </v:shape>
            </w:pict>
          </mc:Fallback>
        </mc:AlternateContent>
      </w:r>
      <w:r w:rsidR="00B42249" w:rsidRPr="00DF084F">
        <w:rPr>
          <w:noProof/>
        </w:rPr>
        <w:drawing>
          <wp:anchor distT="0" distB="0" distL="114300" distR="114300" simplePos="0" relativeHeight="251672576" behindDoc="0" locked="0" layoutInCell="1" allowOverlap="1" wp14:anchorId="6714EB15" wp14:editId="4D28EA08">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r w:rsidR="00874DC2" w:rsidRPr="00DF084F">
        <w:rPr>
          <w:rFonts w:ascii="Kohinoor Devanagari" w:eastAsia="Kohinoor Devanagari Regular" w:hAnsi="Kohinoor Devanagari" w:cs="Kohinoor Devanagari"/>
        </w:rPr>
        <w:t>तिरंगा</w:t>
      </w:r>
      <w:r w:rsidR="00874DC2" w:rsidRPr="00DF084F">
        <w:t>, tira</w:t>
      </w:r>
      <w:r w:rsidR="00874DC2" w:rsidRPr="00DF084F">
        <w:rPr>
          <w:rFonts w:eastAsia="Helvetica"/>
        </w:rPr>
        <w:t>ṅ</w:t>
      </w:r>
      <w:r w:rsidR="00874DC2" w:rsidRPr="00DF084F">
        <w:t>g</w:t>
      </w:r>
      <w:r w:rsidR="00874DC2" w:rsidRPr="00DF084F">
        <w:rPr>
          <w:rFonts w:eastAsia="Helvetica"/>
        </w:rPr>
        <w:t>ā</w:t>
      </w:r>
      <w:r w:rsidR="00874DC2" w:rsidRPr="00DF084F">
        <w:t>: “</w:t>
      </w:r>
      <w:r w:rsidR="00642965">
        <w:t>t</w:t>
      </w:r>
      <w:r w:rsidR="00874DC2" w:rsidRPr="00DF084F">
        <w:t>ricolour</w:t>
      </w:r>
      <w:r w:rsidR="00874DC2" w:rsidRPr="004B5CA8">
        <w:rPr>
          <w:color w:val="000000" w:themeColor="text1"/>
        </w:rPr>
        <w:t>"</w:t>
      </w:r>
      <w:r w:rsidR="00B42249" w:rsidRPr="004B5CA8">
        <w:rPr>
          <w:rStyle w:val="Annotation"/>
          <w:color w:val="000000" w:themeColor="text1"/>
          <w:highlight w:val="white"/>
          <w:vertAlign w:val="superscript"/>
        </w:rPr>
        <w:footnoteReference w:id="50"/>
      </w:r>
      <w:r w:rsidR="004B5CA8" w:rsidRPr="004B5CA8">
        <w:rPr>
          <w:color w:val="FFFFFF" w:themeColor="background1"/>
          <w:vertAlign w:val="superscript"/>
        </w:rPr>
        <w:t>,</w:t>
      </w:r>
      <w:r w:rsidR="00A66795" w:rsidRPr="004B5CA8">
        <w:rPr>
          <w:rStyle w:val="Annotation"/>
          <w:color w:val="FFFFFF" w:themeColor="background1"/>
          <w:highlight w:val="white"/>
          <w:vertAlign w:val="superscript"/>
        </w:rPr>
        <w:footnoteReference w:id="51"/>
      </w:r>
      <w:r w:rsidR="004B5CA8" w:rsidRPr="004B5CA8">
        <w:rPr>
          <w:color w:val="FFFFFF" w:themeColor="background1"/>
          <w:vertAlign w:val="superscript"/>
        </w:rPr>
        <w:t>,</w:t>
      </w:r>
      <w:r w:rsidR="004B5CA8" w:rsidRPr="004B5CA8">
        <w:rPr>
          <w:rStyle w:val="Annotation"/>
          <w:color w:val="FFFFFF" w:themeColor="background1"/>
          <w:highlight w:val="white"/>
          <w:vertAlign w:val="superscript"/>
        </w:rPr>
        <w:footnoteReference w:id="52"/>
      </w:r>
    </w:p>
    <w:p w14:paraId="63C892CB" w14:textId="1EE84E93" w:rsidR="00921880" w:rsidRPr="004B5CA8" w:rsidRDefault="00921880" w:rsidP="00B42249">
      <w:pPr>
        <w:pStyle w:val="Heading1"/>
        <w:rPr>
          <w:color w:val="000000" w:themeColor="text1"/>
        </w:rPr>
      </w:pPr>
    </w:p>
    <w:sectPr w:rsidR="00921880" w:rsidRPr="004B5CA8" w:rsidSect="00B42249">
      <w:headerReference w:type="even" r:id="rId91"/>
      <w:headerReference w:type="default" r:id="rId92"/>
      <w:footerReference w:type="default" r:id="rId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4A84" w14:textId="77777777" w:rsidR="0028655A" w:rsidRDefault="0028655A" w:rsidP="00451AD0">
      <w:r>
        <w:separator/>
      </w:r>
    </w:p>
    <w:p w14:paraId="2AB6976D" w14:textId="77777777" w:rsidR="0028655A" w:rsidRDefault="0028655A"/>
    <w:p w14:paraId="39DBF29C" w14:textId="77777777" w:rsidR="0028655A" w:rsidRDefault="0028655A"/>
  </w:endnote>
  <w:endnote w:type="continuationSeparator" w:id="0">
    <w:p w14:paraId="3565E595" w14:textId="77777777" w:rsidR="0028655A" w:rsidRDefault="0028655A" w:rsidP="00451AD0">
      <w:r>
        <w:continuationSeparator/>
      </w:r>
    </w:p>
    <w:p w14:paraId="21254F4F" w14:textId="77777777" w:rsidR="0028655A" w:rsidRDefault="0028655A"/>
    <w:p w14:paraId="2F605CCC" w14:textId="77777777" w:rsidR="0028655A" w:rsidRDefault="00286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93E4" w14:textId="77777777" w:rsidR="0028655A" w:rsidRDefault="0028655A" w:rsidP="00451AD0">
      <w:r>
        <w:separator/>
      </w:r>
    </w:p>
    <w:p w14:paraId="3C118106" w14:textId="77777777" w:rsidR="0028655A" w:rsidRDefault="0028655A"/>
    <w:p w14:paraId="068F8BF0" w14:textId="77777777" w:rsidR="0028655A" w:rsidRDefault="0028655A"/>
  </w:footnote>
  <w:footnote w:type="continuationSeparator" w:id="0">
    <w:p w14:paraId="0C8837BB" w14:textId="77777777" w:rsidR="0028655A" w:rsidRDefault="0028655A" w:rsidP="00451AD0">
      <w:r>
        <w:continuationSeparator/>
      </w:r>
    </w:p>
    <w:p w14:paraId="60CEC677" w14:textId="77777777" w:rsidR="0028655A" w:rsidRDefault="0028655A"/>
    <w:p w14:paraId="77A0B2A5" w14:textId="77777777" w:rsidR="0028655A" w:rsidRDefault="0028655A"/>
  </w:footnote>
  <w:footnote w:id="1">
    <w:p w14:paraId="7BC30E0E" w14:textId="642B9F97" w:rsidR="00AA42B7" w:rsidRPr="00AA42B7" w:rsidRDefault="00AA42B7" w:rsidP="00F441B0">
      <w:pPr>
        <w:pStyle w:val="FootnoteText"/>
        <w:ind w:left="720" w:hanging="520"/>
      </w:pPr>
      <w:r w:rsidRPr="00733A32">
        <w:rPr>
          <w:rStyle w:val="FootnoteReference"/>
          <w:b w:val="0"/>
          <w:bCs/>
        </w:rPr>
        <w:footnoteRef/>
      </w:r>
      <w:r w:rsidRPr="00733A32">
        <w:rPr>
          <w:rStyle w:val="FootnoteReference"/>
          <w:b w:val="0"/>
          <w:bCs/>
        </w:rPr>
        <w:tab/>
      </w:r>
      <w:r w:rsidR="00BC56B1" w:rsidRPr="00BC56B1">
        <w:rPr>
          <w:rFonts w:ascii="Mangal" w:eastAsia="Times New Roman" w:hAnsi="Mangal" w:cs="Mangal"/>
          <w:color w:val="1F2328"/>
          <w:sz w:val="18"/>
          <w:szCs w:val="18"/>
          <w:shd w:val="clear" w:color="auto" w:fill="FFFFFF"/>
          <w:lang w:bidi="ar-SA"/>
          <w14:ligatures w14:val="none"/>
        </w:rPr>
        <w:t>मनु</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manu</w:t>
      </w:r>
      <w:r w:rsidR="00BC56B1" w:rsidRPr="00BC56B1">
        <w:rPr>
          <w:rFonts w:ascii="Segoe UI" w:eastAsia="Times New Roman" w:hAnsi="Segoe UI" w:cs="Segoe UI"/>
          <w:color w:val="1F2328"/>
          <w:sz w:val="18"/>
          <w:szCs w:val="18"/>
          <w:shd w:val="clear" w:color="auto" w:fill="FFFFFF"/>
          <w:lang w:bidi="ar-SA"/>
          <w14:ligatures w14:val="none"/>
        </w:rPr>
        <w:t>: "</w:t>
      </w:r>
      <w:r w:rsidR="00C813F7" w:rsidRPr="00C813F7">
        <w:t xml:space="preserve"> </w:t>
      </w:r>
      <w:r w:rsidR="00C813F7" w:rsidRPr="00C813F7">
        <w:rPr>
          <w:rFonts w:ascii="Segoe UI" w:eastAsia="Times New Roman" w:hAnsi="Segoe UI" w:cs="Segoe UI"/>
          <w:color w:val="1F2328"/>
          <w:sz w:val="18"/>
          <w:szCs w:val="18"/>
          <w:shd w:val="clear" w:color="auto" w:fill="FFFFFF"/>
          <w:lang w:bidi="ar-SA"/>
          <w14:ligatures w14:val="none"/>
        </w:rPr>
        <w:t>thinking</w:t>
      </w:r>
      <w:r w:rsidR="00C813F7">
        <w:rPr>
          <w:rFonts w:ascii="Segoe UI" w:eastAsia="Times New Roman" w:hAnsi="Segoe UI" w:cs="Segoe UI"/>
          <w:color w:val="1F2328"/>
          <w:sz w:val="18"/>
          <w:szCs w:val="18"/>
          <w:shd w:val="clear" w:color="auto" w:fill="FFFFFF"/>
          <w:lang w:bidi="ar-SA"/>
          <w14:ligatures w14:val="none"/>
        </w:rPr>
        <w:t xml:space="preserve"> </w:t>
      </w:r>
      <w:r w:rsidR="00C813F7" w:rsidRPr="00C813F7">
        <w:rPr>
          <w:rFonts w:ascii="Segoe UI" w:eastAsia="Times New Roman" w:hAnsi="Segoe UI" w:cs="Segoe UI"/>
          <w:color w:val="1F2328"/>
          <w:sz w:val="18"/>
          <w:szCs w:val="18"/>
          <w:shd w:val="clear" w:color="auto" w:fill="FFFFFF"/>
          <w:lang w:bidi="ar-SA"/>
          <w14:ligatures w14:val="none"/>
        </w:rPr>
        <w:t>creature</w:t>
      </w:r>
      <w:r w:rsidR="00BC56B1" w:rsidRPr="00BC56B1">
        <w:rPr>
          <w:rFonts w:ascii="Segoe UI" w:eastAsia="Times New Roman" w:hAnsi="Segoe UI" w:cs="Segoe UI"/>
          <w:color w:val="1F2328"/>
          <w:sz w:val="18"/>
          <w:szCs w:val="18"/>
          <w:shd w:val="clear" w:color="auto" w:fill="FFFFFF"/>
          <w:lang w:bidi="ar-SA"/>
          <w14:ligatures w14:val="none"/>
        </w:rPr>
        <w:t xml:space="preserve">" + </w:t>
      </w:r>
      <w:r w:rsidR="00BC56B1" w:rsidRPr="00BC56B1">
        <w:rPr>
          <w:rFonts w:ascii="Mangal" w:eastAsia="Times New Roman" w:hAnsi="Mangal" w:cs="Mangal"/>
          <w:color w:val="1F2328"/>
          <w:sz w:val="18"/>
          <w:szCs w:val="18"/>
          <w:shd w:val="clear" w:color="auto" w:fill="FFFFFF"/>
          <w:lang w:bidi="ar-SA"/>
          <w14:ligatures w14:val="none"/>
        </w:rPr>
        <w:t>स्मृति</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smṛti</w:t>
      </w:r>
      <w:r w:rsidR="00BC56B1" w:rsidRPr="00BC56B1">
        <w:rPr>
          <w:rFonts w:ascii="Segoe UI" w:eastAsia="Times New Roman" w:hAnsi="Segoe UI" w:cs="Segoe UI"/>
          <w:color w:val="1F2328"/>
          <w:sz w:val="18"/>
          <w:szCs w:val="18"/>
          <w:shd w:val="clear" w:color="auto" w:fill="FFFFFF"/>
          <w:lang w:bidi="ar-SA"/>
          <w14:ligatures w14:val="none"/>
        </w:rPr>
        <w:t>: "</w:t>
      </w:r>
      <w:proofErr w:type="gramStart"/>
      <w:r w:rsidR="009D53EB" w:rsidRPr="009D53EB">
        <w:rPr>
          <w:rFonts w:ascii="Segoe UI" w:eastAsia="Times New Roman" w:hAnsi="Segoe UI" w:cs="Segoe UI"/>
          <w:color w:val="1F2328"/>
          <w:sz w:val="18"/>
          <w:szCs w:val="18"/>
          <w:shd w:val="clear" w:color="auto" w:fill="FFFFFF"/>
          <w:lang w:bidi="ar-SA"/>
          <w14:ligatures w14:val="none"/>
        </w:rPr>
        <w:t>remembrance</w:t>
      </w:r>
      <w:proofErr w:type="gramEnd"/>
      <w:r w:rsidR="009D53EB" w:rsidRPr="009D53EB">
        <w:rPr>
          <w:rFonts w:ascii="Segoe UI" w:eastAsia="Times New Roman" w:hAnsi="Segoe UI" w:cs="Segoe UI"/>
          <w:color w:val="1F2328"/>
          <w:sz w:val="18"/>
          <w:szCs w:val="18"/>
          <w:shd w:val="clear" w:color="auto" w:fill="FFFFFF"/>
          <w:lang w:bidi="ar-SA"/>
          <w14:ligatures w14:val="none"/>
        </w:rPr>
        <w:t xml:space="preserve"> </w:t>
      </w:r>
      <w:r w:rsidR="00BC56B1" w:rsidRPr="00BC56B1">
        <w:rPr>
          <w:rFonts w:ascii="Segoe UI" w:eastAsia="Times New Roman" w:hAnsi="Segoe UI" w:cs="Segoe UI"/>
          <w:color w:val="1F2328"/>
          <w:sz w:val="18"/>
          <w:szCs w:val="18"/>
          <w:shd w:val="clear" w:color="auto" w:fill="FFFFFF"/>
          <w:lang w:bidi="ar-SA"/>
          <w14:ligatures w14:val="none"/>
        </w:rPr>
        <w:t>"</w:t>
      </w:r>
    </w:p>
    <w:p w14:paraId="04FF397C" w14:textId="3F1A47F4" w:rsidR="00AA42B7" w:rsidRPr="001B26D3" w:rsidRDefault="00AA42B7" w:rsidP="00AA42B7">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0E24696A" w14:textId="3E9CA330" w:rsidR="00AA42B7" w:rsidRPr="001B26D3" w:rsidRDefault="00DC29A8" w:rsidP="00AA42B7">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3">
    <w:p w14:paraId="621729D7" w14:textId="64B2A731"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4">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3CA10FC5" w:rsidR="00986B3E" w:rsidRPr="001B26D3" w:rsidRDefault="00DC29A8" w:rsidP="00AE7498">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
    <w:p w14:paraId="7D18EA33" w14:textId="6CB5B9C6"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6">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7">
    <w:p w14:paraId="5D79555E" w14:textId="31A79C5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8">
    <w:p w14:paraId="2EDE2F80" w14:textId="3327D0F4"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CD47DF">
        <w:rPr>
          <w:bCs/>
        </w:rPr>
        <w:instrText xml:space="preserve"> ADDIN EN.CITE &lt;EndNote&gt;&lt;Cite ExcludeAuth="1"&gt;&lt;Year&gt;2023&lt;/Year&gt;&lt;RecNum&gt;537&lt;/RecNum&gt;&lt;DisplayText&gt;&lt;style face="italic"&gt;Mundakopanishad.&lt;/style&gt; Ministry of Culture, Government of India, 2023.&lt;/DisplayText&gt;&lt;record&gt;&lt;rec-number&gt;537&lt;/rec-number&gt;&lt;foreign-keys&gt;&lt;key app="EN" db-id="ess5p2eeceedtnexdvi5deew0v5ezzrz5xfs" timestamp="1687531232"&gt;537&lt;/key&gt;&lt;/foreign-keys&gt;&lt;ref-type name="Book"&gt;6&lt;/ref-type&gt;&lt;contributors&gt;&lt;/contributors&gt;&lt;titles&gt;&lt;title&gt;Mundakopanishad&lt;/title&gt;&lt;/titles&gt;&lt;dates&gt;&lt;year&gt;2023&lt;/year&gt;&lt;/dates&gt;&lt;pub-location&gt;vedicheritage.gov.in&lt;/pub-location&gt;&lt;publisher&gt;Ministry of Culture, Government of India&lt;/publisher&gt;&lt;urls&gt;&lt;related-urls&gt;&lt;url&gt;vedicheritage.gov.in/upanishads/mundakopanishad/&lt;/url&gt;&lt;/related-urls&gt;&lt;/urls&gt;&lt;/record&gt;&lt;/Cite&gt;&lt;/EndNote&gt;</w:instrText>
      </w:r>
      <w:r w:rsidR="00DC29A8">
        <w:rPr>
          <w:bCs/>
        </w:rPr>
        <w:fldChar w:fldCharType="separate"/>
      </w:r>
      <w:r w:rsidR="00CD47DF" w:rsidRPr="00CD47DF">
        <w:rPr>
          <w:bCs/>
          <w:i/>
          <w:noProof/>
        </w:rPr>
        <w:t>Mundakopanishad.</w:t>
      </w:r>
      <w:r w:rsidR="00CD47DF">
        <w:rPr>
          <w:bCs/>
          <w:noProof/>
        </w:rPr>
        <w:t xml:space="preserve"> Ministry of Culture, Government of India, 2023.</w:t>
      </w:r>
      <w:r w:rsidR="00DC29A8">
        <w:rPr>
          <w:bCs/>
        </w:rPr>
        <w:fldChar w:fldCharType="end"/>
      </w:r>
    </w:p>
  </w:footnote>
  <w:footnote w:id="9">
    <w:p w14:paraId="2B519BF6" w14:textId="030E79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 ExcludeAuth="1"&gt;&lt;Author&gt;Radhakrishnan&lt;/Author&gt;&lt;Year&gt;2020&lt;/Year&gt;&lt;RecNum&gt;536&lt;/RecNum&gt;&lt;Pages&gt;688&lt;/Pages&gt;&lt;DisplayText&gt;Radhakrishnan, Sarvepalli. &lt;style face="italic"&gt;The Principal Upaniṣads.&lt;/style&gt; HarperCollins Publishers, 2020.&lt;/DisplayText&gt;&lt;record&gt;&lt;rec-number&gt;536&lt;/rec-number&gt;&lt;foreign-keys&gt;&lt;key app="EN" db-id="ess5p2eeceedtnexdvi5deew0v5ezzrz5xfs" timestamp="1687529968"&gt;536&lt;/key&gt;&lt;/foreign-keys&gt;&lt;ref-type name="Book"&gt;6&lt;/ref-type&gt;&lt;contributors&gt;&lt;authors&gt;&lt;author&gt;Radhakrishnan, Sarvepalli&lt;/author&gt;&lt;/authors&gt;&lt;/contributors&gt;&lt;titles&gt;&lt;title&gt;The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C079AA">
        <w:rPr>
          <w:noProof/>
        </w:rPr>
        <w:t xml:space="preserve">Radhakrishnan, Sarvepalli. </w:t>
      </w:r>
      <w:r w:rsidR="00C079AA" w:rsidRPr="00C079AA">
        <w:rPr>
          <w:i/>
          <w:noProof/>
        </w:rPr>
        <w:t>The Principal Upaniṣads.</w:t>
      </w:r>
      <w:r w:rsidR="00C079AA">
        <w:rPr>
          <w:noProof/>
        </w:rPr>
        <w:t xml:space="preserve"> HarperCollins Publishers, 2020.</w:t>
      </w:r>
      <w:r w:rsidR="00DC29A8">
        <w:fldChar w:fldCharType="end"/>
      </w:r>
    </w:p>
  </w:footnote>
  <w:footnote w:id="10">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EDFDBCB" w:rsidR="000E57D6" w:rsidRPr="001B26D3" w:rsidRDefault="00DC29A8" w:rsidP="00AE7498">
      <w:pPr>
        <w:pStyle w:val="FootnoteText"/>
      </w:pPr>
      <w:r>
        <w:fldChar w:fldCharType="begin"/>
      </w:r>
      <w:r w:rsidR="008A59EC">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1">
    <w:p w14:paraId="78202B9A" w14:textId="4EBCB20B"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101ED3">
        <w:instrText xml:space="preserve"> ADDIN EN.CITE &lt;EndNote&gt;&lt;Cite&gt;&lt;Author&gt;Gupta&lt;/Author&gt;&lt;Year&gt;1942&lt;/Year&gt;&lt;RecNum&gt;529&lt;/RecNum&gt;&lt;Pages&gt;47&lt;/Pages&gt;&lt;DisplayText&gt;Gupta, Mahendranath. &lt;style face="italic"&gt;The Gospel of Sri Ramakrishna.&lt;/style&gt; Edited by Mahendranath Gupta,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name="Book"&gt;6&lt;/ref-type&gt;&lt;contributors&gt;&lt;authors&gt;&lt;author&gt;Gupta, Mahendranath&lt;/author&gt;&lt;/authors&gt;&lt;tertiary-authors&gt;&lt;author&gt;Mahendranath Gupta&lt;/author&gt;&lt;/tertiary-authors&gt;&lt;subsidiary-authors&gt;&lt;author&gt;Swami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101ED3">
        <w:rPr>
          <w:noProof/>
        </w:rPr>
        <w:t xml:space="preserve">Gupta, Mahendranath. </w:t>
      </w:r>
      <w:r w:rsidR="00101ED3" w:rsidRPr="00101ED3">
        <w:rPr>
          <w:i/>
          <w:noProof/>
        </w:rPr>
        <w:t>The Gospel of Sri Ramakrishna.</w:t>
      </w:r>
      <w:r w:rsidR="00101ED3">
        <w:rPr>
          <w:noProof/>
        </w:rPr>
        <w:t xml:space="preserve"> Edited by Mahendranath Gupta, Translated by Swami Nikhilananda, Ramakrishna-Vivekananda Center of New York, 1942.</w:t>
      </w:r>
      <w:r w:rsidR="00DC29A8">
        <w:fldChar w:fldCharType="end"/>
      </w:r>
      <w:r w:rsidRPr="00F67357">
        <w:t xml:space="preserve"> </w:t>
      </w:r>
    </w:p>
  </w:footnote>
  <w:footnote w:id="12">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BCAFB00" w:rsidR="006D09D0" w:rsidRPr="00F67357" w:rsidRDefault="00DC29A8" w:rsidP="00750F74">
      <w:pPr>
        <w:pStyle w:val="FootnoteText"/>
      </w:pPr>
      <w:r>
        <w:fldChar w:fldCharType="begin"/>
      </w:r>
      <w:r w:rsidR="008A59EC">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3">
    <w:p w14:paraId="4387FAE9" w14:textId="6E04059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14">
    <w:p w14:paraId="52B19163" w14:textId="4E0E91AC"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15">
    <w:p w14:paraId="4C024A88" w14:textId="1B74EC95"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0C6425">
        <w:rPr>
          <w:noProof/>
        </w:rPr>
        <w:t xml:space="preserve">Gandhi, Mohandas K. "The Magic Spell of a Book." </w:t>
      </w:r>
      <w:r w:rsidR="000C6425" w:rsidRPr="000C6425">
        <w:rPr>
          <w:i/>
          <w:noProof/>
        </w:rPr>
        <w:t>An Autobiography, or, the Story of My Experiments with Truth</w:t>
      </w:r>
      <w:r w:rsidR="000C6425">
        <w:rPr>
          <w:noProof/>
        </w:rPr>
        <w:t>, translated by Mahadev Desai, Navajivan Trust, 1945, pp. 334-36.</w:t>
      </w:r>
      <w:r w:rsidR="00DC29A8">
        <w:fldChar w:fldCharType="end"/>
      </w:r>
    </w:p>
  </w:footnote>
  <w:footnote w:id="16">
    <w:p w14:paraId="0732BEF9" w14:textId="114D36D0"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7">
    <w:p w14:paraId="1394254A" w14:textId="3F660D9B"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593C1F">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August&lt;/date&gt;&lt;/pub-dates&gt;&lt;/dates&gt;&lt;publisher&gt;Netflix&lt;/publisher&gt;&lt;urls&gt;&lt;/urls&gt;&lt;/record&gt;&lt;/Cite&gt;&lt;/EndNote&gt;</w:instrText>
      </w:r>
      <w:r w:rsidR="00DC29A8">
        <w:fldChar w:fldCharType="separate"/>
      </w:r>
      <w:r w:rsidR="00593C1F">
        <w:rPr>
          <w:noProof/>
        </w:rPr>
        <w:t xml:space="preserve">"Why the Matrix Is a Trans Story According to Lilly Wachowski." </w:t>
      </w:r>
      <w:r w:rsidR="00593C1F" w:rsidRPr="00593C1F">
        <w:rPr>
          <w:i/>
          <w:noProof/>
        </w:rPr>
        <w:t>Netflix: Behind the Streams</w:t>
      </w:r>
      <w:r w:rsidR="00593C1F">
        <w:rPr>
          <w:noProof/>
        </w:rPr>
        <w:t>. reported by Lilly Wachowski, 4 August 2020, Netflix.</w:t>
      </w:r>
      <w:r w:rsidR="00DC29A8">
        <w:fldChar w:fldCharType="end"/>
      </w:r>
    </w:p>
  </w:footnote>
  <w:footnote w:id="18">
    <w:p w14:paraId="0B224334" w14:textId="386C0374"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"A Study of the Sāṅkhya Philosophy." </w:t>
      </w:r>
      <w:r w:rsidR="000C6425" w:rsidRPr="000C6425">
        <w:rPr>
          <w:i/>
          <w:noProof/>
        </w:rPr>
        <w:t>The Complete Works of the Swami Vivekananda, Part 2</w:t>
      </w:r>
      <w:r w:rsidR="000C6425">
        <w:rPr>
          <w:noProof/>
        </w:rPr>
        <w:t>, edited by Swami Prajnananda, Mayavati Memorial Edition ed., Prabuddha Bharat Office, 1915, pp. 439-49.</w:t>
      </w:r>
      <w:r w:rsidR="00DC29A8">
        <w:fldChar w:fldCharType="end"/>
      </w:r>
    </w:p>
  </w:footnote>
  <w:footnote w:id="19">
    <w:p w14:paraId="7CDC86E3" w14:textId="3462D0FE"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ExcludeAuth="1"&gt;&lt;Year&gt;920&lt;/Year&gt;&lt;RecNum&gt;421&lt;/RecNum&gt;&lt;DisplayText&gt;&lt;style face="italic"&gt;The Torah.&lt;/style&gt; Aleppo Codex, Shlomo ben Buya, 920, Aaron ben Moses ben Asher.&lt;/DisplayText&gt;&lt;record&gt;&lt;rec-number&gt;421&lt;/rec-number&gt;&lt;foreign-keys&gt;&lt;key app="EN" db-id="ess5p2eeceedtnexdvi5deew0v5ezzrz5xfs" timestamp="1681412058"&gt;421&lt;/key&gt;&lt;/foreign-keys&gt;&lt;ref-type name="Book"&gt;6&lt;/ref-type&gt;&lt;contributors&gt;&lt;secondary-authors&gt;&lt;author&gt;Aaron ben Moses ben Asher&lt;/author&gt;&lt;/secondary-authors&gt;&lt;/contributors&gt;&lt;titles&gt;&lt;title&gt;The Torah&lt;/title&gt;&lt;/titles&gt;&lt;edition&gt;Aleppo Codex&lt;/edition&gt;&lt;dates&gt;&lt;year&gt;920&lt;/year&gt;&lt;/dates&gt;&lt;pub-location&gt;Tiberias&lt;/pub-location&gt;&lt;publisher&gt;Shlomo ben Buya&lt;/publisher&gt;&lt;urls&gt;&lt;/urls&gt;&lt;/record&gt;&lt;/Cite&gt;&lt;/EndNote&gt;</w:instrText>
      </w:r>
      <w:r w:rsidR="00DC29A8">
        <w:fldChar w:fldCharType="separate"/>
      </w:r>
      <w:r w:rsidR="00CD47DF" w:rsidRPr="00CD47DF">
        <w:rPr>
          <w:i/>
          <w:noProof/>
        </w:rPr>
        <w:t>The Torah.</w:t>
      </w:r>
      <w:r w:rsidR="00CD47DF">
        <w:rPr>
          <w:noProof/>
        </w:rPr>
        <w:t xml:space="preserve"> Aleppo Codex, Shlomo ben Buya, 920, Aaron ben Moses ben Asher.</w:t>
      </w:r>
      <w:r w:rsidR="00DC29A8">
        <w:fldChar w:fldCharType="end"/>
      </w:r>
    </w:p>
  </w:footnote>
  <w:footnote w:id="20">
    <w:p w14:paraId="503EF3F2" w14:textId="045A2F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ExcludeAuth="1"&gt;&lt;Year&gt;1917&lt;/Year&gt;&lt;RecNum&gt;224&lt;/RecNum&gt;&lt;Pages&gt;1&lt;/Pages&gt;&lt;DisplayText&gt;&lt;style face="italic"&gt;The Holy Scriptures According to the Masoretic Text a New Translation with the Aid of Previous Versions and with Constant Consultation of Jewish Authorities.&lt;/style&gt; Jewish Publication Society of America, 1917, Max L. Margolis.&lt;/DisplayText&gt;&lt;record&gt;&lt;rec-number&gt;224&lt;/rec-number&gt;&lt;foreign-keys&gt;&lt;key app="EN" db-id="ess5p2eeceedtnexdvi5deew0v5ezzrz5xfs" timestamp="1663716191"&gt;224&lt;/key&gt;&lt;/foreign-keys&gt;&lt;ref-type name="Book"&gt;6&lt;/ref-type&gt;&lt;contributors&gt;&lt;secondary-authors&gt;&lt;author&gt;Max L. Margolis&lt;/author&gt;&lt;/secondary-authors&gt;&lt;/contributors&gt;&lt;titles&gt;&lt;title&gt;The Holy Scriptures According to the Masoretic Text A New Translation with the Aid of Previous Versions and with Constant Consultation of Jewish Authorities&lt;/title&gt;&lt;/titles&gt;&lt;dates&gt;&lt;year&gt;1917&lt;/year&gt;&lt;/dates&gt;&lt;pub-location&gt;Philadelphia&lt;/pub-location&gt;&lt;publisher&gt;Jewish Publication Society of America&lt;/publisher&gt;&lt;urls&gt;&lt;/urls&gt;&lt;/record&gt;&lt;/Cite&gt;&lt;/EndNote&gt;</w:instrText>
      </w:r>
      <w:r w:rsidR="00DC29A8">
        <w:fldChar w:fldCharType="separate"/>
      </w:r>
      <w:r w:rsidR="00B54280" w:rsidRPr="00B54280">
        <w:rPr>
          <w:i/>
          <w:noProof/>
        </w:rPr>
        <w:t>The Holy Scriptures According to the Masoretic Text a New Translation with the Aid of Previous Versions and with Constant Consultation of Jewish Authorities.</w:t>
      </w:r>
      <w:r w:rsidR="00B54280">
        <w:rPr>
          <w:noProof/>
        </w:rPr>
        <w:t xml:space="preserve"> Jewish Publication Society of America, 1917, Max L. Margolis.</w:t>
      </w:r>
      <w:r w:rsidR="00DC29A8">
        <w:fldChar w:fldCharType="end"/>
      </w:r>
    </w:p>
  </w:footnote>
  <w:footnote w:id="21">
    <w:p w14:paraId="56FFCCDF" w14:textId="2885723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Institute&lt;/publisher&gt;&lt;urls&gt;&lt;/urls&gt;&lt;/record&gt;&lt;/Cite&gt;&lt;/EndNote&gt;</w:instrText>
      </w:r>
      <w:r w:rsidR="00DC29A8">
        <w:fldChar w:fldCharType="separate"/>
      </w:r>
      <w:r w:rsidR="00CD47DF" w:rsidRPr="00CD47DF">
        <w:rPr>
          <w:i/>
          <w:noProof/>
        </w:rPr>
        <w:t>Pali Tipiṭaka.</w:t>
      </w:r>
      <w:r w:rsidR="00CD47DF">
        <w:rPr>
          <w:noProof/>
        </w:rPr>
        <w:t xml:space="preserve"> Sixth Council Edition, Vipassana Research Institute, 1956, The Sixth Buddhist Council.</w:t>
      </w:r>
      <w:r w:rsidR="00DC29A8">
        <w:fldChar w:fldCharType="end"/>
      </w:r>
    </w:p>
  </w:footnote>
  <w:footnote w:id="22">
    <w:p w14:paraId="1806DBF7" w14:textId="59CF4C6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B02CD7" w:rsidRPr="00B02CD7">
        <w:rPr>
          <w:i/>
          <w:noProof/>
        </w:rPr>
        <w:t>The Dhammapada.</w:t>
      </w:r>
      <w:r w:rsidR="00B02CD7">
        <w:rPr>
          <w:noProof/>
        </w:rPr>
        <w:t xml:space="preserve"> Translated by Daw Mya Tin, Department for the Promotion and Propagation of the Sasana, 1993.</w:t>
      </w:r>
      <w:r w:rsidR="00DC29A8">
        <w:fldChar w:fldCharType="end"/>
      </w:r>
    </w:p>
  </w:footnote>
  <w:footnote w:id="23">
    <w:p w14:paraId="60473AF6" w14:textId="08C024E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&lt;EndNote&gt;&lt;Cite&gt;&lt;Year&gt;1966&lt;/Year&gt;&lt;RecNum&gt;425&lt;/RecNum&gt;&lt;DisplayText&gt;&lt;style face="italic"&gt;Mahābhāratam.&lt;/style&gt; BORI Critical Edition, The Bhandarkar Oriental Research Institute, 1966, Vishnu S. Sukhtankar.&lt;/DisplayText&gt;&lt;record&gt;&lt;rec-number&gt;425&lt;/rec-number&gt;&lt;foreign-keys&gt;&lt;key app="EN" db-id="ess5p2eeceedtnexdvi5deew0v5ezzrz5xfs" timestamp="1681431880"&gt;425&lt;/key&gt;&lt;/foreign-keys&gt;&lt;ref-type name="Book"&gt;6&lt;/ref-type&gt;&lt;contributors&gt;&lt;secondary-authors&gt;&lt;author&gt;Vishnu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CD47DF" w:rsidRPr="00CD47DF">
        <w:rPr>
          <w:i/>
          <w:noProof/>
        </w:rPr>
        <w:t>Mahābhāratam.</w:t>
      </w:r>
      <w:r w:rsidR="00CD47DF">
        <w:rPr>
          <w:noProof/>
        </w:rPr>
        <w:t xml:space="preserve"> BORI Critical Edition, The Bhandarkar Oriental Research Institute, 1966, Vishnu S. Sukhtankar.</w:t>
      </w:r>
      <w:r w:rsidR="00DC29A8">
        <w:fldChar w:fldCharType="end"/>
      </w:r>
    </w:p>
  </w:footnote>
  <w:footnote w:id="24">
    <w:p w14:paraId="185A3AD6" w14:textId="02E556E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B02CD7">
        <w:rPr>
          <w:bCs/>
        </w:rPr>
        <w:instrText xml:space="preserve"> ADDIN EN.CITE &lt;EndNote&gt;&lt;Cite&gt;&lt;Year&gt;1897&lt;/Year&gt;&lt;RecNum&gt;546&lt;/RecNum&gt;&lt;DisplayText&gt;&lt;style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timestamp="1688172726"&gt;546&lt;/key&gt;&lt;/foreign-keys&gt;&lt;ref-type name="Book"&gt;6&lt;/ref-type&gt;&lt;contributors&gt;&lt;subsidiary-authors&gt;&lt;author&gt;Alladi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B02CD7" w:rsidRPr="00B02CD7">
        <w:rPr>
          <w:bCs/>
          <w:i/>
          <w:noProof/>
        </w:rPr>
        <w:t>The Bhagavad Gita with the Commentary of Sri Sankaracharya.</w:t>
      </w:r>
      <w:r w:rsidR="00B02CD7">
        <w:rPr>
          <w:bCs/>
          <w:noProof/>
        </w:rPr>
        <w:t xml:space="preserve"> Translated by Alladi Mahadeva Sastri, Samata Books, 1897.</w:t>
      </w:r>
      <w:r w:rsidR="00DC29A8">
        <w:rPr>
          <w:bCs/>
        </w:rPr>
        <w:fldChar w:fldCharType="end"/>
      </w:r>
      <w:r w:rsidR="00E440B2">
        <w:rPr>
          <w:bCs/>
        </w:rPr>
        <w:t xml:space="preserve"> </w:t>
      </w:r>
    </w:p>
  </w:footnote>
  <w:footnote w:id="25">
    <w:p w14:paraId="2B25F5BA" w14:textId="2B8E20BB"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CD47DF" w:rsidRPr="00CD47DF">
        <w:rPr>
          <w:i/>
          <w:noProof/>
        </w:rPr>
        <w:t>The Christian Bible.</w:t>
      </w:r>
      <w:r w:rsidR="00CD47DF">
        <w:rPr>
          <w:noProof/>
        </w:rPr>
        <w:t xml:space="preserve"> Novum Testamentum Graece, Wurttembergische Bibelanstalt, 1898, Eberhard Nestle.</w:t>
      </w:r>
      <w:r w:rsidR="00DC29A8">
        <w:fldChar w:fldCharType="end"/>
      </w:r>
    </w:p>
  </w:footnote>
  <w:footnote w:id="26">
    <w:p w14:paraId="3F285AF6" w14:textId="4651E1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ExcludeAuth="1"&gt;&lt;Year&gt;1769&lt;/Year&gt;&lt;RecNum&gt;580&lt;/RecNum&gt;&lt;DisplayText&gt;&lt;style face="italic"&gt;The Holy Bible, Containing the Old Teſtament, and the New: Tranſlated out of the Original Tongues and with the Former Translations Diligently Compared and Reviſed, by His Majesty’s Speciall Comand.&lt;/style&gt; Oxford University Press, 1769, The Church of England.&lt;/DisplayText&gt;&lt;record&gt;&lt;rec-number&gt;580&lt;/rec-number&gt;&lt;foreign-keys&gt;&lt;key app="EN" db-id="ess5p2eeceedtnexdvi5deew0v5ezzrz5xfs" timestamp="1689027916"&gt;580&lt;/key&gt;&lt;/foreign-keys&gt;&lt;ref-type name="Book"&gt;6&lt;/ref-type&gt;&lt;contributors&gt;&lt;secondary-authors&gt;&lt;author&gt;The Church of England&lt;/author&gt;&lt;/secondary-authors&gt;&lt;/contributors&gt;&lt;titles&gt;&lt;title&gt;THE HOLY BIBLE, CONTAINING The Old Teſtament, AND THE NEW: Tranſlated out of the ORIGINAL TONGUES AND WITH THE FORMER TRANSLATIONS Diligently Compared and Reviſed, By His MAJESTY’s ſpeciall Comand.&lt;/title&gt;&lt;/titles&gt;&lt;dates&gt;&lt;year&gt;1769&lt;/year&gt;&lt;/dates&gt;&lt;pub-location&gt;Oxford&lt;/pub-location&gt;&lt;publisher&gt;Oxford University Press&lt;/publisher&gt;&lt;urls&gt;&lt;/urls&gt;&lt;/record&gt;&lt;/Cite&gt;&lt;/EndNote&gt;</w:instrText>
      </w:r>
      <w:r w:rsidR="00DC29A8">
        <w:fldChar w:fldCharType="separate"/>
      </w:r>
      <w:r w:rsidR="00B54280" w:rsidRPr="00B54280">
        <w:rPr>
          <w:i/>
          <w:noProof/>
        </w:rPr>
        <w:t>The Holy Bible, Containing the Old Teſtament, and the New: Tranſlated out of the Original Tongues and with the Former Translations Diligently Compared and Reviſed, by His Majesty’s Speciall Comand.</w:t>
      </w:r>
      <w:r w:rsidR="00B54280">
        <w:rPr>
          <w:noProof/>
        </w:rPr>
        <w:t xml:space="preserve"> Oxford University Press, 1769, The Church of England.</w:t>
      </w:r>
      <w:r w:rsidR="00DC29A8">
        <w:fldChar w:fldCharType="end"/>
      </w:r>
    </w:p>
  </w:footnote>
  <w:footnote w:id="27">
    <w:p w14:paraId="677D6209" w14:textId="2AE8FF9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CD47DF" w:rsidRPr="00CD47DF">
        <w:rPr>
          <w:i/>
          <w:noProof/>
        </w:rPr>
        <w:t>Al-Qurʾān.</w:t>
      </w:r>
      <w:r w:rsidR="00CD47DF">
        <w:rPr>
          <w:noProof/>
        </w:rPr>
        <w:t xml:space="preserve"> The Cairo Edition, Amiri Press, 1924, Al-Azhar University.</w:t>
      </w:r>
      <w:r w:rsidR="00DC29A8">
        <w:fldChar w:fldCharType="end"/>
      </w:r>
    </w:p>
  </w:footnote>
  <w:footnote w:id="28">
    <w:p w14:paraId="4BC9FA9C" w14:textId="22B55BF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B02CD7" w:rsidRPr="00B02CD7">
        <w:rPr>
          <w:i/>
          <w:noProof/>
        </w:rPr>
        <w:t>The Message of the Qurʼan.</w:t>
      </w:r>
      <w:r w:rsidR="00B02CD7">
        <w:rPr>
          <w:noProof/>
        </w:rPr>
        <w:t xml:space="preserve"> Translated by Muhammad Asad, Book Foundation, 2004.</w:t>
      </w:r>
      <w:r w:rsidR="00DC29A8">
        <w:fldChar w:fldCharType="end"/>
      </w:r>
    </w:p>
  </w:footnote>
  <w:footnote w:id="29">
    <w:p w14:paraId="1F8ECA00" w14:textId="577ABAF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&lt;EndNote&gt;&lt;Cite&gt;&lt;Author&gt;Jefferson&lt;/Author&gt;&lt;Year&gt;1776&lt;/Year&gt;&lt;RecNum&gt;589&lt;/RecNum&gt;&lt;DisplayText&gt;Jefferson, Thomas. &amp;quot;Declaration of Independence.&amp;quot; Stone Engraving ed., William J. Stone, 1820 1776. general editor, Second Continental Congress.&lt;/DisplayText&gt;&lt;record&gt;&lt;rec-number&gt;589&lt;/rec-number&gt;&lt;foreign-keys&gt;&lt;key app="EN" db-id="ess5p2eeceedtnexdvi5deew0v5ezzrz5xfs" timestamp="1690609344"&gt;589&lt;/key&gt;&lt;/foreign-keys&gt;&lt;ref-type name="Manuscript"&gt;36&lt;/ref-type&gt;&lt;contributors&gt;&lt;authors&gt;&lt;author&gt;Jefferson,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43B21">
        <w:rPr>
          <w:noProof/>
        </w:rPr>
        <w:t>Jefferson, Thomas. "Declaration of Independence." Stone Engraving ed., William J. Stone, 1820 1776. general editor, Second Continental Congress.</w:t>
      </w:r>
      <w:r w:rsidR="00DC29A8">
        <w:fldChar w:fldCharType="end"/>
      </w:r>
    </w:p>
  </w:footnote>
  <w:footnote w:id="30">
    <w:p w14:paraId="2F8D4DE7" w14:textId="57AE4299"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1">
    <w:p w14:paraId="521BB91A" w14:textId="4742A5B6"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2">
    <w:p w14:paraId="6B677E49" w14:textId="7BF0DD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3">
    <w:p w14:paraId="17B7AAF2" w14:textId="3A7DC01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4">
    <w:p w14:paraId="38D31F7D" w14:textId="1EF59FA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5">
    <w:p w14:paraId="68BE5EB9" w14:textId="1C395318"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6">
    <w:p w14:paraId="2A1D5690" w14:textId="0365481B"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7">
    <w:p w14:paraId="3B7C812D" w14:textId="6963E73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&lt;EndNote&gt;&lt;Cite&gt;&lt;Author&gt;Gandhi&lt;/Author&gt;&lt;Year&gt;1908&lt;/Year&gt;&lt;RecNum&gt;540&lt;/RecNum&gt;&lt;DisplayText&gt;Gandhi, Mohandas K. &lt;style face="italic"&gt;</w:instrText>
      </w:r>
      <w:r w:rsidR="008A59EC">
        <w:rPr>
          <w:rFonts w:ascii="Shruti" w:hAnsi="Shruti" w:cs="Shruti"/>
        </w:rPr>
        <w:instrText>સર્વોદય</w:instrText>
      </w:r>
      <w:r w:rsidR="008A59EC">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8A59EC">
        <w:rPr>
          <w:rFonts w:ascii="Shruti" w:hAnsi="Shruti" w:cs="Shruti"/>
        </w:rPr>
        <w:instrText>સર્વોદય</w:instrText>
      </w:r>
      <w:r w:rsidR="008A59EC">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8">
    <w:p w14:paraId="28C9503E" w14:textId="576206B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9">
    <w:p w14:paraId="491B5BCC" w14:textId="535EBA82"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40">
    <w:p w14:paraId="11F49AEB" w14:textId="17C44B73" w:rsidR="00234233" w:rsidRDefault="00234233" w:rsidP="00234233">
      <w:pPr>
        <w:pStyle w:val="FootnoteText"/>
      </w:pPr>
      <w:r>
        <w:rPr>
          <w:rStyle w:val="FootnoteReference"/>
        </w:rPr>
        <w:footnoteRef/>
      </w:r>
      <w:r>
        <w:rPr>
          <w:rStyle w:val="FootnoteReference"/>
        </w:rPr>
        <w:tab/>
      </w:r>
      <w:r w:rsidR="00DC29A8">
        <w:fldChar w:fldCharType="begin"/>
      </w:r>
      <w:r w:rsidR="008A59EC">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1">
    <w:p w14:paraId="29949452" w14:textId="2E978D3A"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"What Is Religion?" </w:t>
      </w:r>
      <w:r w:rsidR="000C6425" w:rsidRPr="000C6425">
        <w:rPr>
          <w:i/>
          <w:noProof/>
        </w:rPr>
        <w:t>The Complete Works of the Swami Vivekananda, Part 1</w:t>
      </w:r>
      <w:r w:rsidR="000C6425">
        <w:rPr>
          <w:noProof/>
        </w:rPr>
        <w:t>, edited by Swami Prajnananda, Mayavati Memorial Edition ed., Prabuddha Bharat Office, 1915, pp. 333-43.</w:t>
      </w:r>
      <w:r w:rsidR="00DC29A8">
        <w:fldChar w:fldCharType="end"/>
      </w:r>
    </w:p>
  </w:footnote>
  <w:footnote w:id="42">
    <w:p w14:paraId="66FA14BC" w14:textId="77777777" w:rsidR="00827F52" w:rsidRDefault="00827F52" w:rsidP="00827F52">
      <w:pPr>
        <w:pStyle w:val="FootnoteText"/>
      </w:pPr>
      <w:r w:rsidRPr="00F67357">
        <w:rPr>
          <w:rStyle w:val="FootnoteReference"/>
          <w:b w:val="0"/>
          <w:bCs/>
        </w:rPr>
        <w:footnoteRef/>
      </w:r>
      <w:r w:rsidRPr="00F67357">
        <w:rPr>
          <w:rStyle w:val="FootnoteReference"/>
        </w:rPr>
        <w:tab/>
      </w:r>
      <w:r w:rsidRPr="00366779">
        <w:t xml:space="preserve">1. </w:t>
      </w:r>
      <w:r w:rsidRPr="00366779">
        <w:rPr>
          <w:rFonts w:eastAsiaTheme="minorHAnsi"/>
        </w:rPr>
        <w:t>The Muladhara Chakra. 1a. The Muladhara. 2. The Svadishthana Chakra. 3. The Nabhi Chakra. 3a. The Void. 4. The Anahata Chakra. 5. The Vishuddhi Chakra. 6. The Ajna Chakra. 7. The Sahasrara Chakra. A. Kundalini.</w:t>
      </w:r>
      <w:r>
        <w:rPr>
          <w:rFonts w:eastAsia="MS Gothic"/>
        </w:rPr>
        <w:t xml:space="preserve"> </w:t>
      </w:r>
      <w:r w:rsidRPr="00366779">
        <w:rPr>
          <w:rFonts w:eastAsiaTheme="minorHAnsi"/>
        </w:rPr>
        <w:t>B. Left channel (Ida nadi). C. Central channel (Sushumna nadi). D. Right channel (Pingala nadi). E. Spirit. F. Ego. G. Superego</w:t>
      </w:r>
    </w:p>
    <w:p w14:paraId="22FA61D1" w14:textId="4EE241EE" w:rsidR="00827F52" w:rsidRPr="00F67357" w:rsidRDefault="00827F52" w:rsidP="00827F52">
      <w:pPr>
        <w:pStyle w:val="FootnoteText"/>
      </w:pPr>
      <w:r>
        <w:fldChar w:fldCharType="begin"/>
      </w:r>
      <w:r w:rsidR="00C079AA">
        <w:instrText xml:space="preserve"> ADDIN EN.CITE &lt;EndNote&gt;&lt;Cite&gt;&lt;Author&gt;Alex-engraver&lt;/Author&gt;&lt;Year&gt;2011&lt;/Year&gt;&lt;RecNum&gt;561&lt;/RecNum&gt;&lt;DisplayText&gt;Alex-engraver. &amp;quot;Sahaja Subtle System.&amp;quot; Wikimedia Foundation, 2011.&lt;/DisplayText&gt;&lt;record&gt;&lt;rec-number&gt;561&lt;/rec-number&gt;&lt;foreign-keys&gt;&lt;key app="EN" db-id="ess5p2eeceedtnexdvi5deew0v5ezzrz5xfs" timestamp="1688506502"&gt;561&lt;/key&gt;&lt;/foreign-keys&gt;&lt;ref-type name="Figure"&gt;37&lt;/ref-type&gt;&lt;contributors&gt;&lt;authors&gt;&lt;author&gt;Alex-engraver&lt;/author&gt;&lt;/authors&gt;&lt;/contributors&gt;&lt;titles&gt;&lt;title&gt;Sahaja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Foundation&lt;/publisher&gt;&lt;urls&gt;&lt;/urls&gt;&lt;/record&gt;&lt;/Cite&gt;&lt;/EndNote&gt;</w:instrText>
      </w:r>
      <w:r>
        <w:fldChar w:fldCharType="separate"/>
      </w:r>
      <w:r w:rsidR="00C66344">
        <w:rPr>
          <w:noProof/>
        </w:rPr>
        <w:t>Alex-engraver. "Sahaja Subtle System." Wikimedia Foundation, 2011.</w:t>
      </w:r>
      <w:r>
        <w:fldChar w:fldCharType="end"/>
      </w:r>
    </w:p>
  </w:footnote>
  <w:footnote w:id="43">
    <w:p w14:paraId="3EC3DA3D" w14:textId="588718BB"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8A59EC">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4">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5">
    <w:p w14:paraId="0922B628" w14:textId="40E175FA"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6">
    <w:p w14:paraId="75E280DA" w14:textId="58D581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7">
    <w:p w14:paraId="489CBEA1" w14:textId="7224600D"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DC29A8">
        <w:fldChar w:fldCharType="separate"/>
      </w:r>
      <w:r w:rsidR="000C6425">
        <w:rPr>
          <w:noProof/>
        </w:rPr>
        <w:t xml:space="preserve">Kipling, Rudyard. "The Elephant’s Child." </w:t>
      </w:r>
      <w:r w:rsidR="000C6425" w:rsidRPr="000C6425">
        <w:rPr>
          <w:i/>
          <w:noProof/>
        </w:rPr>
        <w:t>Just So Stories</w:t>
      </w:r>
      <w:r w:rsidR="000C6425">
        <w:rPr>
          <w:noProof/>
        </w:rPr>
        <w:t>, Doubleday, Page &amp; Company, 1902, pp. 63-83.</w:t>
      </w:r>
      <w:r w:rsidR="00DC29A8">
        <w:fldChar w:fldCharType="end"/>
      </w:r>
    </w:p>
  </w:footnote>
  <w:footnote w:id="48">
    <w:p w14:paraId="57641E1E" w14:textId="52C914F1"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947FD1">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rPr>
          <w:bCs/>
        </w:rPr>
        <w:fldChar w:fldCharType="separate"/>
      </w:r>
      <w:r w:rsidR="000C6425">
        <w:rPr>
          <w:bCs/>
          <w:noProof/>
        </w:rPr>
        <w:t>Kapoor, Raj. "Mera Naam Joker." R. K. Films, 1970.</w:t>
      </w:r>
      <w:r w:rsidR="00DC29A8">
        <w:rPr>
          <w:bCs/>
        </w:rPr>
        <w:fldChar w:fldCharType="end"/>
      </w:r>
    </w:p>
  </w:footnote>
  <w:footnote w:id="49">
    <w:p w14:paraId="02218773" w14:textId="77777777" w:rsidR="000E210A" w:rsidRDefault="00086929" w:rsidP="000E210A">
      <w:pPr>
        <w:pStyle w:val="FootnoteText"/>
        <w:rPr>
          <w:rFonts w:eastAsiaTheme="minorHAnsi"/>
        </w:rPr>
      </w:pPr>
      <w:r w:rsidRPr="000E210A">
        <w:rPr>
          <w:rStyle w:val="FootnoteReference"/>
          <w:b w:val="0"/>
          <w:bCs/>
        </w:rPr>
        <w:footnoteRef/>
      </w:r>
      <w:r w:rsidRPr="000E210A">
        <w:rPr>
          <w:rStyle w:val="FootnoteReference"/>
          <w:b w:val="0"/>
          <w:bCs/>
        </w:rPr>
        <w:tab/>
      </w:r>
      <w:r w:rsidR="00AC20FB" w:rsidRPr="000E210A">
        <w:rPr>
          <w:rFonts w:eastAsiaTheme="minorHAnsi"/>
        </w:rPr>
        <w:t xml:space="preserve">Rajoo was now going up—and up—till he was high above the heads of all the other jokers and performers. Then, at a signal from him, the music and the singing </w:t>
      </w:r>
      <w:proofErr w:type="gramStart"/>
      <w:r w:rsidR="00AC20FB" w:rsidRPr="000E210A">
        <w:rPr>
          <w:rFonts w:eastAsiaTheme="minorHAnsi"/>
        </w:rPr>
        <w:t>was</w:t>
      </w:r>
      <w:proofErr w:type="gramEnd"/>
      <w:r w:rsidR="00AC20FB" w:rsidRPr="000E210A">
        <w:rPr>
          <w:rFonts w:eastAsiaTheme="minorHAnsi"/>
        </w:rPr>
        <w:t xml:space="preserve"> stilled, the circus arena was hushed into expectant silence, as he made an unusual announcement: ‘Ladies and gentlemen. There will be an interval.’ Then, looking at Marina, with a smile— ’Eto Entrakt … This may be of fifteen minutes, as is usual, or fifteen hours, or fifteen months, but please don’t go away. It is not yet the end of my story. The Joker’s show is not yet over. Not yet …</w:t>
      </w:r>
    </w:p>
    <w:p w14:paraId="5F73FD6C" w14:textId="4061C724" w:rsidR="000E210A" w:rsidRPr="000E210A" w:rsidRDefault="000E210A" w:rsidP="000E210A">
      <w:pPr>
        <w:pStyle w:val="FootnoteText"/>
        <w:rPr>
          <w:rFonts w:eastAsiaTheme="minorHAnsi"/>
        </w:rPr>
      </w:pPr>
      <w:r w:rsidRPr="000E210A">
        <w:rPr>
          <w:color w:val="000000"/>
        </w:rPr>
        <w:t xml:space="preserve">The circus resounded with thunderous applause. In the ring, hundreds of performers were singing, dancing, and Rajoo was singing with them, and the spectators were singing with Rajoo—for that moment, the performers and the spectators had become one, singing in unison, out of the unity of their hearts, of their emotions. In the centre, and high above the audience, stood Rajoo, the old joker, singing, urging people to sing louder, waving to his friends—and all were his friends. He was laughing and making the world laugh with him … </w:t>
      </w:r>
    </w:p>
    <w:p w14:paraId="40B9789D" w14:textId="1DA731EB" w:rsidR="00086929" w:rsidRPr="000E210A" w:rsidRDefault="000E210A" w:rsidP="000E210A">
      <w:pPr>
        <w:pStyle w:val="NormalWeb"/>
        <w:rPr>
          <w:color w:val="000000"/>
          <w:sz w:val="20"/>
          <w:szCs w:val="20"/>
        </w:rPr>
      </w:pPr>
      <w:r w:rsidRPr="000E210A">
        <w:rPr>
          <w:color w:val="000000"/>
          <w:sz w:val="20"/>
          <w:szCs w:val="20"/>
        </w:rPr>
        <w:t xml:space="preserve">But, </w:t>
      </w:r>
      <w:proofErr w:type="gramStart"/>
      <w:r w:rsidRPr="000E210A">
        <w:rPr>
          <w:color w:val="000000"/>
          <w:sz w:val="20"/>
          <w:szCs w:val="20"/>
        </w:rPr>
        <w:t>in the midst of</w:t>
      </w:r>
      <w:proofErr w:type="gramEnd"/>
      <w:r w:rsidRPr="000E210A">
        <w:rPr>
          <w:color w:val="000000"/>
          <w:sz w:val="20"/>
          <w:szCs w:val="20"/>
        </w:rPr>
        <w:t xml:space="preserve"> this festival of gaiety and laughter, this colourful spectacle of song and dance, every now and then Rajoo’s hand would go to his heart as his face contorted with unbearable pain—because his heart was too big, and the world too small </w:t>
      </w:r>
      <w:r w:rsidR="00AC20FB" w:rsidRPr="000E210A">
        <w:rPr>
          <w:rFonts w:eastAsiaTheme="minorHAnsi"/>
          <w:sz w:val="20"/>
          <w:szCs w:val="20"/>
        </w:rPr>
        <w:t>(</w:t>
      </w:r>
      <w:r w:rsidR="003D36AF" w:rsidRPr="000E210A">
        <w:rPr>
          <w:sz w:val="20"/>
          <w:szCs w:val="20"/>
        </w:rPr>
        <w:t>Abbas</w:t>
      </w:r>
      <w:r w:rsidR="00AC20FB" w:rsidRPr="000E210A">
        <w:rPr>
          <w:sz w:val="20"/>
          <w:szCs w:val="20"/>
        </w:rPr>
        <w:t xml:space="preserve">, </w:t>
      </w:r>
      <w:r w:rsidR="003D36AF" w:rsidRPr="000E210A">
        <w:rPr>
          <w:sz w:val="20"/>
          <w:szCs w:val="20"/>
        </w:rPr>
        <w:t>202</w:t>
      </w:r>
      <w:r w:rsidR="00843B09">
        <w:rPr>
          <w:sz w:val="20"/>
          <w:szCs w:val="20"/>
        </w:rPr>
        <w:t>-03</w:t>
      </w:r>
      <w:r w:rsidR="00AC20FB" w:rsidRPr="000E210A">
        <w:rPr>
          <w:sz w:val="20"/>
          <w:szCs w:val="20"/>
        </w:rPr>
        <w:t>)</w:t>
      </w:r>
      <w:r w:rsidRPr="000E210A">
        <w:rPr>
          <w:sz w:val="20"/>
          <w:szCs w:val="20"/>
        </w:rPr>
        <w:t>!</w:t>
      </w:r>
      <w:r w:rsidR="00AC20FB" w:rsidRPr="000E210A">
        <w:rPr>
          <w:rFonts w:eastAsiaTheme="minorHAnsi"/>
          <w:sz w:val="20"/>
          <w:szCs w:val="20"/>
        </w:rPr>
        <w:t>’</w:t>
      </w:r>
    </w:p>
    <w:p w14:paraId="4DAC3C30" w14:textId="78024B56" w:rsidR="008048FB" w:rsidRPr="00621052" w:rsidRDefault="008A59EC" w:rsidP="00086929">
      <w:pPr>
        <w:pStyle w:val="FootnoteText"/>
      </w:pPr>
      <w:r>
        <w:fldChar w:fldCharType="begin"/>
      </w:r>
      <w:r w:rsidR="00FF67C6">
        <w:instrText xml:space="preserve"> ADDIN EN.CITE &lt;EndNote&gt;&lt;Cite&gt;&lt;Author&gt;Abbas&lt;/Author&gt;&lt;Year&gt;2014&lt;/Year&gt;&lt;RecNum&gt;656&lt;/RecNum&gt;&lt;DisplayText&gt;Abbas, Khwaja Ahmad. &lt;style face="italic"&gt;Mera Naam Joker.&lt;/style&gt; HarperCollins, 2014.&lt;/DisplayText&gt;&lt;record&gt;&lt;rec-number&gt;656&lt;/rec-number&gt;&lt;foreign-keys&gt;&lt;key app="EN" db-id="ess5p2eeceedtnexdvi5deew0v5ezzrz5xfs" timestamp="1697414498"&gt;656&lt;/key&gt;&lt;/foreign-keys&gt;&lt;ref-type name="Book"&gt;6&lt;/ref-type&gt;&lt;contributors&gt;&lt;authors&gt;&lt;author&gt;Abbas, Khwaja Ahmad&lt;/author&gt;&lt;/authors&gt;&lt;/contributors&gt;&lt;titles&gt;&lt;title&gt;Mera Naam Joker&lt;/title&gt;&lt;/titles&gt;&lt;dates&gt;&lt;year&gt;2014&lt;/year&gt;&lt;/dates&gt;&lt;publisher&gt;HarperCollins&lt;/publisher&gt;&lt;isbn&gt;9789351365860&lt;/isbn&gt;&lt;urls&gt;&lt;/urls&gt;&lt;/record&gt;&lt;/Cite&gt;&lt;/EndNote&gt;</w:instrText>
      </w:r>
      <w:r>
        <w:fldChar w:fldCharType="separate"/>
      </w:r>
      <w:r>
        <w:rPr>
          <w:noProof/>
        </w:rPr>
        <w:t xml:space="preserve">Abbas, Khwaja Ahmad. </w:t>
      </w:r>
      <w:r w:rsidRPr="008A59EC">
        <w:rPr>
          <w:i/>
          <w:noProof/>
        </w:rPr>
        <w:t>Mera Naam Joker.</w:t>
      </w:r>
      <w:r>
        <w:rPr>
          <w:noProof/>
        </w:rPr>
        <w:t xml:space="preserve"> HarperCollins, 2014.</w:t>
      </w:r>
      <w:r>
        <w:fldChar w:fldCharType="end"/>
      </w:r>
    </w:p>
  </w:footnote>
  <w:footnote w:id="50">
    <w:p w14:paraId="585D8204" w14:textId="03F0E03C" w:rsidR="00B42249" w:rsidRDefault="00B42249" w:rsidP="00B42249">
      <w:pPr>
        <w:pStyle w:val="FootnoteText"/>
      </w:pPr>
      <w:r w:rsidRPr="001B26D3">
        <w:rPr>
          <w:rStyle w:val="FootnoteReference"/>
          <w:b w:val="0"/>
          <w:bCs/>
        </w:rPr>
        <w:footnoteRef/>
      </w:r>
      <w:r w:rsidRPr="001B26D3">
        <w:rPr>
          <w:rStyle w:val="FootnoteReference"/>
          <w:b w:val="0"/>
          <w:bCs/>
        </w:rPr>
        <w:tab/>
      </w:r>
      <w:r w:rsidR="00FE4AF6" w:rsidRPr="00FE4AF6">
        <w:rPr>
          <w:rFonts w:ascii="Kohinoor Devanagari" w:hAnsi="Kohinoor Devanagari" w:cs="Kohinoor Devanagari"/>
          <w:color w:val="000000" w:themeColor="text1"/>
          <w:shd w:val="clear" w:color="auto" w:fill="FFFFFF"/>
        </w:rPr>
        <w:t>त्रि</w:t>
      </w:r>
      <w:r w:rsidR="00FE4AF6" w:rsidRPr="00FE4AF6">
        <w:rPr>
          <w:color w:val="000000" w:themeColor="text1"/>
          <w:shd w:val="clear" w:color="auto" w:fill="FFFFFF"/>
        </w:rPr>
        <w:t xml:space="preserve">, tri “three” +‎ </w:t>
      </w:r>
      <w:r w:rsidR="00FE4AF6" w:rsidRPr="00FE4AF6">
        <w:rPr>
          <w:rFonts w:ascii="Kohinoor Devanagari" w:hAnsi="Kohinoor Devanagari" w:cs="Kohinoor Devanagari"/>
          <w:color w:val="000000" w:themeColor="text1"/>
          <w:shd w:val="clear" w:color="auto" w:fill="FFFFFF"/>
        </w:rPr>
        <w:t>रङ्ग</w:t>
      </w:r>
      <w:r w:rsidR="00FE4AF6" w:rsidRPr="00FE4AF6">
        <w:rPr>
          <w:color w:val="000000" w:themeColor="text1"/>
          <w:shd w:val="clear" w:color="auto" w:fill="FFFFFF"/>
        </w:rPr>
        <w:t xml:space="preserve">, raṅga: “colour”  </w:t>
      </w:r>
    </w:p>
    <w:p w14:paraId="1651CB1E" w14:textId="6F4D4418" w:rsidR="00B42249" w:rsidRPr="001B26D3" w:rsidRDefault="00544959" w:rsidP="00B42249">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1">
    <w:p w14:paraId="5687A3B7" w14:textId="13956E23" w:rsidR="00A66795" w:rsidRPr="00E6701C" w:rsidRDefault="00A66795" w:rsidP="00E6701C">
      <w:pPr>
        <w:pStyle w:val="FootnoteText"/>
        <w:rPr>
          <w:color w:val="000000" w:themeColor="text1"/>
        </w:rPr>
      </w:pPr>
      <w:r w:rsidRPr="001B26D3">
        <w:rPr>
          <w:rStyle w:val="FootnoteReference"/>
          <w:b w:val="0"/>
          <w:bCs/>
        </w:rPr>
        <w:footnoteRef/>
      </w:r>
      <w:r w:rsidRPr="001B26D3">
        <w:rPr>
          <w:rStyle w:val="FootnoteReference"/>
          <w:b w:val="0"/>
          <w:bCs/>
        </w:rPr>
        <w:tab/>
      </w:r>
      <w:r w:rsidR="00E6701C">
        <w:rPr>
          <w:color w:val="000000" w:themeColor="text1"/>
        </w:rPr>
        <w:fldChar w:fldCharType="begin"/>
      </w:r>
      <w:r w:rsidR="00E6701C">
        <w:rPr>
          <w:color w:val="000000" w:themeColor="text1"/>
        </w:rPr>
        <w:instrText xml:space="preserve"> ADDIN EN.CITE &lt;EndNote&gt;&lt;Cite&gt;&lt;Author&gt;MapGrid&lt;/Author&gt;&lt;Year&gt;2023&lt;/Year&gt;&lt;RecNum&gt;658&lt;/RecNum&gt;&lt;DisplayText&gt;MapGrid. &amp;quot;Flag of India — Construction Sheet.&amp;quot; Wikimedia Foundation, 2023.&lt;/DisplayText&gt;&lt;record&gt;&lt;rec-number&gt;658&lt;/rec-number&gt;&lt;foreign-keys&gt;&lt;key app="EN" db-id="ess5p2eeceedtnexdvi5deew0v5ezzrz5xfs" timestamp="1697449531"&gt;658&lt;/key&gt;&lt;/foreign-keys&gt;&lt;ref-type name="Figure"&gt;37&lt;/ref-type&gt;&lt;contributors&gt;&lt;authors&gt;&lt;author&gt;MapGrid&lt;/author&gt;&lt;/authors&gt;&lt;/contributors&gt;&lt;titles&gt;&lt;title&gt;Flag of India — construction sheet.&lt;/title&gt;&lt;/titles&gt;&lt;dates&gt;&lt;year&gt;2023&lt;/year&gt;&lt;/dates&gt;&lt;pub-location&gt;en.wikipedia.org&lt;/pub-location&gt;&lt;publisher&gt;Wikimedia Foundation&lt;/publisher&gt;&lt;urls&gt;&lt;/urls&gt;&lt;/record&gt;&lt;/Cite&gt;&lt;/EndNote&gt;</w:instrText>
      </w:r>
      <w:r w:rsidR="00E6701C">
        <w:rPr>
          <w:color w:val="000000" w:themeColor="text1"/>
        </w:rPr>
        <w:fldChar w:fldCharType="separate"/>
      </w:r>
      <w:r w:rsidR="00E6701C">
        <w:rPr>
          <w:noProof/>
          <w:color w:val="000000" w:themeColor="text1"/>
        </w:rPr>
        <w:t>MapGrid. "Flag of India — Construction Sheet." Wikimedia Foundation, 2023.</w:t>
      </w:r>
      <w:r w:rsidR="00E6701C">
        <w:rPr>
          <w:color w:val="000000" w:themeColor="text1"/>
        </w:rPr>
        <w:fldChar w:fldCharType="end"/>
      </w:r>
    </w:p>
  </w:footnote>
  <w:footnote w:id="52">
    <w:p w14:paraId="3B5B182B" w14:textId="77777777" w:rsidR="00E6701C" w:rsidRDefault="004B5CA8" w:rsidP="00E6701C">
      <w:pPr>
        <w:pStyle w:val="FootnoteText"/>
      </w:pPr>
      <w:r w:rsidRPr="001B26D3">
        <w:rPr>
          <w:rStyle w:val="FootnoteReference"/>
          <w:b w:val="0"/>
          <w:bCs/>
        </w:rPr>
        <w:footnoteRef/>
      </w:r>
      <w:r w:rsidRPr="001B26D3">
        <w:rPr>
          <w:rStyle w:val="FootnoteReference"/>
          <w:b w:val="0"/>
          <w:bCs/>
        </w:rPr>
        <w:tab/>
      </w:r>
      <w:r w:rsidRPr="00E344D1">
        <w:rPr>
          <w:color w:val="000000" w:themeColor="text1"/>
        </w:rPr>
        <w:t xml:space="preserve"> </w:t>
      </w:r>
      <w:r w:rsidR="00E6701C" w:rsidRPr="00E344D1">
        <w:rPr>
          <w:color w:val="000000" w:themeColor="text1"/>
          <w:shd w:val="clear" w:color="auto" w:fill="FFFFFF"/>
        </w:rPr>
        <w:t>Dr. S. Radhakrishnan explained—</w:t>
      </w:r>
      <w:r w:rsidR="00E6701C">
        <w:rPr>
          <w:color w:val="000000" w:themeColor="text1"/>
        </w:rPr>
        <w:t>"</w:t>
      </w:r>
      <w:r w:rsidR="00E6701C"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 (</w:t>
      </w:r>
      <w:r w:rsidR="00E6701C" w:rsidRPr="00E344D1">
        <w:rPr>
          <w:noProof/>
          <w:color w:val="000000" w:themeColor="text1"/>
        </w:rPr>
        <w:t>Government of India</w:t>
      </w:r>
      <w:r w:rsidR="00E6701C" w:rsidRPr="00E344D1">
        <w:rPr>
          <w:color w:val="000000" w:themeColor="text1"/>
        </w:rPr>
        <w:t>).</w:t>
      </w:r>
      <w:r w:rsidR="00E6701C">
        <w:rPr>
          <w:color w:val="000000" w:themeColor="text1"/>
        </w:rPr>
        <w:t>”</w:t>
      </w:r>
      <w:r w:rsidR="00E6701C" w:rsidRPr="00E344D1">
        <w:rPr>
          <w:color w:val="000000" w:themeColor="text1"/>
        </w:rPr>
        <w:t xml:space="preserve"> </w:t>
      </w:r>
    </w:p>
    <w:p w14:paraId="30BAF659" w14:textId="4AD9344D" w:rsidR="00E6701C" w:rsidRPr="001B26D3" w:rsidRDefault="00E6701C" w:rsidP="00E6701C">
      <w:pPr>
        <w:pStyle w:val="FootnoteText"/>
      </w:pPr>
      <w:r>
        <w:fldChar w:fldCharType="begin"/>
      </w:r>
      <w:r w:rsidR="00E957B0">
        <w:instrText xml:space="preserve"> ADDIN EN.CITE &lt;EndNote&gt;&lt;Cite&gt;&lt;Year&gt;2002&lt;/Year&gt;&lt;RecNum&gt;441&lt;/RecNum&gt;&lt;DisplayText&gt;&lt;style face="italic"&gt;The Flag Code of India.&lt;/style&gt; Ministry of Home Affairs, Government of India, 2002.&lt;/DisplayText&gt;&lt;record&gt;&lt;rec-number&gt;441&lt;/rec-number&gt;&lt;foreign-keys&gt;&lt;key app="EN" db-id="ess5p2eeceedtnexdvi5deew0v5ezzrz5xfs" timestamp="1681594675"&gt;441&lt;/key&gt;&lt;/foreign-keys&gt;&lt;ref-type name="Book"&gt;6&lt;/ref-type&gt;&lt;contributors&gt;&lt;/contributors&gt;&lt;titles&gt;&lt;title&gt;The Flag Code of India&lt;/title&gt;&lt;/titles&gt;&lt;dates&gt;&lt;year&gt;2002&lt;/year&gt;&lt;/dates&gt;&lt;pub-location&gt;New Delhi&lt;/pub-location&gt;&lt;publisher&gt;Ministry of Home Affairs, Government of India&lt;/publisher&gt;&lt;urls&gt;&lt;/urls&gt;&lt;/record&gt;&lt;/Cite&gt;&lt;/EndNote&gt;</w:instrText>
      </w:r>
      <w:r>
        <w:fldChar w:fldCharType="separate"/>
      </w:r>
      <w:r w:rsidR="00E957B0" w:rsidRPr="00E957B0">
        <w:rPr>
          <w:i/>
          <w:noProof/>
        </w:rPr>
        <w:t>The Flag Code of India.</w:t>
      </w:r>
      <w:r w:rsidR="00E957B0">
        <w:rPr>
          <w:noProof/>
        </w:rPr>
        <w:t xml:space="preserve"> Ministry of Home Affairs, Government of India, 2002.</w:t>
      </w:r>
      <w:r>
        <w:fldChar w:fldCharType="end"/>
      </w:r>
    </w:p>
    <w:p w14:paraId="3DEF6FF6" w14:textId="0F898E2D" w:rsidR="004B5CA8" w:rsidRPr="001B26D3" w:rsidRDefault="004B5CA8" w:rsidP="009C746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item&gt;611&lt;/item&gt;&lt;item&gt;656&lt;/item&gt;&lt;item&gt;658&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3B21"/>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3A2"/>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64C9"/>
    <w:rsid w:val="000C7E53"/>
    <w:rsid w:val="000D11F9"/>
    <w:rsid w:val="000D3032"/>
    <w:rsid w:val="000D32D1"/>
    <w:rsid w:val="000D44E6"/>
    <w:rsid w:val="000E0B9A"/>
    <w:rsid w:val="000E0CBA"/>
    <w:rsid w:val="000E1AD9"/>
    <w:rsid w:val="000E1ED1"/>
    <w:rsid w:val="000E210A"/>
    <w:rsid w:val="000E4067"/>
    <w:rsid w:val="000E5651"/>
    <w:rsid w:val="000E57D6"/>
    <w:rsid w:val="000E7AF3"/>
    <w:rsid w:val="000F01B1"/>
    <w:rsid w:val="000F08C4"/>
    <w:rsid w:val="000F19F9"/>
    <w:rsid w:val="000F30EC"/>
    <w:rsid w:val="000F3EA7"/>
    <w:rsid w:val="000F5A2C"/>
    <w:rsid w:val="00100CFB"/>
    <w:rsid w:val="0010150C"/>
    <w:rsid w:val="00101B37"/>
    <w:rsid w:val="00101D4E"/>
    <w:rsid w:val="00101ED3"/>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95F22"/>
    <w:rsid w:val="001A3B52"/>
    <w:rsid w:val="001A668A"/>
    <w:rsid w:val="001A6FFE"/>
    <w:rsid w:val="001B1190"/>
    <w:rsid w:val="001B1D6E"/>
    <w:rsid w:val="001B2596"/>
    <w:rsid w:val="001B26D3"/>
    <w:rsid w:val="001B3841"/>
    <w:rsid w:val="001B42E7"/>
    <w:rsid w:val="001B725E"/>
    <w:rsid w:val="001B7801"/>
    <w:rsid w:val="001C10F9"/>
    <w:rsid w:val="001C13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4DE5"/>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8655A"/>
    <w:rsid w:val="0029281A"/>
    <w:rsid w:val="00293615"/>
    <w:rsid w:val="002962BB"/>
    <w:rsid w:val="002A4157"/>
    <w:rsid w:val="002A510F"/>
    <w:rsid w:val="002A545B"/>
    <w:rsid w:val="002A73A2"/>
    <w:rsid w:val="002B0426"/>
    <w:rsid w:val="002B042C"/>
    <w:rsid w:val="002B1B99"/>
    <w:rsid w:val="002B289C"/>
    <w:rsid w:val="002B42DA"/>
    <w:rsid w:val="002B6966"/>
    <w:rsid w:val="002C064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1715"/>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36AF"/>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3208"/>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5CA8"/>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52DF"/>
    <w:rsid w:val="004E5851"/>
    <w:rsid w:val="004E5BD9"/>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4959"/>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431"/>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3C1F"/>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5245"/>
    <w:rsid w:val="005B63E0"/>
    <w:rsid w:val="005B6985"/>
    <w:rsid w:val="005B7D0A"/>
    <w:rsid w:val="005C1D8D"/>
    <w:rsid w:val="005C26E1"/>
    <w:rsid w:val="005C5832"/>
    <w:rsid w:val="005C7362"/>
    <w:rsid w:val="005C74F4"/>
    <w:rsid w:val="005C776F"/>
    <w:rsid w:val="005D1D8D"/>
    <w:rsid w:val="005D2E05"/>
    <w:rsid w:val="005D4BBD"/>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6F01"/>
    <w:rsid w:val="006973A3"/>
    <w:rsid w:val="006977D8"/>
    <w:rsid w:val="006A1352"/>
    <w:rsid w:val="006A16EA"/>
    <w:rsid w:val="006A1769"/>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13CB"/>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0267"/>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4C84"/>
    <w:rsid w:val="007F5C2F"/>
    <w:rsid w:val="008023F5"/>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27F52"/>
    <w:rsid w:val="00832313"/>
    <w:rsid w:val="008332A2"/>
    <w:rsid w:val="00833E28"/>
    <w:rsid w:val="00834007"/>
    <w:rsid w:val="008354E6"/>
    <w:rsid w:val="00835713"/>
    <w:rsid w:val="008404C8"/>
    <w:rsid w:val="00840516"/>
    <w:rsid w:val="008433F6"/>
    <w:rsid w:val="008438F0"/>
    <w:rsid w:val="00843B09"/>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0FB4"/>
    <w:rsid w:val="00871982"/>
    <w:rsid w:val="00873792"/>
    <w:rsid w:val="00874DC2"/>
    <w:rsid w:val="0087579A"/>
    <w:rsid w:val="0087677B"/>
    <w:rsid w:val="00877523"/>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59EC"/>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57C"/>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08D1"/>
    <w:rsid w:val="009322E7"/>
    <w:rsid w:val="00934E40"/>
    <w:rsid w:val="009411B3"/>
    <w:rsid w:val="00941D28"/>
    <w:rsid w:val="00941F1D"/>
    <w:rsid w:val="009448E8"/>
    <w:rsid w:val="00944D70"/>
    <w:rsid w:val="00947E2A"/>
    <w:rsid w:val="00947FD1"/>
    <w:rsid w:val="00950C85"/>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466"/>
    <w:rsid w:val="009C7FDE"/>
    <w:rsid w:val="009D150A"/>
    <w:rsid w:val="009D3C33"/>
    <w:rsid w:val="009D53EB"/>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17A3"/>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6795"/>
    <w:rsid w:val="00A673B0"/>
    <w:rsid w:val="00A673E1"/>
    <w:rsid w:val="00A674D3"/>
    <w:rsid w:val="00A67B91"/>
    <w:rsid w:val="00A70F3C"/>
    <w:rsid w:val="00A71B07"/>
    <w:rsid w:val="00A75BAB"/>
    <w:rsid w:val="00A75F67"/>
    <w:rsid w:val="00A76AFC"/>
    <w:rsid w:val="00A77305"/>
    <w:rsid w:val="00A80269"/>
    <w:rsid w:val="00A80D5C"/>
    <w:rsid w:val="00A83E05"/>
    <w:rsid w:val="00A83F55"/>
    <w:rsid w:val="00A851DA"/>
    <w:rsid w:val="00A90765"/>
    <w:rsid w:val="00A90DDA"/>
    <w:rsid w:val="00A9107C"/>
    <w:rsid w:val="00A917D8"/>
    <w:rsid w:val="00A92D7E"/>
    <w:rsid w:val="00A9433C"/>
    <w:rsid w:val="00A9539E"/>
    <w:rsid w:val="00A95F26"/>
    <w:rsid w:val="00A975C8"/>
    <w:rsid w:val="00AA28FD"/>
    <w:rsid w:val="00AA42B7"/>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0FB"/>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2CD7"/>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2249"/>
    <w:rsid w:val="00B438F1"/>
    <w:rsid w:val="00B464EA"/>
    <w:rsid w:val="00B5217F"/>
    <w:rsid w:val="00B536FE"/>
    <w:rsid w:val="00B54280"/>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56B1"/>
    <w:rsid w:val="00BC7443"/>
    <w:rsid w:val="00BD24DD"/>
    <w:rsid w:val="00BD330D"/>
    <w:rsid w:val="00BD3A0D"/>
    <w:rsid w:val="00BD3C5C"/>
    <w:rsid w:val="00BD57CF"/>
    <w:rsid w:val="00BD601F"/>
    <w:rsid w:val="00BD7228"/>
    <w:rsid w:val="00BE0CD0"/>
    <w:rsid w:val="00BE1EFC"/>
    <w:rsid w:val="00BE4B57"/>
    <w:rsid w:val="00BE70D4"/>
    <w:rsid w:val="00BE7952"/>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079AA"/>
    <w:rsid w:val="00C1023D"/>
    <w:rsid w:val="00C121A4"/>
    <w:rsid w:val="00C12BFE"/>
    <w:rsid w:val="00C12CE4"/>
    <w:rsid w:val="00C1409E"/>
    <w:rsid w:val="00C156D0"/>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66344"/>
    <w:rsid w:val="00C706CE"/>
    <w:rsid w:val="00C725C2"/>
    <w:rsid w:val="00C72AEB"/>
    <w:rsid w:val="00C72CF6"/>
    <w:rsid w:val="00C73A7A"/>
    <w:rsid w:val="00C73C22"/>
    <w:rsid w:val="00C74AE4"/>
    <w:rsid w:val="00C811D6"/>
    <w:rsid w:val="00C81244"/>
    <w:rsid w:val="00C813F7"/>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7DF"/>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3BF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1529"/>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4A74"/>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01C"/>
    <w:rsid w:val="00E6738F"/>
    <w:rsid w:val="00E70202"/>
    <w:rsid w:val="00E70414"/>
    <w:rsid w:val="00E70D27"/>
    <w:rsid w:val="00E712EA"/>
    <w:rsid w:val="00E714FC"/>
    <w:rsid w:val="00E721B7"/>
    <w:rsid w:val="00E73641"/>
    <w:rsid w:val="00E74191"/>
    <w:rsid w:val="00E7563E"/>
    <w:rsid w:val="00E75FDD"/>
    <w:rsid w:val="00E763E8"/>
    <w:rsid w:val="00E8035E"/>
    <w:rsid w:val="00E8245B"/>
    <w:rsid w:val="00E83539"/>
    <w:rsid w:val="00E85D03"/>
    <w:rsid w:val="00E85F0F"/>
    <w:rsid w:val="00E922C7"/>
    <w:rsid w:val="00E9459C"/>
    <w:rsid w:val="00E94A3E"/>
    <w:rsid w:val="00E9535A"/>
    <w:rsid w:val="00E95667"/>
    <w:rsid w:val="00E957B0"/>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41B0"/>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96D"/>
    <w:rsid w:val="00FD6775"/>
    <w:rsid w:val="00FD7821"/>
    <w:rsid w:val="00FD7A92"/>
    <w:rsid w:val="00FE028A"/>
    <w:rsid w:val="00FE07CF"/>
    <w:rsid w:val="00FE1A32"/>
    <w:rsid w:val="00FE2074"/>
    <w:rsid w:val="00FE4AF6"/>
    <w:rsid w:val="00FE5FBF"/>
    <w:rsid w:val="00FE6ADC"/>
    <w:rsid w:val="00FF0902"/>
    <w:rsid w:val="00FF2755"/>
    <w:rsid w:val="00FF2B2D"/>
    <w:rsid w:val="00FF3F6A"/>
    <w:rsid w:val="00FF612D"/>
    <w:rsid w:val="00FF67C6"/>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182">
      <w:bodyDiv w:val="1"/>
      <w:marLeft w:val="0"/>
      <w:marRight w:val="0"/>
      <w:marTop w:val="0"/>
      <w:marBottom w:val="0"/>
      <w:divBdr>
        <w:top w:val="none" w:sz="0" w:space="0" w:color="auto"/>
        <w:left w:val="none" w:sz="0" w:space="0" w:color="auto"/>
        <w:bottom w:val="none" w:sz="0" w:space="0" w:color="auto"/>
        <w:right w:val="none" w:sz="0" w:space="0" w:color="auto"/>
      </w:divBdr>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23252144">
      <w:bodyDiv w:val="1"/>
      <w:marLeft w:val="0"/>
      <w:marRight w:val="0"/>
      <w:marTop w:val="0"/>
      <w:marBottom w:val="0"/>
      <w:divBdr>
        <w:top w:val="none" w:sz="0" w:space="0" w:color="auto"/>
        <w:left w:val="none" w:sz="0" w:space="0" w:color="auto"/>
        <w:bottom w:val="none" w:sz="0" w:space="0" w:color="auto"/>
        <w:right w:val="none" w:sz="0" w:space="0" w:color="auto"/>
      </w:divBdr>
      <w:divsChild>
        <w:div w:id="1440831989">
          <w:marLeft w:val="0"/>
          <w:marRight w:val="0"/>
          <w:marTop w:val="0"/>
          <w:marBottom w:val="0"/>
          <w:divBdr>
            <w:top w:val="none" w:sz="0" w:space="0" w:color="auto"/>
            <w:left w:val="none" w:sz="0" w:space="0" w:color="auto"/>
            <w:bottom w:val="none" w:sz="0" w:space="0" w:color="auto"/>
            <w:right w:val="none" w:sz="0" w:space="0" w:color="auto"/>
          </w:divBdr>
          <w:divsChild>
            <w:div w:id="107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58452">
      <w:bodyDiv w:val="1"/>
      <w:marLeft w:val="0"/>
      <w:marRight w:val="0"/>
      <w:marTop w:val="0"/>
      <w:marBottom w:val="0"/>
      <w:divBdr>
        <w:top w:val="none" w:sz="0" w:space="0" w:color="auto"/>
        <w:left w:val="none" w:sz="0" w:space="0" w:color="auto"/>
        <w:bottom w:val="none" w:sz="0" w:space="0" w:color="auto"/>
        <w:right w:val="none" w:sz="0" w:space="0" w:color="auto"/>
      </w:divBdr>
      <w:divsChild>
        <w:div w:id="428503113">
          <w:marLeft w:val="0"/>
          <w:marRight w:val="0"/>
          <w:marTop w:val="0"/>
          <w:marBottom w:val="0"/>
          <w:divBdr>
            <w:top w:val="none" w:sz="0" w:space="0" w:color="auto"/>
            <w:left w:val="none" w:sz="0" w:space="0" w:color="auto"/>
            <w:bottom w:val="none" w:sz="0" w:space="0" w:color="auto"/>
            <w:right w:val="none" w:sz="0" w:space="0" w:color="auto"/>
          </w:divBdr>
          <w:divsChild>
            <w:div w:id="2104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979">
      <w:bodyDiv w:val="1"/>
      <w:marLeft w:val="0"/>
      <w:marRight w:val="0"/>
      <w:marTop w:val="0"/>
      <w:marBottom w:val="0"/>
      <w:divBdr>
        <w:top w:val="none" w:sz="0" w:space="0" w:color="auto"/>
        <w:left w:val="none" w:sz="0" w:space="0" w:color="auto"/>
        <w:bottom w:val="none" w:sz="0" w:space="0" w:color="auto"/>
        <w:right w:val="none" w:sz="0" w:space="0" w:color="auto"/>
      </w:divBdr>
      <w:divsChild>
        <w:div w:id="1404723310">
          <w:marLeft w:val="0"/>
          <w:marRight w:val="120"/>
          <w:marTop w:val="0"/>
          <w:marBottom w:val="0"/>
          <w:divBdr>
            <w:top w:val="none" w:sz="0" w:space="0" w:color="auto"/>
            <w:left w:val="none" w:sz="0" w:space="0" w:color="auto"/>
            <w:bottom w:val="none" w:sz="0" w:space="0" w:color="auto"/>
            <w:right w:val="none" w:sz="0" w:space="0" w:color="auto"/>
          </w:divBdr>
        </w:div>
        <w:div w:id="310065426">
          <w:marLeft w:val="0"/>
          <w:marRight w:val="120"/>
          <w:marTop w:val="0"/>
          <w:marBottom w:val="0"/>
          <w:divBdr>
            <w:top w:val="none" w:sz="0" w:space="0" w:color="auto"/>
            <w:left w:val="none" w:sz="0" w:space="0" w:color="auto"/>
            <w:bottom w:val="none" w:sz="0" w:space="0" w:color="auto"/>
            <w:right w:val="none" w:sz="0" w:space="0" w:color="auto"/>
          </w:divBdr>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footer" Target="footer29.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image" Target="media/image2.png"/><Relationship Id="rId95" Type="http://schemas.openxmlformats.org/officeDocument/2006/relationships/theme" Target="theme/theme1.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eader" Target="header50.xml"/><Relationship Id="rId93"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header" Target="header52.xml"/><Relationship Id="rId91" Type="http://schemas.openxmlformats.org/officeDocument/2006/relationships/header" Target="header5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1.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header" Target="header54.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footer" Target="footer28.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9996</Words>
  <Characters>56983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2023-10-19T09:04:00Z</dcterms:created>
  <dcterms:modified xsi:type="dcterms:W3CDTF">2023-10-19T09:04:00Z</dcterms:modified>
</cp:coreProperties>
</file>