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60"/>
        <w:jc w:val="center"/>
      </w:pPr>
      <w:r>
        <w:rPr>
          <w:rFonts w:ascii="Times New Roman" w:eastAsia="Microsoft YaHei" w:hAnsi="Times New Roman"/>
          <w:b/>
          <w:bCs/>
          <w:sz w:val="44"/>
          <w:szCs w:val="44"/>
        </w:rPr>
        <w:t xml:space="preserve">吉林公司灵畿科研平台整体使用情况说明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为深入落实集团数智赋能行动要求，加快灵畿科研平台在吉林公司的推广应用，灵畿运营团队自2026年4月起以租户为维度，按周采集开发域用户活跃及研发活动数据（统计范围含省数智化部虚拟中心），形成运营周报并开展分层运营、精准触达。现将平台自推广以来特别是近期的整体使用情况说明如下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一、总体运营情况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截至2026年10月18日当周（统计周期2026年10月12日至10月18日），吉林公司灵畿平台周活跃用户（WAU）35人，在各省专单位中排名第24位；周研发活动指数67.74，排名第9位，处于全国上游水平。平台已沉淀代码总量约9972万行（99,722,051行），累计制品272,764个，累计构建8,577次，流水线执行5,102次，初始需求352个，制品分发403次，平台整体研发资产规模持续扩大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从近三个月走势看，研发活动指数由9月中旬55.81的阶段性低点（排名第17位）回升至67.74（排名第9位），重回全国上游梯队，表明平台研发活动的活跃度和综合质量稳步向好。但用户活跃规模与研发活动指数表现不够匹配，用户活跃度近期连续回落，平台深度、全员使用仍有较大提升空间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二、项目入驻情况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2026年吉林公司已立项研发项目12个，已完成灵畿平台入驻10个，项目入驻率83.33%，尚有2个项目未入驻。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从全年推进过程看，项目入驻工作成效显著：7月上旬入驻率仅33.33%（12个立项、4个入驻），7月下旬一度低至25%；经持续督办推动，8月下旬提升至66.67%，8月底至9月随着立项项目口径调整和入驻攻坚，6个研发项目全部入驻、入驻率达到100%，9月28日当周10个立项项目保持100%入驻。10月以来，因新增立项项目（先后增加至11个、12个）未能同步完成入驻，入驻率先后回落至90.91%、83.33%。总体看，绝大多数立项项目已迁移上平台，但新立项项目的入驻跟进还需加强，需尽快推动剩余2个项目完成入驻，恢复并保持应驻尽驻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三、用户活跃情况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平台用户规模在推广期快速扩大。周活跃用户由7月初的20人增长至8月31日当周的峰值55人（当周环比增长91.3%），此后总体呈回落态势：9月7日当周49人、9月14日当周36人、9月28日当周43人、10月5日当周37人，10月12日当周进一步降至35人，环比下降25%，全国排名第24位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从人员构成看，平台已形成自有人员与外协人员协同使用的格局。最新一周自有人员WAU为16人、外协人员WAU为19人，外协人员已成为当前平台活跃主力；而在9月以前的多数周次，自有人员为活跃主体（如8月31日当周自有34人、外协21人）。外协人员占比长期较高，部分周次接近或超过50%，但其使用稳定性较弱、波动较大，是近期用户活跃度连续下滑的主要原因。全国排名长期在第11位至第25位之间波动，用户活跃的持续性、全员覆盖程度有待提升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四、平台研发活动开展情况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平台承载的研发活动总体活跃，研发活动指数在全国排名靠前且近期明显回升。7月以来，研发活动指数多数周次保持在70分以上，其中7月6日当周达到81.29、排名第4位，8月17日当周为80.16、排名第7位；9月上旬受用户活跃回落等因素影响，指数一度降至54.68、排名第17位，经过运营推动已逐步回升至最新的67.74、排名第9位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从各项研发活动累计数据看，需求管理、代码开发、构建与流水线执行是平台使用最为活跃的环节。最新一周初始需求累计352个、单周新增109个，代码总行数9972万行、单周新增约265万行，制品累计272,764个、单周新增108个，构建累计8,577次、单周新增208次，流水线执行累计5,102次、单周新增93次，制品分发累计403次。需求按时完成率持续保持100%，超期需求数长期稳定在4个，需求交付的时效管控情况良好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同时也要看到，平台各能力模块使用不均衡的问题较为突出：编写用例数长期停留在209个、缺陷数92个，最近多周均无新增；代码扫描次数在试点项目中连续多周为0；部署次数长期仅为4次。研发团队主要在平台上开展需求、代码、构建和流水线相关操作，测试管理、缺陷管理、代码安全扫描、生产部署等环节使用明显不足，距离研发业务全流程在线闭环管理仍有差距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五、研发交付与质量情况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在持续交付环节，平台表现稳定可靠。持续交付成功率（CD及制品分发环节）由8月底的94.85%稳步提升至9月的97.2%、98.04%，最新一周达到98.28%，制品分发次数也由7月的0次增长至403次，说明一旦制品构建成功，其分发、上线环节运行平稳，平台交付底座具备较好的稳定性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但在前端构建和流水线执行环节，成功率长期偏低，是当前效能短板。8月平台使用初期，构建成功率约为68%至69%、流水线成功率在69%至100%区间；进入9月后，随着流水线执行次数由月中的十余次快速增长至数千次，构建成功率降至20%至28%、流水线成功率仅为6%至11%。最新一周构建成功率为18.36%、流水线成功率为7.17%。经分析，问题主要集中在代码提交、构建触发和流水线脚本配置等前端环节，而非部署环境，大量构建资源被消耗在失败尝试上，既影响研发效率，也造成计算资源浪费。此外，构建次数、制品数持续增长而部署次数长期仅4次，反映出大量构建产物未流转至上线环节，持续部署能力和“构建—部署”链路贯通仍需加强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六、AI Coding使用情况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AI辅助编码是平台使用成效最为突出的能力领域，呈现出“采纳率极高、存量用户深度使用、调用规模持续增长”的特点。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从使用规模看，AI Coding周活跃用户由7月的9至17人增长，8月31日当周达到峰值25人（环比增长127.27%），此后逐步回落，最新一周为8人、环比下降11.11%。与此同时，AI+调用次数由6月的单周约5千次增长至最新一周的30,969次，Token使用量由约1.3亿增长至11.11亿，代码生成有效总行数累计达529,809行、代码采纳有效总行数525,259行，调用量、生成代码量仍在持续增长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从使用质量看，AI代码采纳率由6月的85.17%稳步提升，7月达到93%至97%，8月以来连续多周保持在98.9%以上，最新一周为99.14%，近乎满分，表明AI生成代码的质量和一线研发人员的接受度极高，AI赋能研发的落地效果显著。但活跃用户人数与调用规模呈现“反向”走势——活跃用户收缩而人均调用强度增大，说明当前AI Coding主要由少量存量用户重度使用，用户覆盖面和新用户留存需要重点关注。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七、试点项目使用情况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吉林省平台深度使用试点项目为《吉林移动BOSS系统续保和自助终端软件现场定制开发技术服务》。近三周该项目的使用数据如下：9月28日当周，开发域周活跃用户1人，研发活动指数581.12，新增构建305次、制品分发19次、代码90行，无新增需求、无代码扫描；10月5日当周，周活跃用户1人，研发活动指数1160.46，新增构建608次、制品46个、流水线成功35次，无新增需求、无代码扫描；10月12日当周，周活跃用户增至2人，研发活动指数90.36，新增构建36次、制品36个、流水线成功31次，仍无新增需求、无代码扫描。</w:t>
      </w:r>
    </w:p>
    <w:p>
      <w:pPr>
        <w:spacing w:after="80" w:line="400"/>
        <w:ind w:firstLine="48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总体看，试点项目研发人员仅1至2人，参与面较窄；构建、制品、流水线等操作已有一定使用，但周新增需求、代码扫描持续为0，研发活动规模波动较大，平台使用的深度和规范性不足。根据集团《关于深入推进数智赋能行动工作进展情况的通报》下一步要求，后续通报将展示CRM/BOSS项目使用情况，亟需加快吉林公司CRM/BOSS项目全流程穿测和深度使用，并推动试点项目组全员深度使用平台各类能力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八、存在的主要问题</w:t>
      </w:r>
    </w:p>
    <w:p>
      <w:pPr>
        <w:pStyle w:val="ListParagraph"/>
        <w:numPr>
          <w:ilvl w:val="0"/>
          <w:numId w:val="2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用户活跃度连续回落。WAU已由峰值55人降至35人，外协人员占比高但稳定性弱，是活跃下滑的主要原因；用户活跃全国排名（第24位）与研发活动指数排名（第9位）不够匹配，全员常态化使用的氛围尚未形成。</w:t>
      </w:r>
    </w:p>
    <w:p>
      <w:pPr>
        <w:pStyle w:val="ListParagraph"/>
        <w:numPr>
          <w:ilvl w:val="0"/>
          <w:numId w:val="2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构建和流水线质量偏低。最新一周构建成功率仅18.36%、流水线成功率仅7.17%，大量构建和流水线执行失败，研发资源浪费在无效尝试上。</w:t>
      </w:r>
    </w:p>
    <w:p>
      <w:pPr>
        <w:pStyle w:val="ListParagraph"/>
        <w:numPr>
          <w:ilvl w:val="0"/>
          <w:numId w:val="2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全流程闭环尚未形成。部署次数长期仅4次，大量构建产物未进入上线环节；测试用例、缺陷管理、代码扫描等模块基本没有新增使用，平台能力使用不均衡。</w:t>
      </w:r>
    </w:p>
    <w:p>
      <w:pPr>
        <w:pStyle w:val="ListParagraph"/>
        <w:numPr>
          <w:ilvl w:val="0"/>
          <w:numId w:val="2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AI Coding使用面偏窄。活跃用户收缩至8人，高价值能力集中于少数用户，使用扩面和用户留存不足。</w:t>
      </w:r>
    </w:p>
    <w:p>
      <w:pPr>
        <w:pStyle w:val="ListParagraph"/>
        <w:numPr>
          <w:ilvl w:val="0"/>
          <w:numId w:val="2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项目入驻和试点深度仍有欠账。2026年立项项目中仍有2个未入驻；BOSS试点项目参与人员少，需求、扫描等环节未在线开展，深度使用有待加强。</w:t>
      </w:r>
    </w:p>
    <w:p>
      <w:pPr>
        <w:pStyle w:val="Heading1"/>
        <w:spacing w:after="160" w:before="280" w:line="36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九、下一步工作措施</w:t>
      </w:r>
    </w:p>
    <w:p>
      <w:pPr>
        <w:pStyle w:val="ListParagraph"/>
        <w:numPr>
          <w:ilvl w:val="0"/>
          <w:numId w:val="3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攻坚项目入驻。对照2026年已立项研发项目清单，推动剩余2个未入驻项目限期完成平台入驻，确保立项项目应驻尽驻、入驻率恢复至100%。</w:t>
      </w:r>
    </w:p>
    <w:p>
      <w:pPr>
        <w:pStyle w:val="ListParagraph"/>
        <w:numPr>
          <w:ilvl w:val="0"/>
          <w:numId w:val="3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稳定和扩大用户活跃。落实合作伙伴账号开通、登录与认证指引，推动外协人员常态化、规范化使用平台；发挥自有研发人员示范带动作用，自有与外协协同发力，力争周活跃规模和全国排名稳步提升。</w:t>
      </w:r>
    </w:p>
    <w:p>
      <w:pPr>
        <w:pStyle w:val="ListParagraph"/>
        <w:numPr>
          <w:ilvl w:val="0"/>
          <w:numId w:val="3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专项治理构建和流水线质量。联合灵畿运营团队集中排查代码提交、构建触发和流水线脚本配置问题，推动构建成功率、流水线成功率回升，减少无效构建和资源消耗，同时提高持续部署环节使用频次，打通“构建—部署—上线”链路。</w:t>
      </w:r>
    </w:p>
    <w:p>
      <w:pPr>
        <w:pStyle w:val="ListParagraph"/>
        <w:numPr>
          <w:ilvl w:val="0"/>
          <w:numId w:val="3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扩大AI Coding应用覆盖面。在保持99%以上高代码采纳率的基础上，针对未使用和低频使用团队开展培训推广和精准触达，扩大AI Coding活跃用户规模，提升新用户留存。</w:t>
      </w:r>
    </w:p>
    <w:p>
      <w:pPr>
        <w:pStyle w:val="ListParagraph"/>
        <w:numPr>
          <w:ilvl w:val="0"/>
          <w:numId w:val="3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推进研发全流程在线闭环。补齐测试用例管理、缺陷管理、代码安全扫描、生产部署等环节使用短板，推动需求、开发、构建、测试、部署、运维全流程在平台线上运行；按照集团通报要求，加快CRM/BOSS项目全流程穿测。</w:t>
      </w:r>
    </w:p>
    <w:p>
      <w:pPr>
        <w:pStyle w:val="ListParagraph"/>
        <w:numPr>
          <w:ilvl w:val="0"/>
          <w:numId w:val="3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深化试点项目应用。推动BOSS系统续保和自助终端定制开发试点项目组全员深度使用平台，将新增需求、代码扫描等研发活动全部纳入平台开展，发挥试点示范效应。</w:t>
      </w:r>
    </w:p>
    <w:p>
      <w:pPr>
        <w:pStyle w:val="ListParagraph"/>
        <w:numPr>
          <w:ilvl w:val="0"/>
          <w:numId w:val="3"/>
        </w:numPr>
        <w:spacing w:after="80" w:line="400"/>
        <w:jc w:val="both"/>
      </w:pPr>
      <w:r>
        <w:rPr>
          <w:rFonts w:ascii="Times New Roman" w:eastAsia="Microsoft YaHei" w:hAnsi="Times New Roman"/>
          <w:sz w:val="24"/>
          <w:szCs w:val="24"/>
        </w:rPr>
        <w:t xml:space="preserve">健全常态化运营机制。坚持以运营周报数据为抓手开展周复盘和精准触达，各接口人协同推进；使用中的平台支撑和问题协调，及时通过MOA支撑群、平台工单或灵畿团队解决，共同引导本单位用户多用平台、用好平台，充分发挥平台价值。</w:t>
      </w:r>
    </w:p>
    <w:p>
      <w:pPr>
        <w:spacing w:before="480"/>
        <w:jc w:val="right"/>
      </w:pPr>
      <w:r>
        <w:rPr>
          <w:rFonts w:ascii="Times New Roman" w:eastAsia="Microsoft YaHei" w:hAnsi="Times New Roman"/>
          <w:sz w:val="24"/>
          <w:szCs w:val="24"/>
        </w:rPr>
        <w:t xml:space="preserve">吉林公司灵畿平台</w:t>
      </w:r>
    </w:p>
    <w:p>
      <w:pPr>
        <w:jc w:val="right"/>
      </w:pPr>
      <w:r>
        <w:rPr>
          <w:rFonts w:ascii="Times New Roman" w:eastAsia="Microsoft YaHei" w:hAnsi="Times New Roman"/>
          <w:sz w:val="24"/>
          <w:szCs w:val="24"/>
        </w:rPr>
        <w:t xml:space="preserve">2026年10月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Microsoft YaHei" w:hAnsi="Times New Roman"/>
        <w:sz w:val="20"/>
        <w:szCs w:val="20"/>
      </w:rPr>
      <w:fldChar w:fldCharType="begin"/>
    </w:r>
    <w:r>
      <w:rPr>
        <w:rFonts w:ascii="Times New Roman" w:eastAsia="Microsoft YaHei" w:hAnsi="Times New Roman"/>
        <w:sz w:val="20"/>
        <w:szCs w:val="20"/>
      </w:rPr>
      <w:instrText xml:space="preserve">PAGE</w:instrText>
    </w:r>
    <w:r>
      <w:rPr>
        <w:rFonts w:ascii="Times New Roman" w:eastAsia="Microsoft YaHei" w:hAnsi="Times New Roman"/>
        <w:sz w:val="20"/>
        <w:szCs w:val="20"/>
      </w:rPr>
      <w:fldChar w:fldCharType="separate"/>
    </w:r>
    <w:r>
      <w:rPr>
        <w:rFonts w:ascii="Times New Roman" w:eastAsia="Microsoft YaHei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80"/>
      <w:outlineLvl w:val="0"/>
    </w:pPr>
    <w:rPr>
      <w:rFonts w:ascii="Times New Roman" w:eastAsia="Microsoft YaHei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Times New Roman" w:eastAsia="Microsoft YaHei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2026-10-23T09:00:31.507Z</dcterms:created>
  <dcterms:modified xsi:type="dcterms:W3CDTF">2026-10-23T09:00:31.508Z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