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共享电桩小程序需求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小程序用户端：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定位附近充电站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gps定位当前用户位置，显示地图，地图上带电桩位置，点击电桩进入电桩详情页。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支持模糊搜索，搜索出电桩列表，点进去显示电桩详情，电桩号，电桩位置，名称，状态，价格（每小时多少钱）交流，直流。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客户进入电桩详情页，显示电桩与自己的距离，点击导航调用第三方地图进行导航。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到达电桩位置，选择电桩扫码充电，或者输入电桩号码充电。扫码或输入桩号判断当前电桩状态，如果空闲跳转订单页面，输入充电金额，支付成功，把信息告诉充电桩，如果没有开始充电前台页面提示用户启动失败，用户可以选择重连，继续与电桩通信看是否能冲上电，（可能存在客户没插枪的情况就不会放电）。如果充电对接完成，开始充电计时，显示实时冲电度数以及时间计时，电桩状态更改。根据客户支付金额计算充电时间，时间结束后断电，更改电桩状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充电完成后给用户提示充电结束。用户可以自行查看订单。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个人中心的历史充电记录，显示历史订单已支付订单，订单说明：订单编号，订单充电时间，电桩地址，桩号，充电时长，金额。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电桩筛选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单、多条件筛选，条件：地区、开放时间，功率。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PC管理后台：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电桩管理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可查看所有电桩信息，所属桩群，电桩详情，电桩号，电桩位置，名称，实时的状态，价格（每小时多少钱）交流，直流。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新增电桩：添加电桩信息，电桩没有GPS功能定位需要后台手动填写，所属桩群地址，图片信息。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更改电桩状态：电桩是否开放，如后台设置不开放用户扫码提示暂时不开放。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删除电桩：删除电桩信息。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修改电桩：对电桩，桩群信息修改。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电桩价格设置：可以对单独、全部、某些电桩设置价格。如一小时多少钱。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条件查询显示：使用中的电桩、未开放的电桩、空闲中的电桩。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用户列表：显示所有用户，注册时间，充电次数，充电时长。点击某个用户可以查看详细历史充电记录。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拉黑用户：用户被拉黑后不可以进行充电。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取消拉黑：用户恢复身份。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全部订单：显示全部历史订单。订单包括，用户信息，订单编号，订单充电时间，电桩地址，桩号，充电时长，支付金额。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当日订单：显示当日订单以及订单信息。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单、多条件查询：查询某个用户历史订单，查询某个电桩订单，查询某个地区订单。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统计分析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分析每个站的使用情况，统计图显示当日订单，当月订单。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通信方式：</w:t>
      </w:r>
      <w:r>
        <w:rPr>
          <w:rFonts w:hint="eastAsia"/>
          <w:lang w:val="en-US" w:eastAsia="zh-CN"/>
        </w:rPr>
        <w:t>关于与电桩之间的通信，使用HTTP的方式。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1400" cy="2933700"/>
            <wp:effectExtent l="0" t="0" r="0" b="0"/>
            <wp:docPr id="2" name="图片 2" descr="d2b8995294113663f579b00ba2f53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b8995294113663f579b00ba2f533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  <w:r>
        <w:rPr>
          <w:rFonts w:hint="eastAsia" w:ascii="黑体" w:hAnsi="黑体" w:eastAsia="黑体" w:cs="黑体"/>
          <w:sz w:val="28"/>
        </w:rPr>
        <w:t>甲方：                       乙方：</w:t>
      </w:r>
    </w:p>
    <w:p>
      <w:pPr>
        <w:spacing w:line="520" w:lineRule="exact"/>
        <w:ind w:firstLine="560" w:firstLineChars="200"/>
        <w:rPr>
          <w:rFonts w:hint="eastAsia" w:ascii="黑体" w:hAnsi="黑体" w:eastAsia="黑体" w:cs="黑体"/>
          <w:sz w:val="28"/>
        </w:rPr>
      </w:pPr>
      <w:r>
        <w:rPr>
          <w:rFonts w:hint="eastAsia" w:ascii="黑体" w:hAnsi="黑体" w:eastAsia="黑体" w:cs="黑体"/>
          <w:sz w:val="28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</w:rPr>
      </w:pPr>
      <w:r>
        <w:rPr>
          <w:rFonts w:hint="eastAsia" w:ascii="黑体" w:hAnsi="黑体" w:eastAsia="黑体" w:cs="黑体"/>
          <w:sz w:val="28"/>
        </w:rPr>
        <w:t>公司签章：                     公司签章：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线下使用IC卡刷卡进行电桩充电，卡片的充值是由各个代理点使用我们后台给用户卡片充值。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充值入口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后台要增加一个充值入口，由主后台分配账号给各个代理点，代理点使用此账户登陆充值后台给用户进行余额充值，主后台可以看到这些代理点的充值情况。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卡号记录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当代理点给A客户的a卡(卡号123)充值100元时，首先判断卡号是否在数据库存在，如果存在金额累加，如果不存在则录入这个卡号与金额到数据库。</w:t>
      </w:r>
    </w:p>
    <w:p>
      <w:pPr>
        <w:numPr>
          <w:ilvl w:val="0"/>
          <w:numId w:val="0"/>
        </w:numPr>
        <w:ind w:leftChars="0" w:firstLine="42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刷卡充电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在电桩刷卡，电桩请求服务器发送此卡卡号，系统主动接收查询此卡是否存在是否有钱，满足条件开始发送放电指令，定时查询余额如果余额不足停止放电，如果用户停止充电根据电桩返回状态停止扣费。电费价格与微信扫码充电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CBF83"/>
    <w:multiLevelType w:val="singleLevel"/>
    <w:tmpl w:val="8ADCBF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745BE7D"/>
    <w:multiLevelType w:val="singleLevel"/>
    <w:tmpl w:val="1745BE7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AF9FE72"/>
    <w:multiLevelType w:val="singleLevel"/>
    <w:tmpl w:val="1AF9FE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1206"/>
    <w:rsid w:val="039E4670"/>
    <w:rsid w:val="05806E47"/>
    <w:rsid w:val="058E2B88"/>
    <w:rsid w:val="067A625E"/>
    <w:rsid w:val="06846F44"/>
    <w:rsid w:val="08D3497B"/>
    <w:rsid w:val="0A2057B1"/>
    <w:rsid w:val="0B1D1F87"/>
    <w:rsid w:val="0B3E1C15"/>
    <w:rsid w:val="0D6A01D3"/>
    <w:rsid w:val="0E3271BD"/>
    <w:rsid w:val="0ECE10E4"/>
    <w:rsid w:val="11FC1011"/>
    <w:rsid w:val="12111A6D"/>
    <w:rsid w:val="144B6BED"/>
    <w:rsid w:val="14D411BA"/>
    <w:rsid w:val="15F51875"/>
    <w:rsid w:val="16535C79"/>
    <w:rsid w:val="182605C0"/>
    <w:rsid w:val="184014C7"/>
    <w:rsid w:val="1AB97F3B"/>
    <w:rsid w:val="1C4F01A6"/>
    <w:rsid w:val="1D381F47"/>
    <w:rsid w:val="1D9B7679"/>
    <w:rsid w:val="2853451F"/>
    <w:rsid w:val="2A320100"/>
    <w:rsid w:val="2C374711"/>
    <w:rsid w:val="302C2B05"/>
    <w:rsid w:val="309B6EB4"/>
    <w:rsid w:val="31C3723B"/>
    <w:rsid w:val="341E12C1"/>
    <w:rsid w:val="35185E8C"/>
    <w:rsid w:val="35C53DCF"/>
    <w:rsid w:val="37241660"/>
    <w:rsid w:val="37BF79AA"/>
    <w:rsid w:val="38486376"/>
    <w:rsid w:val="39090351"/>
    <w:rsid w:val="39276840"/>
    <w:rsid w:val="3AC50A89"/>
    <w:rsid w:val="3B841181"/>
    <w:rsid w:val="3B8F2CB8"/>
    <w:rsid w:val="3CF07A85"/>
    <w:rsid w:val="4040020A"/>
    <w:rsid w:val="41EA57B2"/>
    <w:rsid w:val="46130B75"/>
    <w:rsid w:val="47DC7194"/>
    <w:rsid w:val="4A64310A"/>
    <w:rsid w:val="4CD8775B"/>
    <w:rsid w:val="4DDD3FC7"/>
    <w:rsid w:val="504C0122"/>
    <w:rsid w:val="588B1328"/>
    <w:rsid w:val="58D71A6F"/>
    <w:rsid w:val="58F2126A"/>
    <w:rsid w:val="5B901707"/>
    <w:rsid w:val="5C4F3B4A"/>
    <w:rsid w:val="61865F60"/>
    <w:rsid w:val="6310014E"/>
    <w:rsid w:val="63B35CEA"/>
    <w:rsid w:val="63E56B0D"/>
    <w:rsid w:val="63FE126C"/>
    <w:rsid w:val="665D3F69"/>
    <w:rsid w:val="67FD06E1"/>
    <w:rsid w:val="6A101E80"/>
    <w:rsid w:val="6A903551"/>
    <w:rsid w:val="6AD9180E"/>
    <w:rsid w:val="6C562C24"/>
    <w:rsid w:val="6D0E7E62"/>
    <w:rsid w:val="6F3E3311"/>
    <w:rsid w:val="6FF478D0"/>
    <w:rsid w:val="71CC00E1"/>
    <w:rsid w:val="72340B76"/>
    <w:rsid w:val="72B73B04"/>
    <w:rsid w:val="7855353F"/>
    <w:rsid w:val="7862032E"/>
    <w:rsid w:val="78CB2B3C"/>
    <w:rsid w:val="79CD0AB0"/>
    <w:rsid w:val="7AB451F2"/>
    <w:rsid w:val="7B1700D9"/>
    <w:rsid w:val="7B487388"/>
    <w:rsid w:val="7D2D06CE"/>
    <w:rsid w:val="7E57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wangw</dc:creator>
  <cp:lastModifiedBy>追逐1385646334</cp:lastModifiedBy>
  <dcterms:modified xsi:type="dcterms:W3CDTF">2019-06-11T01:44:15Z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