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pStyle w:val="Title"/>
        <w:jc w:val="center"/>
      </w:pPr>
      <w:r>
        <w:t>Language Mechanics 1.0</w:t>
      </w:r>
    </w:p>
    <w:p>
      <w:pPr>
        <w:pStyle w:val="Subtitle"/>
        <w:jc w:val="center"/>
      </w:pPr>
      <w:r>
        <w:t>Ten Testable Predictions and a Phase One Research Protocol</w:t>
      </w:r>
    </w:p>
    <w:p>
      <w:pPr>
        <w:spacing w:after="600"/>
        <w:jc w:val="center"/>
      </w:pPr>
      <w:r>
        <w:rPr>
          <w:rFonts w:ascii="Aptos" w:hAnsi="Aptos"/>
          <w:i/>
        </w:rPr>
        <w:t>From World Dynamics to Articulatory Action and Lexical Semantics</w:t>
      </w:r>
    </w:p>
    <w:p>
      <w:pPr>
        <w:spacing w:after="720"/>
        <w:jc w:val="center"/>
      </w:pPr>
      <w:r>
        <w:rPr>
          <w:rFonts w:ascii="Aptos" w:hAnsi="Aptos"/>
          <w:i w:val="0"/>
        </w:rPr>
        <w:t>A falsifiable research program for testing systematic relations among speech movement, phonological form, morphology, and meaning.</w:t>
      </w:r>
    </w:p>
    <w:p>
      <w:pPr>
        <w:jc w:val="center"/>
      </w:pPr>
      <w:r>
        <w:rPr>
          <w:rFonts w:ascii="Aptos" w:hAnsi="Aptos"/>
          <w:b/>
        </w:rPr>
        <w:t>Author:</w:t>
      </w:r>
      <w:r>
        <w:rPr>
          <w:rFonts w:ascii="Aptos" w:hAnsi="Aptos"/>
        </w:rPr>
        <w:t xml:space="preserve"> Sun Zhen</w:t>
      </w:r>
    </w:p>
    <w:p>
      <w:pPr>
        <w:jc w:val="center"/>
      </w:pPr>
      <w:r>
        <w:rPr>
          <w:rFonts w:ascii="Aptos" w:hAnsi="Aptos"/>
          <w:b/>
        </w:rPr>
        <w:t>Version:</w:t>
      </w:r>
      <w:r>
        <w:rPr>
          <w:rFonts w:ascii="Aptos" w:hAnsi="Aptos"/>
        </w:rPr>
        <w:t xml:space="preserve"> 1.0 · September 2026</w:t>
      </w:r>
    </w:p>
    <w:p>
      <w:r>
        <w:br w:type="page"/>
      </w:r>
    </w:p>
    <w:p>
      <w:pPr>
        <w:pStyle w:val="Heading1"/>
      </w:pPr>
      <w:r>
        <w:t>1. Research Conclusion and Task</w:t>
      </w:r>
    </w:p>
    <w:p>
      <w:r>
        <w:rPr>
          <w:rFonts w:ascii="Aptos" w:hAnsi="Aptos"/>
          <w:i w:val="0"/>
        </w:rPr>
        <w:t>Language Mechanics is proposed as a testable framework, not as a claim that every word can be decoded from sound alone. Its central hypothesis is that recurring articulatory and acoustic patterns may exert probabilistic biases on semantic organization, while etymology, morphology, analogy, borrowing, and cultural convention remain essential causal forces.</w:t>
      </w:r>
    </w:p>
    <w:p>
      <w:r>
        <w:rPr>
          <w:rFonts w:ascii="Aptos" w:hAnsi="Aptos"/>
          <w:i w:val="0"/>
        </w:rPr>
        <w:t>The immediate task is to freeze a limited set of predictions, specify measurable variables, preregister failure criteria, and test the system against matched controls and held-out data. The framework earns scientific value only when it produces replicable predictions that outperform simpler baselines.</w:t>
      </w:r>
    </w:p>
    <w:p>
      <w:pPr>
        <w:pStyle w:val="Heading1"/>
      </w:pPr>
      <w:r>
        <w:t>2. Theoretical Architecture</w:t>
      </w:r>
    </w:p>
    <w:tbl>
      <w:tblPr>
        <w:tblW w:type="auto" w:w="0"/>
        <w:jc w:val="center"/>
        <w:tblLayout w:type="fixed"/>
        <w:tblLook w:firstColumn="1" w:firstRow="1" w:lastColumn="0" w:lastRow="0" w:noHBand="0" w:noVBand="1" w:val="04A0"/>
      </w:tblPr>
      <w:tblGrid>
        <w:gridCol w:w="3331"/>
        <w:gridCol w:w="3331"/>
        <w:gridCol w:w="3331"/>
      </w:tblGrid>
      <w:tr>
        <w:trPr>
          <w:trHeight w:val="440"/>
          <w:tblHeader w:val="true"/>
          <w:cantSplit/>
        </w:trPr>
        <w:tc>
          <w:tcPr>
            <w:tcW w:type="dxa" w:w="1699"/>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Layer</w:t>
            </w:r>
          </w:p>
        </w:tc>
        <w:tc>
          <w:tcPr>
            <w:tcW w:type="dxa" w:w="4579"/>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Proposed role</w:t>
            </w:r>
          </w:p>
        </w:tc>
        <w:tc>
          <w:tcPr>
            <w:tcW w:type="dxa" w:w="3384"/>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Primary observable</w:t>
            </w:r>
          </w:p>
        </w:tc>
      </w:tr>
      <w:tr>
        <w:trPr>
          <w:cantSplit/>
        </w:trPr>
        <w:tc>
          <w:tcPr>
            <w:tcW w:type="dxa" w:w="1699"/>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World dynamics</w:t>
            </w:r>
          </w:p>
        </w:tc>
        <w:tc>
          <w:tcPr>
            <w:tcW w:type="dxa" w:w="4579"/>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Motion, contact, flow, boundary, growth, return, containment</w:t>
            </w:r>
          </w:p>
        </w:tc>
        <w:tc>
          <w:tcPr>
            <w:tcW w:type="dxa" w:w="3384"/>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Semantic features and event structure</w:t>
            </w:r>
          </w:p>
        </w:tc>
      </w:tr>
      <w:tr>
        <w:trPr>
          <w:cantSplit/>
        </w:trPr>
        <w:tc>
          <w:tcPr>
            <w:tcW w:type="dxa" w:w="1699"/>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Embodied action</w:t>
            </w:r>
          </w:p>
        </w:tc>
        <w:tc>
          <w:tcPr>
            <w:tcW w:type="dxa" w:w="4579"/>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Recurring sensorimotor patterns available to speakers</w:t>
            </w:r>
          </w:p>
        </w:tc>
        <w:tc>
          <w:tcPr>
            <w:tcW w:type="dxa" w:w="3384"/>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Ratings, imagery, response choices</w:t>
            </w:r>
          </w:p>
        </w:tc>
      </w:tr>
      <w:tr>
        <w:trPr>
          <w:cantSplit/>
        </w:trPr>
        <w:tc>
          <w:tcPr>
            <w:tcW w:type="dxa" w:w="1699"/>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Articulation</w:t>
            </w:r>
          </w:p>
        </w:tc>
        <w:tc>
          <w:tcPr>
            <w:tcW w:type="dxa" w:w="4579"/>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Constriction, closure, release, friction, vibration, tongue path</w:t>
            </w:r>
          </w:p>
        </w:tc>
        <w:tc>
          <w:tcPr>
            <w:tcW w:type="dxa" w:w="3384"/>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Phonetic features and gestures</w:t>
            </w:r>
          </w:p>
        </w:tc>
      </w:tr>
      <w:tr>
        <w:trPr>
          <w:cantSplit/>
        </w:trPr>
        <w:tc>
          <w:tcPr>
            <w:tcW w:type="dxa" w:w="1699"/>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Phonological form</w:t>
            </w:r>
          </w:p>
        </w:tc>
        <w:tc>
          <w:tcPr>
            <w:tcW w:type="dxa" w:w="4579"/>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Vowels, consonants, syllables, stress, sequencing</w:t>
            </w:r>
          </w:p>
        </w:tc>
        <w:tc>
          <w:tcPr>
            <w:tcW w:type="dxa" w:w="3384"/>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IPA / phoneme representation</w:t>
            </w:r>
          </w:p>
        </w:tc>
      </w:tr>
      <w:tr>
        <w:trPr>
          <w:cantSplit/>
        </w:trPr>
        <w:tc>
          <w:tcPr>
            <w:tcW w:type="dxa" w:w="1699"/>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Morphology</w:t>
            </w:r>
          </w:p>
        </w:tc>
        <w:tc>
          <w:tcPr>
            <w:tcW w:type="dxa" w:w="4579"/>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Prefixes redirect; roots organize cores; suffixes type outcomes</w:t>
            </w:r>
          </w:p>
        </w:tc>
        <w:tc>
          <w:tcPr>
            <w:tcW w:type="dxa" w:w="3384"/>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Morpheme boundaries and derivations</w:t>
            </w:r>
          </w:p>
        </w:tc>
      </w:tr>
      <w:tr>
        <w:trPr>
          <w:cantSplit/>
        </w:trPr>
        <w:tc>
          <w:tcPr>
            <w:tcW w:type="dxa" w:w="1699"/>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Lexical semantics</w:t>
            </w:r>
          </w:p>
        </w:tc>
        <w:tc>
          <w:tcPr>
            <w:tcW w:type="dxa" w:w="4579"/>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Conventional meanings shaped by history and usage</w:t>
            </w:r>
          </w:p>
        </w:tc>
        <w:tc>
          <w:tcPr>
            <w:tcW w:type="dxa" w:w="3384"/>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Sense definitions, annotations, embeddings</w:t>
            </w:r>
          </w:p>
        </w:tc>
      </w:tr>
    </w:tbl>
    <w:p>
      <w:pPr>
        <w:spacing w:after="0"/>
      </w:pPr>
    </w:p>
    <w:p>
      <w:r>
        <w:rPr>
          <w:rFonts w:ascii="Aptos" w:hAnsi="Aptos"/>
          <w:i w:val="0"/>
        </w:rPr>
        <w:t>The proposal is directional and probabilistic: articulatory form may bias meaning, but it does not determine it. Any effect must survive controls for word family, etymology, frequency, phonotactics, part of speech, and semantic relatedness.</w:t>
      </w:r>
    </w:p>
    <w:p>
      <w:pPr>
        <w:pStyle w:val="Heading1"/>
      </w:pPr>
      <w:r>
        <w:t>3. Terms and Boundaries</w:t>
      </w:r>
    </w:p>
    <w:p>
      <w:pPr>
        <w:pStyle w:val="ListBullet"/>
        <w:spacing w:after="44"/>
      </w:pPr>
      <w:r>
        <w:rPr>
          <w:rFonts w:ascii="Aptos" w:hAnsi="Aptos"/>
          <w:sz w:val="18"/>
        </w:rPr>
        <w:t>A phoneme is a contrastive sound category; a gesture is an articulatory action; a grapheme is a written symbol. Predictions must be defined phonologically, not inferred from spelling alone.</w:t>
      </w:r>
    </w:p>
    <w:p>
      <w:pPr>
        <w:pStyle w:val="ListBullet"/>
        <w:spacing w:after="44"/>
      </w:pPr>
      <w:r>
        <w:rPr>
          <w:rFonts w:ascii="Aptos" w:hAnsi="Aptos"/>
          <w:sz w:val="18"/>
        </w:rPr>
        <w:t>A root is a historically or synchronically identifiable lexical base. A sound resemblance is not evidence of shared ancestry.</w:t>
      </w:r>
    </w:p>
    <w:p>
      <w:pPr>
        <w:pStyle w:val="ListBullet"/>
        <w:spacing w:after="44"/>
      </w:pPr>
      <w:r>
        <w:rPr>
          <w:rFonts w:ascii="Aptos" w:hAnsi="Aptos"/>
          <w:sz w:val="18"/>
        </w:rPr>
        <w:t>A phonestheme is a recurring sound–meaning association that may cross etymological families; it is weaker than a morpheme and must be tested statistically.</w:t>
      </w:r>
    </w:p>
    <w:p>
      <w:pPr>
        <w:pStyle w:val="ListBullet"/>
        <w:spacing w:after="44"/>
      </w:pPr>
      <w:r>
        <w:rPr>
          <w:rFonts w:ascii="Aptos" w:hAnsi="Aptos"/>
          <w:sz w:val="18"/>
        </w:rPr>
        <w:t>A semantic dimension is an operational rating scale or coded feature. Broad poetic labels are admissible only after conversion into measurable variables.</w:t>
      </w:r>
    </w:p>
    <w:p>
      <w:pPr>
        <w:pStyle w:val="ListBullet"/>
        <w:spacing w:after="44"/>
      </w:pPr>
      <w:r>
        <w:rPr>
          <w:rFonts w:ascii="Aptos" w:hAnsi="Aptos"/>
          <w:sz w:val="18"/>
        </w:rPr>
        <w:t>Chance resemblance, nursery forms, onomatopoeia, borrowing, and cognacy are competing explanations, not inconvenient exceptions.</w:t>
      </w:r>
    </w:p>
    <w:p>
      <w:pPr>
        <w:pStyle w:val="Heading1"/>
      </w:pPr>
      <w:r>
        <w:t>4. Ten Frozen Predictions</w:t>
      </w:r>
    </w:p>
    <w:tbl>
      <w:tblPr>
        <w:tblW w:type="auto" w:w="0"/>
        <w:jc w:val="center"/>
        <w:tblLayout w:type="fixed"/>
        <w:tblLook w:firstColumn="1" w:firstRow="1" w:lastColumn="0" w:lastRow="0" w:noHBand="0" w:noVBand="1" w:val="04A0"/>
      </w:tblPr>
      <w:tblGrid>
        <w:gridCol w:w="3331"/>
        <w:gridCol w:w="3331"/>
        <w:gridCol w:w="3331"/>
      </w:tblGrid>
      <w:tr>
        <w:trPr>
          <w:trHeight w:val="440"/>
          <w:tblHeader w:val="true"/>
          <w:cantSplit/>
        </w:trPr>
        <w:tc>
          <w:tcPr>
            <w:tcW w:type="dxa" w:w="2088"/>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Prediction</w:t>
            </w:r>
          </w:p>
        </w:tc>
        <w:tc>
          <w:tcPr>
            <w:tcW w:type="dxa" w:w="4536"/>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Directional claim</w:t>
            </w:r>
          </w:p>
        </w:tc>
        <w:tc>
          <w:tcPr>
            <w:tcW w:type="dxa" w:w="3240"/>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Predefined failure condition</w:t>
            </w:r>
          </w:p>
        </w:tc>
      </w:tr>
      <w:tr>
        <w:trPr>
          <w:cantSplit/>
        </w:trPr>
        <w:tc>
          <w:tcPr>
            <w:tcW w:type="dxa" w:w="2088"/>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P1 · L — Linear Extension</w:t>
            </w:r>
          </w:p>
        </w:tc>
        <w:tc>
          <w:tcPr>
            <w:tcW w:type="dxa" w:w="4536"/>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Words containing /l/ will receive higher ratings for length, extension, flow, and continuous path than matched words without /l/.</w:t>
            </w:r>
          </w:p>
        </w:tc>
        <w:tc>
          <w:tcPr>
            <w:tcW w:type="dxa" w:w="3240"/>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The effect is near zero or reverses after frequency, family, phonotactic, and etymological controls.</w:t>
            </w:r>
          </w:p>
        </w:tc>
      </w:tr>
      <w:tr>
        <w:trPr>
          <w:cantSplit/>
        </w:trPr>
        <w:tc>
          <w:tcPr>
            <w:tcW w:type="dxa" w:w="2088"/>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P2 · R — Curvature and Return</w:t>
            </w:r>
          </w:p>
        </w:tc>
        <w:tc>
          <w:tcPr>
            <w:tcW w:type="dxa" w:w="4536"/>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Words containing /r/ will receive higher ratings for rotation, curvature, return, and directional change.</w:t>
            </w:r>
          </w:p>
        </w:tc>
        <w:tc>
          <w:tcPr>
            <w:tcW w:type="dxa" w:w="3240"/>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The model adds no held-out predictive value, or the effect is driven by only a few lexical families.</w:t>
            </w:r>
          </w:p>
        </w:tc>
      </w:tr>
      <w:tr>
        <w:trPr>
          <w:cantSplit/>
        </w:trPr>
        <w:tc>
          <w:tcPr>
            <w:tcW w:type="dxa" w:w="2088"/>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P3 · L/R — Shape Contrast</w:t>
            </w:r>
          </w:p>
        </w:tc>
        <w:tc>
          <w:tcPr>
            <w:tcW w:type="dxa" w:w="4536"/>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In pseudowords, /l/ forms will be assigned more often to straight or smoothly extending shapes, while /r/ forms will be assigned more often to curved or rotational shapes.</w:t>
            </w:r>
          </w:p>
        </w:tc>
        <w:tc>
          <w:tcPr>
            <w:tcW w:type="dxa" w:w="3240"/>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Choices remain at chance or the contrast fails to reproduce across languages.</w:t>
            </w:r>
          </w:p>
        </w:tc>
      </w:tr>
      <w:tr>
        <w:trPr>
          <w:cantSplit/>
        </w:trPr>
        <w:tc>
          <w:tcPr>
            <w:tcW w:type="dxa" w:w="2088"/>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P4 · BPM — Closure and Containment</w:t>
            </w:r>
          </w:p>
        </w:tc>
        <w:tc>
          <w:tcPr>
            <w:tcW w:type="dxa" w:w="4536"/>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/b p m/ will be associated with body, container, maternal, intake, wrapping, and generation semantics.</w:t>
            </w:r>
          </w:p>
        </w:tc>
        <w:tc>
          <w:tcPr>
            <w:tcW w:type="dxa" w:w="3240"/>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The effect disappears after controlling for nursery vocabulary, kin terms, and cognates.</w:t>
            </w:r>
          </w:p>
        </w:tc>
      </w:tr>
      <w:tr>
        <w:trPr>
          <w:cantSplit/>
        </w:trPr>
        <w:tc>
          <w:tcPr>
            <w:tcW w:type="dxa" w:w="2088"/>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P5 · FV — Channel and Release</w:t>
            </w:r>
          </w:p>
        </w:tc>
        <w:tc>
          <w:tcPr>
            <w:tcW w:type="dxa" w:w="4536"/>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Relative to /b p m/, /f v/ will lean toward friction, outflow, transmission, diffusion, and surface action.</w:t>
            </w:r>
          </w:p>
        </w:tc>
        <w:tc>
          <w:tcPr>
            <w:tcW w:type="dxa" w:w="3240"/>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No directional difference appears within the labial domain.</w:t>
            </w:r>
          </w:p>
        </w:tc>
      </w:tr>
      <w:tr>
        <w:trPr>
          <w:cantSplit/>
        </w:trPr>
        <w:tc>
          <w:tcPr>
            <w:tcW w:type="dxa" w:w="2088"/>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P6 · KG — Hard Contact</w:t>
            </w:r>
          </w:p>
        </w:tc>
        <w:tc>
          <w:tcPr>
            <w:tcW w:type="dxa" w:w="4536"/>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/k g/ will lean toward hardness, collision, cutting, blockage, and condensation rather than softness, continuity, or containment.</w:t>
            </w:r>
          </w:p>
        </w:tc>
        <w:tc>
          <w:tcPr>
            <w:tcW w:type="dxa" w:w="3240"/>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The apparent effect is fully explained by onomatopoeia or shared etymology.</w:t>
            </w:r>
          </w:p>
        </w:tc>
      </w:tr>
      <w:tr>
        <w:trPr>
          <w:cantSplit/>
        </w:trPr>
        <w:tc>
          <w:tcPr>
            <w:tcW w:type="dxa" w:w="2088"/>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P7 · SZ — Sustained Sliding</w:t>
            </w:r>
          </w:p>
        </w:tc>
        <w:tc>
          <w:tcPr>
            <w:tcW w:type="dxa" w:w="4536"/>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/s z/ will lean toward thinness, length, sliding, persistence, and diffusion; /z/ will show more vibration, angular change, or termination than /s/.</w:t>
            </w:r>
          </w:p>
        </w:tc>
        <w:tc>
          <w:tcPr>
            <w:tcW w:type="dxa" w:w="3240"/>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The /s/–/z/ contrast is not reproducible.</w:t>
            </w:r>
          </w:p>
        </w:tc>
      </w:tr>
      <w:tr>
        <w:trPr>
          <w:cantSplit/>
        </w:trPr>
        <w:tc>
          <w:tcPr>
            <w:tcW w:type="dxa" w:w="2088"/>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P8 · AOEIU — Dynamic Phases</w:t>
            </w:r>
          </w:p>
        </w:tc>
        <w:tc>
          <w:tcPr>
            <w:tcW w:type="dxa" w:w="4536"/>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A/O/E/I/U will separately bias toward growth/opening, energy/explosion, stability/support, sharpness/precision, and flow/gestation.</w:t>
            </w:r>
          </w:p>
        </w:tc>
        <w:tc>
          <w:tcPr>
            <w:tcW w:type="dxa" w:w="3240"/>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Each vowel is tested independently; success in one category cannot rescue failure in another.</w:t>
            </w:r>
          </w:p>
        </w:tc>
      </w:tr>
      <w:tr>
        <w:trPr>
          <w:cantSplit/>
        </w:trPr>
        <w:tc>
          <w:tcPr>
            <w:tcW w:type="dxa" w:w="2088"/>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P9 · Prefixes — Direction Operators</w:t>
            </w:r>
          </w:p>
        </w:tc>
        <w:tc>
          <w:tcPr>
            <w:tcW w:type="dxa" w:w="4536"/>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in-/ex-, con-/dis-, pro-/re-, and sub-/super- will consistently alter spatial direction or event structure within shared roots.</w:t>
            </w:r>
          </w:p>
        </w:tc>
        <w:tc>
          <w:tcPr>
            <w:tcW w:type="dxa" w:w="3240"/>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The learned operator fails to generalize to withheld roots.</w:t>
            </w:r>
          </w:p>
        </w:tc>
      </w:tr>
      <w:tr>
        <w:trPr>
          <w:cantSplit/>
        </w:trPr>
        <w:tc>
          <w:tcPr>
            <w:tcW w:type="dxa" w:w="2088"/>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P10 · Suffixes — Outcome Operators</w:t>
            </w:r>
          </w:p>
        </w:tc>
        <w:tc>
          <w:tcPr>
            <w:tcW w:type="dxa" w:w="4536"/>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-tion, -ment, -ive, -ity, -er/-or, -ing, and -ed will predict events, results, properties, participants, and aspectual stages.</w:t>
            </w:r>
          </w:p>
        </w:tc>
        <w:tc>
          <w:tcPr>
            <w:tcW w:type="dxa" w:w="3240"/>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Suffixes add no semantic-type prediction after part-of-speech controls.</w:t>
            </w:r>
          </w:p>
        </w:tc>
      </w:tr>
    </w:tbl>
    <w:p>
      <w:pPr>
        <w:spacing w:after="0"/>
      </w:pPr>
    </w:p>
    <w:p>
      <w:pPr>
        <w:pStyle w:val="Heading1"/>
      </w:pPr>
      <w:r>
        <w:t>5. Operationalizing the Vowel Phases</w:t>
      </w:r>
    </w:p>
    <w:p>
      <w:r>
        <w:rPr>
          <w:rFonts w:ascii="Aptos" w:hAnsi="Aptos"/>
          <w:i w:val="0"/>
        </w:rPr>
        <w:t>The five-phase sequence is treated as a set of independent, falsifiable hypotheses. The labels Wood, Fire, Earth, Metal, and Water are mnemonic theoretical names; the actual measurements are the semantic dimensions below.</w:t>
      </w:r>
    </w:p>
    <w:tbl>
      <w:tblPr>
        <w:tblW w:type="auto" w:w="0"/>
        <w:jc w:val="center"/>
        <w:tblLayout w:type="fixed"/>
        <w:tblLook w:firstColumn="1" w:firstRow="1" w:lastColumn="0" w:lastRow="0" w:noHBand="0" w:noVBand="1" w:val="04A0"/>
      </w:tblPr>
      <w:tblGrid>
        <w:gridCol w:w="3331"/>
        <w:gridCol w:w="3331"/>
        <w:gridCol w:w="3331"/>
      </w:tblGrid>
      <w:tr>
        <w:trPr>
          <w:trHeight w:val="440"/>
          <w:tblHeader w:val="true"/>
          <w:cantSplit/>
        </w:trPr>
        <w:tc>
          <w:tcPr>
            <w:tcW w:type="dxa" w:w="1728"/>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Vowel / phase</w:t>
            </w:r>
          </w:p>
        </w:tc>
        <w:tc>
          <w:tcPr>
            <w:tcW w:type="dxa" w:w="5112"/>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Operational semantic targets</w:t>
            </w:r>
          </w:p>
        </w:tc>
        <w:tc>
          <w:tcPr>
            <w:tcW w:type="dxa" w:w="3096"/>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Required control</w:t>
            </w:r>
          </w:p>
        </w:tc>
      </w:tr>
      <w:tr>
        <w:trPr>
          <w:cantSplit/>
        </w:trPr>
        <w:tc>
          <w:tcPr>
            <w:tcW w:type="dxa" w:w="1728"/>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A · Wood</w:t>
            </w:r>
          </w:p>
        </w:tc>
        <w:tc>
          <w:tcPr>
            <w:tcW w:type="dxa" w:w="5112"/>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Beginning, growth, opening, expansion, upward extension</w:t>
            </w:r>
          </w:p>
        </w:tc>
        <w:tc>
          <w:tcPr>
            <w:tcW w:type="dxa" w:w="3096"/>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Do not equate magnitude alone with growth; control mouth openness.</w:t>
            </w:r>
          </w:p>
        </w:tc>
      </w:tr>
      <w:tr>
        <w:trPr>
          <w:cantSplit/>
        </w:trPr>
        <w:tc>
          <w:tcPr>
            <w:tcW w:type="dxa" w:w="1728"/>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O · Fire</w:t>
            </w:r>
          </w:p>
        </w:tc>
        <w:tc>
          <w:tcPr>
            <w:tcW w:type="dxa" w:w="5112"/>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Heat, light, radiation, energy concentration, explosion</w:t>
            </w:r>
          </w:p>
        </w:tc>
        <w:tc>
          <w:tcPr>
            <w:tcW w:type="dxa" w:w="3096"/>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Separate roundness and magnitude from fire/energy.</w:t>
            </w:r>
          </w:p>
        </w:tc>
      </w:tr>
      <w:tr>
        <w:trPr>
          <w:cantSplit/>
        </w:trPr>
        <w:tc>
          <w:tcPr>
            <w:tcW w:type="dxa" w:w="1728"/>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E · Earth</w:t>
            </w:r>
          </w:p>
        </w:tc>
        <w:tc>
          <w:tcPr>
            <w:tcW w:type="dxa" w:w="5112"/>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Stability, support, plane, settling, intermediate state</w:t>
            </w:r>
          </w:p>
        </w:tc>
        <w:tc>
          <w:tcPr>
            <w:tcW w:type="dxa" w:w="3096"/>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Control high-frequency reduction and centralization.</w:t>
            </w:r>
          </w:p>
        </w:tc>
      </w:tr>
      <w:tr>
        <w:trPr>
          <w:cantSplit/>
        </w:trPr>
        <w:tc>
          <w:tcPr>
            <w:tcW w:type="dxa" w:w="1728"/>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I · Metal</w:t>
            </w:r>
          </w:p>
        </w:tc>
        <w:tc>
          <w:tcPr>
            <w:tcW w:type="dxa" w:w="5112"/>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Sharpness, fineness, smallness, precision, cutting, focus</w:t>
            </w:r>
          </w:p>
        </w:tc>
        <w:tc>
          <w:tcPr>
            <w:tcW w:type="dxa" w:w="3096"/>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Separate general size effects from the proposed metal cluster.</w:t>
            </w:r>
          </w:p>
        </w:tc>
      </w:tr>
      <w:tr>
        <w:trPr>
          <w:cantSplit/>
        </w:trPr>
        <w:tc>
          <w:tcPr>
            <w:tcW w:type="dxa" w:w="1728"/>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U · Water</w:t>
            </w:r>
          </w:p>
        </w:tc>
        <w:tc>
          <w:tcPr>
            <w:tcW w:type="dxa" w:w="5112"/>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Depth, flow, channel, containment, gestation, return</w:t>
            </w:r>
          </w:p>
        </w:tc>
        <w:tc>
          <w:tcPr>
            <w:tcW w:type="dxa" w:w="3096"/>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Separate lip-rounding/depth acoustics from semantic ratings.</w:t>
            </w:r>
          </w:p>
        </w:tc>
      </w:tr>
    </w:tbl>
    <w:p>
      <w:pPr>
        <w:spacing w:after="0"/>
      </w:pPr>
    </w:p>
    <w:p>
      <w:pPr>
        <w:pStyle w:val="Heading1"/>
      </w:pPr>
      <w:r>
        <w:t>6. Data and Sampling Design</w:t>
      </w:r>
    </w:p>
    <w:p>
      <w:pPr>
        <w:pStyle w:val="ListNumber"/>
        <w:spacing w:after="44"/>
      </w:pPr>
      <w:r>
        <w:rPr>
          <w:rFonts w:ascii="Aptos" w:hAnsi="Aptos"/>
          <w:sz w:val="18"/>
        </w:rPr>
        <w:t>Define the target language, pronunciation standard, and analysis unit: word form, lemma, sense, or morpheme.</w:t>
      </w:r>
    </w:p>
    <w:p>
      <w:pPr>
        <w:pStyle w:val="ListNumber"/>
        <w:spacing w:after="44"/>
      </w:pPr>
      <w:r>
        <w:rPr>
          <w:rFonts w:ascii="Aptos" w:hAnsi="Aptos"/>
          <w:sz w:val="18"/>
        </w:rPr>
        <w:t>Construct positive and matched control sets before inspecting outcomes. Match frequency, length, syllable count, stress, part of speech, neighborhood density, and phonotactic probability.</w:t>
      </w:r>
    </w:p>
    <w:p>
      <w:pPr>
        <w:pStyle w:val="ListNumber"/>
        <w:spacing w:after="44"/>
      </w:pPr>
      <w:r>
        <w:rPr>
          <w:rFonts w:ascii="Aptos" w:hAnsi="Aptos"/>
          <w:sz w:val="18"/>
        </w:rPr>
        <w:t>Record etymological family and derivational family, then split train/test data by family so close relatives cannot leak across folds.</w:t>
      </w:r>
    </w:p>
    <w:p>
      <w:pPr>
        <w:pStyle w:val="ListNumber"/>
        <w:spacing w:after="44"/>
      </w:pPr>
      <w:r>
        <w:rPr>
          <w:rFonts w:ascii="Aptos" w:hAnsi="Aptos"/>
          <w:sz w:val="18"/>
        </w:rPr>
        <w:t>Maintain separate strata for inherited words, borrowings, compounds, onomatopoeia, ideophones, nursery forms, and proper nouns.</w:t>
      </w:r>
    </w:p>
    <w:p>
      <w:pPr>
        <w:pStyle w:val="ListNumber"/>
        <w:spacing w:after="44"/>
      </w:pPr>
      <w:r>
        <w:rPr>
          <w:rFonts w:ascii="Aptos" w:hAnsi="Aptos"/>
          <w:sz w:val="18"/>
        </w:rPr>
        <w:t>Predefine exclusions and minimum sample sizes; report all excluded items with reasons.</w:t>
      </w:r>
    </w:p>
    <w:p>
      <w:r>
        <w:rPr>
          <w:rFonts w:ascii="Aptos" w:hAnsi="Aptos"/>
          <w:b/>
        </w:rPr>
        <w:t>Recommended sources:</w:t>
      </w:r>
      <w:r>
        <w:rPr>
          <w:rFonts w:ascii="Aptos" w:hAnsi="Aptos"/>
        </w:rPr>
      </w:r>
    </w:p>
    <w:p>
      <w:pPr>
        <w:pStyle w:val="ListBullet"/>
        <w:spacing w:after="44"/>
      </w:pPr>
      <w:r>
        <w:rPr>
          <w:rFonts w:ascii="Aptos" w:hAnsi="Aptos"/>
          <w:sz w:val="18"/>
        </w:rPr>
        <w:t>CMU Pronouncing Dictionary or a documented IPA conversion for pronunciation.</w:t>
      </w:r>
    </w:p>
    <w:p>
      <w:pPr>
        <w:pStyle w:val="ListBullet"/>
        <w:spacing w:after="44"/>
      </w:pPr>
      <w:r>
        <w:rPr>
          <w:rFonts w:ascii="Aptos" w:hAnsi="Aptos"/>
          <w:sz w:val="18"/>
        </w:rPr>
        <w:t>Princeton WordNet or Open English WordNet for senses and lexical relations.</w:t>
      </w:r>
    </w:p>
    <w:p>
      <w:pPr>
        <w:pStyle w:val="ListBullet"/>
        <w:spacing w:after="44"/>
      </w:pPr>
      <w:r>
        <w:rPr>
          <w:rFonts w:ascii="Aptos" w:hAnsi="Aptos"/>
          <w:sz w:val="18"/>
        </w:rPr>
        <w:t>A robust modern frequency corpus and a traceable etymological source.</w:t>
      </w:r>
    </w:p>
    <w:p>
      <w:pPr>
        <w:pStyle w:val="ListBullet"/>
        <w:spacing w:after="44"/>
      </w:pPr>
      <w:r>
        <w:rPr>
          <w:rFonts w:ascii="Aptos" w:hAnsi="Aptos"/>
          <w:sz w:val="18"/>
        </w:rPr>
        <w:t>A root/family derivation table created independently of the semantic outcome coding.</w:t>
      </w:r>
    </w:p>
    <w:p>
      <w:pPr>
        <w:pStyle w:val="ListBullet"/>
        <w:spacing w:after="44"/>
      </w:pPr>
      <w:r>
        <w:rPr>
          <w:rFonts w:ascii="Aptos" w:hAnsi="Aptos"/>
          <w:sz w:val="18"/>
        </w:rPr>
        <w:t>CLDF/CLTS-compatible resources for the cross-linguistic stage.</w:t>
      </w:r>
    </w:p>
    <w:p>
      <w:pPr>
        <w:pStyle w:val="Heading1"/>
      </w:pPr>
      <w:r>
        <w:t>7. Semantic Annotation</w:t>
      </w:r>
    </w:p>
    <w:p>
      <w:r>
        <w:rPr>
          <w:rFonts w:ascii="Aptos" w:hAnsi="Aptos"/>
          <w:i w:val="0"/>
        </w:rPr>
        <w:t>Each item should be rated on preregistered semantic scales rather than assigned a single intuitive label. Use at least three trained annotators, blind them to the target sound hypothesis, randomize item order, and calculate inter-rater reliability before modeling.</w:t>
      </w:r>
    </w:p>
    <w:tbl>
      <w:tblPr>
        <w:tblW w:type="auto" w:w="0"/>
        <w:jc w:val="center"/>
        <w:tblLayout w:type="fixed"/>
        <w:tblLook w:firstColumn="1" w:firstRow="1" w:lastColumn="0" w:lastRow="0" w:noHBand="0" w:noVBand="1" w:val="04A0"/>
      </w:tblPr>
      <w:tblGrid>
        <w:gridCol w:w="3331"/>
        <w:gridCol w:w="3331"/>
        <w:gridCol w:w="3331"/>
      </w:tblGrid>
      <w:tr>
        <w:trPr>
          <w:trHeight w:val="440"/>
          <w:tblHeader w:val="true"/>
          <w:cantSplit/>
        </w:trPr>
        <w:tc>
          <w:tcPr>
            <w:tcW w:type="dxa" w:w="1800"/>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Field</w:t>
            </w:r>
          </w:p>
        </w:tc>
        <w:tc>
          <w:tcPr>
            <w:tcW w:type="dxa" w:w="4320"/>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Example coding</w:t>
            </w:r>
          </w:p>
        </w:tc>
        <w:tc>
          <w:tcPr>
            <w:tcW w:type="dxa" w:w="3816"/>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Quality control</w:t>
            </w:r>
          </w:p>
        </w:tc>
      </w:tr>
      <w:tr>
        <w:trPr>
          <w:cantSplit/>
        </w:trPr>
        <w:tc>
          <w:tcPr>
            <w:tcW w:type="dxa" w:w="1800"/>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Sense ID</w:t>
            </w:r>
          </w:p>
        </w:tc>
        <w:tc>
          <w:tcPr>
            <w:tcW w:type="dxa" w:w="4320"/>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WordNet synset or project-specific sense</w:t>
            </w:r>
          </w:p>
        </w:tc>
        <w:tc>
          <w:tcPr>
            <w:tcW w:type="dxa" w:w="3816"/>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Disambiguate polysemy before rating</w:t>
            </w:r>
          </w:p>
        </w:tc>
      </w:tr>
      <w:tr>
        <w:trPr>
          <w:cantSplit/>
        </w:trPr>
        <w:tc>
          <w:tcPr>
            <w:tcW w:type="dxa" w:w="1800"/>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Dynamic features</w:t>
            </w:r>
          </w:p>
        </w:tc>
        <w:tc>
          <w:tcPr>
            <w:tcW w:type="dxa" w:w="4320"/>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flow, return, closure, friction, growth, stability</w:t>
            </w:r>
          </w:p>
        </w:tc>
        <w:tc>
          <w:tcPr>
            <w:tcW w:type="dxa" w:w="3816"/>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7-point scales with anchor examples</w:t>
            </w:r>
          </w:p>
        </w:tc>
      </w:tr>
      <w:tr>
        <w:trPr>
          <w:cantSplit/>
        </w:trPr>
        <w:tc>
          <w:tcPr>
            <w:tcW w:type="dxa" w:w="1800"/>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Physical qualities</w:t>
            </w:r>
          </w:p>
        </w:tc>
        <w:tc>
          <w:tcPr>
            <w:tcW w:type="dxa" w:w="4320"/>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hard/soft, sharp/blunt, deep/shallow</w:t>
            </w:r>
          </w:p>
        </w:tc>
        <w:tc>
          <w:tcPr>
            <w:tcW w:type="dxa" w:w="3816"/>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Balance positive and reverse-coded items</w:t>
            </w:r>
          </w:p>
        </w:tc>
      </w:tr>
      <w:tr>
        <w:trPr>
          <w:cantSplit/>
        </w:trPr>
        <w:tc>
          <w:tcPr>
            <w:tcW w:type="dxa" w:w="1800"/>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Event structure</w:t>
            </w:r>
          </w:p>
        </w:tc>
        <w:tc>
          <w:tcPr>
            <w:tcW w:type="dxa" w:w="4320"/>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source, path, goal, repetition, completion</w:t>
            </w:r>
          </w:p>
        </w:tc>
        <w:tc>
          <w:tcPr>
            <w:tcW w:type="dxa" w:w="3816"/>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Independent coding from morphology</w:t>
            </w:r>
          </w:p>
        </w:tc>
      </w:tr>
      <w:tr>
        <w:trPr>
          <w:cantSplit/>
        </w:trPr>
        <w:tc>
          <w:tcPr>
            <w:tcW w:type="dxa" w:w="1800"/>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Confidence</w:t>
            </w:r>
          </w:p>
        </w:tc>
        <w:tc>
          <w:tcPr>
            <w:tcW w:type="dxa" w:w="4320"/>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annotator certainty</w:t>
            </w:r>
          </w:p>
        </w:tc>
        <w:tc>
          <w:tcPr>
            <w:tcW w:type="dxa" w:w="3816"/>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Flag low-confidence items for adjudication</w:t>
            </w:r>
          </w:p>
        </w:tc>
      </w:tr>
    </w:tbl>
    <w:p>
      <w:pPr>
        <w:spacing w:after="0"/>
      </w:pPr>
    </w:p>
    <w:p>
      <w:pPr>
        <w:pStyle w:val="Heading1"/>
      </w:pPr>
      <w:r>
        <w:t>8. Analysis Plan</w:t>
      </w:r>
    </w:p>
    <w:p>
      <w:pPr>
        <w:pStyle w:val="ListBullet"/>
        <w:spacing w:after="44"/>
      </w:pPr>
      <w:r>
        <w:rPr>
          <w:rFonts w:ascii="Aptos" w:hAnsi="Aptos"/>
          <w:sz w:val="18"/>
        </w:rPr>
        <w:t>Primary model: mixed-effects regression or a preregistered Bayesian equivalent, with target sound as predictor and lexical controls as covariates.</w:t>
      </w:r>
    </w:p>
    <w:p>
      <w:pPr>
        <w:pStyle w:val="ListBullet"/>
        <w:spacing w:after="44"/>
      </w:pPr>
      <w:r>
        <w:rPr>
          <w:rFonts w:ascii="Aptos" w:hAnsi="Aptos"/>
          <w:sz w:val="18"/>
        </w:rPr>
        <w:t>Random effects: lexical family, annotator, and item; add language in multilingual studies.</w:t>
      </w:r>
    </w:p>
    <w:p>
      <w:pPr>
        <w:pStyle w:val="ListBullet"/>
        <w:spacing w:after="44"/>
      </w:pPr>
      <w:r>
        <w:rPr>
          <w:rFonts w:ascii="Aptos" w:hAnsi="Aptos"/>
          <w:sz w:val="18"/>
        </w:rPr>
        <w:t>Validation: family-blocked cross-validation and a final held-out test set never used for feature selection.</w:t>
      </w:r>
    </w:p>
    <w:p>
      <w:pPr>
        <w:pStyle w:val="ListBullet"/>
        <w:spacing w:after="44"/>
      </w:pPr>
      <w:r>
        <w:rPr>
          <w:rFonts w:ascii="Aptos" w:hAnsi="Aptos"/>
          <w:sz w:val="18"/>
        </w:rPr>
        <w:t>Baselines: frequency/length-only, phonotactic-only, morphology-only, etymology-only, and distributional-semantic models.</w:t>
      </w:r>
    </w:p>
    <w:p>
      <w:pPr>
        <w:pStyle w:val="ListBullet"/>
        <w:spacing w:after="44"/>
      </w:pPr>
      <w:r>
        <w:rPr>
          <w:rFonts w:ascii="Aptos" w:hAnsi="Aptos"/>
          <w:sz w:val="18"/>
        </w:rPr>
        <w:t>Report effect sizes, uncertainty intervals, calibration, out-of-sample gain, and correction for multiple hypotheses.</w:t>
      </w:r>
    </w:p>
    <w:p>
      <w:pPr>
        <w:pStyle w:val="ListBullet"/>
        <w:spacing w:after="44"/>
      </w:pPr>
      <w:r>
        <w:rPr>
          <w:rFonts w:ascii="Aptos" w:hAnsi="Aptos"/>
          <w:sz w:val="18"/>
        </w:rPr>
        <w:t>Negative evidence counts: null, reversed, unstable, or family-confined effects must be preserved and published.</w:t>
      </w:r>
    </w:p>
    <w:p>
      <w:pPr>
        <w:pStyle w:val="Heading1"/>
      </w:pPr>
      <w:r>
        <w:t>9. First Pilot Study</w:t>
      </w:r>
    </w:p>
    <w:p>
      <w:r>
        <w:rPr>
          <w:rFonts w:ascii="Aptos" w:hAnsi="Aptos"/>
          <w:i w:val="0"/>
        </w:rPr>
        <w:t>The most efficient starting point is the L/R contrast because it permits both lexical and pseudoword tests and yields clear competing predictions.</w:t>
      </w:r>
    </w:p>
    <w:tbl>
      <w:tblPr>
        <w:tblW w:type="auto" w:w="0"/>
        <w:jc w:val="center"/>
        <w:tblLayout w:type="fixed"/>
        <w:tblLook w:firstColumn="1" w:firstRow="1" w:lastColumn="0" w:lastRow="0" w:noHBand="0" w:noVBand="1" w:val="04A0"/>
      </w:tblPr>
      <w:tblGrid>
        <w:gridCol w:w="4997"/>
        <w:gridCol w:w="4997"/>
      </w:tblGrid>
      <w:tr>
        <w:trPr>
          <w:trHeight w:val="440"/>
          <w:tblHeader w:val="true"/>
          <w:cantSplit/>
        </w:trPr>
        <w:tc>
          <w:tcPr>
            <w:tcW w:type="dxa" w:w="1944"/>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Component</w:t>
            </w:r>
          </w:p>
        </w:tc>
        <w:tc>
          <w:tcPr>
            <w:tcW w:type="dxa" w:w="7992"/>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Minimum design</w:t>
            </w:r>
          </w:p>
        </w:tc>
      </w:tr>
      <w:tr>
        <w:trPr>
          <w:cantSplit/>
        </w:trPr>
        <w:tc>
          <w:tcPr>
            <w:tcW w:type="dxa" w:w="1944"/>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Lexical sample</w:t>
            </w:r>
          </w:p>
        </w:tc>
        <w:tc>
          <w:tcPr>
            <w:tcW w:type="dxa" w:w="7992"/>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600 English lemmas: /l/, /r/, both, and neither; matched by frequency, length, syllables, stress, and part of speech</w:t>
            </w:r>
          </w:p>
        </w:tc>
      </w:tr>
      <w:tr>
        <w:trPr>
          <w:cantSplit/>
        </w:trPr>
        <w:tc>
          <w:tcPr>
            <w:tcW w:type="dxa" w:w="1944"/>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Ratings</w:t>
            </w:r>
          </w:p>
        </w:tc>
        <w:tc>
          <w:tcPr>
            <w:tcW w:type="dxa" w:w="7992"/>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straight–curved, continuous–interrupted, outward–returning, static–dynamic</w:t>
            </w:r>
          </w:p>
        </w:tc>
      </w:tr>
      <w:tr>
        <w:trPr>
          <w:cantSplit/>
        </w:trPr>
        <w:tc>
          <w:tcPr>
            <w:tcW w:type="dxa" w:w="1944"/>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Pseudowords</w:t>
            </w:r>
          </w:p>
        </w:tc>
        <w:tc>
          <w:tcPr>
            <w:tcW w:type="dxa" w:w="7992"/>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Phonotactically legal minimal pairs differing only in /l/ versus /r/</w:t>
            </w:r>
          </w:p>
        </w:tc>
      </w:tr>
      <w:tr>
        <w:trPr>
          <w:cantSplit/>
        </w:trPr>
        <w:tc>
          <w:tcPr>
            <w:tcW w:type="dxa" w:w="1944"/>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Participants</w:t>
            </w:r>
          </w:p>
        </w:tc>
        <w:tc>
          <w:tcPr>
            <w:tcW w:type="dxa" w:w="7992"/>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Power analysis before recruitment; exclude participants failing attention and language-background criteria</w:t>
            </w:r>
          </w:p>
        </w:tc>
      </w:tr>
      <w:tr>
        <w:trPr>
          <w:cantSplit/>
        </w:trPr>
        <w:tc>
          <w:tcPr>
            <w:tcW w:type="dxa" w:w="1944"/>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Primary endpoint</w:t>
            </w:r>
          </w:p>
        </w:tc>
        <w:tc>
          <w:tcPr>
            <w:tcW w:type="dxa" w:w="7992"/>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Held-out accuracy or likelihood gain over all preregistered baselines</w:t>
            </w:r>
          </w:p>
        </w:tc>
      </w:tr>
      <w:tr>
        <w:trPr>
          <w:cantSplit/>
        </w:trPr>
        <w:tc>
          <w:tcPr>
            <w:tcW w:type="dxa" w:w="1944"/>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Replication</w:t>
            </w:r>
          </w:p>
        </w:tc>
        <w:tc>
          <w:tcPr>
            <w:tcW w:type="dxa" w:w="7992"/>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One direct replication in a second English-speaking sample before expanding the theory</w:t>
            </w:r>
          </w:p>
        </w:tc>
      </w:tr>
    </w:tbl>
    <w:p>
      <w:pPr>
        <w:spacing w:after="0"/>
      </w:pPr>
    </w:p>
    <w:p>
      <w:pPr>
        <w:pStyle w:val="Heading1"/>
      </w:pPr>
      <w:r>
        <w:t>10. Human Behavioral Experiments</w:t>
      </w:r>
    </w:p>
    <w:p>
      <w:pPr>
        <w:pStyle w:val="ListBullet"/>
        <w:spacing w:after="44"/>
      </w:pPr>
      <w:r>
        <w:rPr>
          <w:rFonts w:ascii="Aptos" w:hAnsi="Aptos"/>
          <w:sz w:val="18"/>
        </w:rPr>
        <w:t>Forced-choice shape matching for minimal pseudoword pairs.</w:t>
      </w:r>
    </w:p>
    <w:p>
      <w:pPr>
        <w:pStyle w:val="ListBullet"/>
        <w:spacing w:after="44"/>
      </w:pPr>
      <w:r>
        <w:rPr>
          <w:rFonts w:ascii="Aptos" w:hAnsi="Aptos"/>
          <w:sz w:val="18"/>
        </w:rPr>
        <w:t>Speeded semantic categorization to test whether congruent sound–meaning pairings reduce response time.</w:t>
      </w:r>
    </w:p>
    <w:p>
      <w:pPr>
        <w:pStyle w:val="ListBullet"/>
        <w:spacing w:after="44"/>
      </w:pPr>
      <w:r>
        <w:rPr>
          <w:rFonts w:ascii="Aptos" w:hAnsi="Aptos"/>
          <w:sz w:val="18"/>
        </w:rPr>
        <w:t>Continuous ratings for movement, material, boundary, and event-structure dimensions.</w:t>
      </w:r>
    </w:p>
    <w:p>
      <w:pPr>
        <w:pStyle w:val="ListBullet"/>
        <w:spacing w:after="44"/>
      </w:pPr>
      <w:r>
        <w:rPr>
          <w:rFonts w:ascii="Aptos" w:hAnsi="Aptos"/>
          <w:sz w:val="18"/>
        </w:rPr>
        <w:t>Artificial-word learning: test whether predicted pairings improve acquisition and delayed recall.</w:t>
      </w:r>
    </w:p>
    <w:p>
      <w:pPr>
        <w:pStyle w:val="ListBullet"/>
        <w:spacing w:after="44"/>
      </w:pPr>
      <w:r>
        <w:rPr>
          <w:rFonts w:ascii="Aptos" w:hAnsi="Aptos"/>
          <w:sz w:val="18"/>
        </w:rPr>
        <w:t>Preregistered adversarial items designed to oppose familiar English word families.</w:t>
      </w:r>
    </w:p>
    <w:p>
      <w:r>
        <w:rPr>
          <w:rFonts w:ascii="Aptos" w:hAnsi="Aptos"/>
          <w:i w:val="0"/>
        </w:rPr>
        <w:t>Participant language history must be collected because literacy, bilingualism, and exposure to English can produce transfer effects that resemble universality.</w:t>
      </w:r>
    </w:p>
    <w:p>
      <w:pPr>
        <w:pStyle w:val="Heading1"/>
      </w:pPr>
      <w:r>
        <w:t>11. Cross-Linguistic Tests</w:t>
      </w:r>
    </w:p>
    <w:p>
      <w:r>
        <w:rPr>
          <w:rFonts w:ascii="Aptos" w:hAnsi="Aptos"/>
          <w:i w:val="0"/>
        </w:rPr>
        <w:t>Cross-linguistic evidence is necessary for any claim about human articulation or world dynamics. It is not enough to translate English words. Each study must use language-internal phonotactics, native-speaker judgments, local lexical history, and comparable semantic tasks.</w:t>
      </w:r>
    </w:p>
    <w:p>
      <w:pPr>
        <w:pStyle w:val="ListBullet"/>
        <w:spacing w:after="44"/>
      </w:pPr>
      <w:r>
        <w:rPr>
          <w:rFonts w:ascii="Aptos" w:hAnsi="Aptos"/>
          <w:sz w:val="18"/>
        </w:rPr>
        <w:t>Stage 1: English discovery and internal replication.</w:t>
      </w:r>
    </w:p>
    <w:p>
      <w:pPr>
        <w:pStyle w:val="ListBullet"/>
        <w:spacing w:after="44"/>
      </w:pPr>
      <w:r>
        <w:rPr>
          <w:rFonts w:ascii="Aptos" w:hAnsi="Aptos"/>
          <w:sz w:val="18"/>
        </w:rPr>
        <w:t>Stage 2: a typologically distinct language with similar target contrasts.</w:t>
      </w:r>
    </w:p>
    <w:p>
      <w:pPr>
        <w:pStyle w:val="ListBullet"/>
        <w:spacing w:after="44"/>
      </w:pPr>
      <w:r>
        <w:rPr>
          <w:rFonts w:ascii="Aptos" w:hAnsi="Aptos"/>
          <w:sz w:val="18"/>
        </w:rPr>
        <w:t>Stage 3: languages lacking one target contrast, testing feature-based rather than letter-based predictions.</w:t>
      </w:r>
    </w:p>
    <w:p>
      <w:pPr>
        <w:pStyle w:val="ListBullet"/>
        <w:spacing w:after="44"/>
      </w:pPr>
      <w:r>
        <w:rPr>
          <w:rFonts w:ascii="Aptos" w:hAnsi="Aptos"/>
          <w:sz w:val="18"/>
        </w:rPr>
        <w:t>Stage 4: hierarchical meta-analysis estimating universal, family-level, and language-specific components.</w:t>
      </w:r>
    </w:p>
    <w:p>
      <w:pPr>
        <w:pStyle w:val="Heading1"/>
      </w:pPr>
      <w:r>
        <w:t>12. Prefix–Root–Suffix Subproject</w:t>
      </w:r>
    </w:p>
    <w:p>
      <w:r>
        <w:rPr>
          <w:rFonts w:ascii="Aptos" w:hAnsi="Aptos"/>
          <w:i w:val="0"/>
        </w:rPr>
        <w:t>The morphological proposal should be tested compositionally. A prefix is modeled as a directional or relational operator; the root contributes a lexical core; the suffix maps the construction into an event, result, property, participant, or aspectual state.</w:t>
      </w:r>
    </w:p>
    <w:tbl>
      <w:tblPr>
        <w:tblW w:type="auto" w:w="0"/>
        <w:jc w:val="center"/>
        <w:tblLayout w:type="fixed"/>
        <w:tblLook w:firstColumn="1" w:firstRow="1" w:lastColumn="0" w:lastRow="0" w:noHBand="0" w:noVBand="1" w:val="04A0"/>
      </w:tblPr>
      <w:tblGrid>
        <w:gridCol w:w="3331"/>
        <w:gridCol w:w="3331"/>
        <w:gridCol w:w="3331"/>
      </w:tblGrid>
      <w:tr>
        <w:trPr>
          <w:trHeight w:val="440"/>
          <w:tblHeader w:val="true"/>
          <w:cantSplit/>
        </w:trPr>
        <w:tc>
          <w:tcPr>
            <w:tcW w:type="dxa" w:w="1656"/>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Unit</w:t>
            </w:r>
          </w:p>
        </w:tc>
        <w:tc>
          <w:tcPr>
            <w:tcW w:type="dxa" w:w="4392"/>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Hypothesized function</w:t>
            </w:r>
          </w:p>
        </w:tc>
        <w:tc>
          <w:tcPr>
            <w:tcW w:type="dxa" w:w="3888"/>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Test</w:t>
            </w:r>
          </w:p>
        </w:tc>
      </w:tr>
      <w:tr>
        <w:trPr>
          <w:cantSplit/>
        </w:trPr>
        <w:tc>
          <w:tcPr>
            <w:tcW w:type="dxa" w:w="1656"/>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Prefix</w:t>
            </w:r>
          </w:p>
        </w:tc>
        <w:tc>
          <w:tcPr>
            <w:tcW w:type="dxa" w:w="4392"/>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Redirects path, boundary, repetition, opposition, or vertical relation</w:t>
            </w:r>
          </w:p>
        </w:tc>
        <w:tc>
          <w:tcPr>
            <w:tcW w:type="dxa" w:w="3888"/>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Predict within-root semantic shifts; evaluate on withheld roots</w:t>
            </w:r>
          </w:p>
        </w:tc>
      </w:tr>
      <w:tr>
        <w:trPr>
          <w:cantSplit/>
        </w:trPr>
        <w:tc>
          <w:tcPr>
            <w:tcW w:type="dxa" w:w="1656"/>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Root</w:t>
            </w:r>
          </w:p>
        </w:tc>
        <w:tc>
          <w:tcPr>
            <w:tcW w:type="dxa" w:w="4392"/>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Supplies the conventional semantic nucleus</w:t>
            </w:r>
          </w:p>
        </w:tc>
        <w:tc>
          <w:tcPr>
            <w:tcW w:type="dxa" w:w="3888"/>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Compare family members and unrelated phonological neighbors</w:t>
            </w:r>
          </w:p>
        </w:tc>
      </w:tr>
      <w:tr>
        <w:trPr>
          <w:cantSplit/>
        </w:trPr>
        <w:tc>
          <w:tcPr>
            <w:tcW w:type="dxa" w:w="1656"/>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Suffix</w:t>
            </w:r>
          </w:p>
        </w:tc>
        <w:tc>
          <w:tcPr>
            <w:tcW w:type="dxa" w:w="4392"/>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Selects outcome type or grammatical-semantic role</w:t>
            </w:r>
          </w:p>
        </w:tc>
        <w:tc>
          <w:tcPr>
            <w:tcW w:type="dxa" w:w="3888"/>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Measure added value beyond part of speech and frequency</w:t>
            </w:r>
          </w:p>
        </w:tc>
      </w:tr>
      <w:tr>
        <w:trPr>
          <w:cantSplit/>
        </w:trPr>
        <w:tc>
          <w:tcPr>
            <w:tcW w:type="dxa" w:w="1656"/>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Composition</w:t>
            </w:r>
          </w:p>
        </w:tc>
        <w:tc>
          <w:tcPr>
            <w:tcW w:type="dxa" w:w="4392"/>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Operator + core + outcome</w:t>
            </w:r>
          </w:p>
        </w:tc>
        <w:tc>
          <w:tcPr>
            <w:tcW w:type="dxa" w:w="3888"/>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Compare compositional model with full-word memorization baseline</w:t>
            </w:r>
          </w:p>
        </w:tc>
      </w:tr>
    </w:tbl>
    <w:p>
      <w:pPr>
        <w:spacing w:after="0"/>
      </w:pPr>
    </w:p>
    <w:p>
      <w:pPr>
        <w:pStyle w:val="Heading1"/>
      </w:pPr>
      <w:r>
        <w:t>13. Evidence Levels</w:t>
      </w:r>
    </w:p>
    <w:tbl>
      <w:tblPr>
        <w:tblW w:type="auto" w:w="0"/>
        <w:jc w:val="center"/>
        <w:tblLayout w:type="fixed"/>
        <w:tblLook w:firstColumn="1" w:firstRow="1" w:lastColumn="0" w:lastRow="0" w:noHBand="0" w:noVBand="1" w:val="04A0"/>
      </w:tblPr>
      <w:tblGrid>
        <w:gridCol w:w="3331"/>
        <w:gridCol w:w="3331"/>
        <w:gridCol w:w="3331"/>
      </w:tblGrid>
      <w:tr>
        <w:trPr>
          <w:trHeight w:val="440"/>
          <w:tblHeader w:val="true"/>
          <w:cantSplit/>
        </w:trPr>
        <w:tc>
          <w:tcPr>
            <w:tcW w:type="dxa" w:w="936"/>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Level</w:t>
            </w:r>
          </w:p>
        </w:tc>
        <w:tc>
          <w:tcPr>
            <w:tcW w:type="dxa" w:w="4320"/>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Evidence</w:t>
            </w:r>
          </w:p>
        </w:tc>
        <w:tc>
          <w:tcPr>
            <w:tcW w:type="dxa" w:w="4680"/>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Permitted conclusion</w:t>
            </w:r>
          </w:p>
        </w:tc>
      </w:tr>
      <w:tr>
        <w:trPr>
          <w:cantSplit/>
        </w:trPr>
        <w:tc>
          <w:tcPr>
            <w:tcW w:type="dxa" w:w="936"/>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E0</w:t>
            </w:r>
          </w:p>
        </w:tc>
        <w:tc>
          <w:tcPr>
            <w:tcW w:type="dxa" w:w="4320"/>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Anecdotal resemblance</w:t>
            </w:r>
          </w:p>
        </w:tc>
        <w:tc>
          <w:tcPr>
            <w:tcW w:type="dxa" w:w="4680"/>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Generate a hypothesis only</w:t>
            </w:r>
          </w:p>
        </w:tc>
      </w:tr>
      <w:tr>
        <w:trPr>
          <w:cantSplit/>
        </w:trPr>
        <w:tc>
          <w:tcPr>
            <w:tcW w:type="dxa" w:w="936"/>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E1</w:t>
            </w:r>
          </w:p>
        </w:tc>
        <w:tc>
          <w:tcPr>
            <w:tcW w:type="dxa" w:w="4320"/>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Descriptive lexical enrichment</w:t>
            </w:r>
          </w:p>
        </w:tc>
        <w:tc>
          <w:tcPr>
            <w:tcW w:type="dxa" w:w="4680"/>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A pattern exists in the sampled lexicon</w:t>
            </w:r>
          </w:p>
        </w:tc>
      </w:tr>
      <w:tr>
        <w:trPr>
          <w:cantSplit/>
        </w:trPr>
        <w:tc>
          <w:tcPr>
            <w:tcW w:type="dxa" w:w="936"/>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E2</w:t>
            </w:r>
          </w:p>
        </w:tc>
        <w:tc>
          <w:tcPr>
            <w:tcW w:type="dxa" w:w="4320"/>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Controlled held-out prediction</w:t>
            </w:r>
          </w:p>
        </w:tc>
        <w:tc>
          <w:tcPr>
            <w:tcW w:type="dxa" w:w="4680"/>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The pattern exceeds specified lexical baselines</w:t>
            </w:r>
          </w:p>
        </w:tc>
      </w:tr>
      <w:tr>
        <w:trPr>
          <w:cantSplit/>
        </w:trPr>
        <w:tc>
          <w:tcPr>
            <w:tcW w:type="dxa" w:w="936"/>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E3</w:t>
            </w:r>
          </w:p>
        </w:tc>
        <w:tc>
          <w:tcPr>
            <w:tcW w:type="dxa" w:w="4320"/>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Behavioral replication</w:t>
            </w:r>
          </w:p>
        </w:tc>
        <w:tc>
          <w:tcPr>
            <w:tcW w:type="dxa" w:w="4680"/>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Speakers use the association under experimental control</w:t>
            </w:r>
          </w:p>
        </w:tc>
      </w:tr>
      <w:tr>
        <w:trPr>
          <w:cantSplit/>
        </w:trPr>
        <w:tc>
          <w:tcPr>
            <w:tcW w:type="dxa" w:w="936"/>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E4</w:t>
            </w:r>
          </w:p>
        </w:tc>
        <w:tc>
          <w:tcPr>
            <w:tcW w:type="dxa" w:w="4320"/>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Cross-linguistic replication</w:t>
            </w:r>
          </w:p>
        </w:tc>
        <w:tc>
          <w:tcPr>
            <w:tcW w:type="dxa" w:w="4680"/>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The association is not confined to one language</w:t>
            </w:r>
          </w:p>
        </w:tc>
      </w:tr>
      <w:tr>
        <w:trPr>
          <w:cantSplit/>
        </w:trPr>
        <w:tc>
          <w:tcPr>
            <w:tcW w:type="dxa" w:w="936"/>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E5</w:t>
            </w:r>
          </w:p>
        </w:tc>
        <w:tc>
          <w:tcPr>
            <w:tcW w:type="dxa" w:w="4320"/>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Mechanistic convergence</w:t>
            </w:r>
          </w:p>
        </w:tc>
        <w:tc>
          <w:tcPr>
            <w:tcW w:type="dxa" w:w="4680"/>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Articulatory/acoustic measures support the proposed causal pathway</w:t>
            </w:r>
          </w:p>
        </w:tc>
      </w:tr>
    </w:tbl>
    <w:p>
      <w:pPr>
        <w:spacing w:after="0"/>
      </w:pPr>
    </w:p>
    <w:p>
      <w:pPr>
        <w:pStyle w:val="Heading1"/>
      </w:pPr>
      <w:r>
        <w:t>14. Version Control and Research Integrity</w:t>
      </w:r>
    </w:p>
    <w:p>
      <w:pPr>
        <w:pStyle w:val="ListBullet"/>
        <w:spacing w:after="44"/>
      </w:pPr>
      <w:r>
        <w:rPr>
          <w:rFonts w:ascii="Aptos" w:hAnsi="Aptos"/>
          <w:sz w:val="18"/>
        </w:rPr>
        <w:t>Freeze predictions, exclusions, and primary outcomes before analysis; date and archive every revision.</w:t>
      </w:r>
    </w:p>
    <w:p>
      <w:pPr>
        <w:pStyle w:val="ListBullet"/>
        <w:spacing w:after="44"/>
      </w:pPr>
      <w:r>
        <w:rPr>
          <w:rFonts w:ascii="Aptos" w:hAnsi="Aptos"/>
          <w:sz w:val="18"/>
        </w:rPr>
        <w:t>Keep exploratory analyses clearly separate from confirmatory tests.</w:t>
      </w:r>
    </w:p>
    <w:p>
      <w:pPr>
        <w:pStyle w:val="ListBullet"/>
        <w:spacing w:after="44"/>
      </w:pPr>
      <w:r>
        <w:rPr>
          <w:rFonts w:ascii="Aptos" w:hAnsi="Aptos"/>
          <w:sz w:val="18"/>
        </w:rPr>
        <w:t>Publish code, stimuli, annotation manuals, and de-identified data when ethically and legally possible.</w:t>
      </w:r>
    </w:p>
    <w:p>
      <w:pPr>
        <w:pStyle w:val="ListBullet"/>
        <w:spacing w:after="44"/>
      </w:pPr>
      <w:r>
        <w:rPr>
          <w:rFonts w:ascii="Aptos" w:hAnsi="Aptos"/>
          <w:sz w:val="18"/>
        </w:rPr>
        <w:t>Record theory changes as versioned amendments; do not rewrite a failed prediction after seeing results.</w:t>
      </w:r>
    </w:p>
    <w:p>
      <w:pPr>
        <w:pStyle w:val="ListBullet"/>
        <w:spacing w:after="44"/>
      </w:pPr>
      <w:r>
        <w:rPr>
          <w:rFonts w:ascii="Aptos" w:hAnsi="Aptos"/>
          <w:sz w:val="18"/>
        </w:rPr>
        <w:t>Invite adversarial review from phonetics, historical linguistics, morphology, statistics, and cognitive science.</w:t>
      </w:r>
    </w:p>
    <w:p>
      <w:pPr>
        <w:pStyle w:val="Heading1"/>
      </w:pPr>
      <w:r>
        <w:t>15. Phase One Work Plan</w:t>
      </w:r>
    </w:p>
    <w:tbl>
      <w:tblPr>
        <w:tblW w:type="auto" w:w="0"/>
        <w:jc w:val="center"/>
        <w:tblLayout w:type="fixed"/>
        <w:tblLook w:firstColumn="1" w:firstRow="1" w:lastColumn="0" w:lastRow="0" w:noHBand="0" w:noVBand="1" w:val="04A0"/>
      </w:tblPr>
      <w:tblGrid>
        <w:gridCol w:w="4997"/>
        <w:gridCol w:w="4997"/>
      </w:tblGrid>
      <w:tr>
        <w:trPr>
          <w:trHeight w:val="440"/>
          <w:tblHeader w:val="true"/>
          <w:cantSplit/>
        </w:trPr>
        <w:tc>
          <w:tcPr>
            <w:tcW w:type="dxa" w:w="1944"/>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Period</w:t>
            </w:r>
          </w:p>
        </w:tc>
        <w:tc>
          <w:tcPr>
            <w:tcW w:type="dxa" w:w="7992"/>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Deliverable</w:t>
            </w:r>
          </w:p>
        </w:tc>
      </w:tr>
      <w:tr>
        <w:trPr>
          <w:cantSplit/>
        </w:trPr>
        <w:tc>
          <w:tcPr>
            <w:tcW w:type="dxa" w:w="1944"/>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Weeks 1–2</w:t>
            </w:r>
          </w:p>
        </w:tc>
        <w:tc>
          <w:tcPr>
            <w:tcW w:type="dxa" w:w="7992"/>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Preregister definitions, ten predictions, exclusions, and failure thresholds</w:t>
            </w:r>
          </w:p>
        </w:tc>
      </w:tr>
      <w:tr>
        <w:trPr>
          <w:cantSplit/>
        </w:trPr>
        <w:tc>
          <w:tcPr>
            <w:tcW w:type="dxa" w:w="1944"/>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Weeks 3–5</w:t>
            </w:r>
          </w:p>
        </w:tc>
        <w:tc>
          <w:tcPr>
            <w:tcW w:type="dxa" w:w="7992"/>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Build pronunciation, semantic, frequency, etymology, and family tables</w:t>
            </w:r>
          </w:p>
        </w:tc>
      </w:tr>
      <w:tr>
        <w:trPr>
          <w:cantSplit/>
        </w:trPr>
        <w:tc>
          <w:tcPr>
            <w:tcW w:type="dxa" w:w="1944"/>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Weeks 6–7</w:t>
            </w:r>
          </w:p>
        </w:tc>
        <w:tc>
          <w:tcPr>
            <w:tcW w:type="dxa" w:w="7992"/>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Pilot blinded annotation; revise anchors before opening the test data</w:t>
            </w:r>
          </w:p>
        </w:tc>
      </w:tr>
      <w:tr>
        <w:trPr>
          <w:cantSplit/>
        </w:trPr>
        <w:tc>
          <w:tcPr>
            <w:tcW w:type="dxa" w:w="1944"/>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Weeks 8–9</w:t>
            </w:r>
          </w:p>
        </w:tc>
        <w:tc>
          <w:tcPr>
            <w:tcW w:type="dxa" w:w="7992"/>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Run L/R lexical models and locked held-out evaluation</w:t>
            </w:r>
          </w:p>
        </w:tc>
      </w:tr>
      <w:tr>
        <w:trPr>
          <w:cantSplit/>
        </w:trPr>
        <w:tc>
          <w:tcPr>
            <w:tcW w:type="dxa" w:w="1944"/>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Weeks 10–12</w:t>
            </w:r>
          </w:p>
        </w:tc>
        <w:tc>
          <w:tcPr>
            <w:tcW w:type="dxa" w:w="7992"/>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Run pseudoword experiment and direct replication plan</w:t>
            </w:r>
          </w:p>
        </w:tc>
      </w:tr>
      <w:tr>
        <w:trPr>
          <w:cantSplit/>
        </w:trPr>
        <w:tc>
          <w:tcPr>
            <w:tcW w:type="dxa" w:w="1944"/>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End of phase</w:t>
            </w:r>
          </w:p>
        </w:tc>
        <w:tc>
          <w:tcPr>
            <w:tcW w:type="dxa" w:w="7992"/>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Release methods, complete results, negative evidence, and Version 1.1 decision log</w:t>
            </w:r>
          </w:p>
        </w:tc>
      </w:tr>
    </w:tbl>
    <w:p>
      <w:pPr>
        <w:spacing w:after="0"/>
      </w:pPr>
    </w:p>
    <w:p>
      <w:pPr>
        <w:pStyle w:val="Heading1"/>
      </w:pPr>
      <w:r>
        <w:t>16. Doctoral-Level Threshold</w:t>
      </w:r>
    </w:p>
    <w:p>
      <w:r>
        <w:rPr>
          <w:rFonts w:ascii="Aptos" w:hAnsi="Aptos"/>
          <w:i w:val="0"/>
        </w:rPr>
        <w:t>The project reaches doctoral research quality when it moves from an interpretive system to a cumulative empirical program. At minimum, it should deliver:</w:t>
      </w:r>
    </w:p>
    <w:p>
      <w:pPr>
        <w:pStyle w:val="ListBullet"/>
        <w:spacing w:after="44"/>
      </w:pPr>
      <w:r>
        <w:rPr>
          <w:rFonts w:ascii="Aptos" w:hAnsi="Aptos"/>
          <w:sz w:val="18"/>
        </w:rPr>
        <w:t>precise constructs tied to phonetic, morphological, and semantic measurements;</w:t>
      </w:r>
    </w:p>
    <w:p>
      <w:pPr>
        <w:pStyle w:val="ListBullet"/>
        <w:spacing w:after="44"/>
      </w:pPr>
      <w:r>
        <w:rPr>
          <w:rFonts w:ascii="Aptos" w:hAnsi="Aptos"/>
          <w:sz w:val="18"/>
        </w:rPr>
        <w:t>multiple risky predictions with explicit failure conditions;</w:t>
      </w:r>
    </w:p>
    <w:p>
      <w:pPr>
        <w:pStyle w:val="ListBullet"/>
        <w:spacing w:after="44"/>
      </w:pPr>
      <w:r>
        <w:rPr>
          <w:rFonts w:ascii="Aptos" w:hAnsi="Aptos"/>
          <w:sz w:val="18"/>
        </w:rPr>
        <w:t>family-blocked, held-out evaluation against strong baselines;</w:t>
      </w:r>
    </w:p>
    <w:p>
      <w:pPr>
        <w:pStyle w:val="ListBullet"/>
        <w:spacing w:after="44"/>
      </w:pPr>
      <w:r>
        <w:rPr>
          <w:rFonts w:ascii="Aptos" w:hAnsi="Aptos"/>
          <w:sz w:val="18"/>
        </w:rPr>
        <w:t>independent behavioral replication and at least one cross-linguistic test;</w:t>
      </w:r>
    </w:p>
    <w:p>
      <w:pPr>
        <w:pStyle w:val="ListBullet"/>
        <w:spacing w:after="44"/>
      </w:pPr>
      <w:r>
        <w:rPr>
          <w:rFonts w:ascii="Aptos" w:hAnsi="Aptos"/>
          <w:sz w:val="18"/>
        </w:rPr>
        <w:t>transparent data, code, exclusions, and version history; and</w:t>
      </w:r>
    </w:p>
    <w:p>
      <w:pPr>
        <w:pStyle w:val="ListBullet"/>
        <w:spacing w:after="44"/>
      </w:pPr>
      <w:r>
        <w:rPr>
          <w:rFonts w:ascii="Aptos" w:hAnsi="Aptos"/>
          <w:sz w:val="18"/>
        </w:rPr>
        <w:t>a theory revision that follows the evidence, including principled contraction if key predictions fail.</w:t>
      </w:r>
    </w:p>
    <w:p>
      <w:r>
        <w:rPr>
          <w:rFonts w:ascii="Aptos" w:hAnsi="Aptos"/>
          <w:i w:val="0"/>
        </w:rPr>
        <w:t>A doctoral contribution need not prove that sound is a universal code. A stronger and more defensible contribution would identify which sound–meaning correspondences are real, how large they are, where they arise, and where the proposed mechanics stops working.</w:t>
      </w:r>
    </w:p>
    <w:p>
      <w:pPr>
        <w:pStyle w:val="Heading1"/>
      </w:pPr>
      <w:r>
        <w:t>Appendix A. Core Data Fields</w:t>
      </w:r>
    </w:p>
    <w:tbl>
      <w:tblPr>
        <w:tblW w:type="auto" w:w="0"/>
        <w:jc w:val="center"/>
        <w:tblLayout w:type="fixed"/>
        <w:tblLook w:firstColumn="1" w:firstRow="1" w:lastColumn="0" w:lastRow="0" w:noHBand="0" w:noVBand="1" w:val="04A0"/>
      </w:tblPr>
      <w:tblGrid>
        <w:gridCol w:w="4997"/>
        <w:gridCol w:w="4997"/>
      </w:tblGrid>
      <w:tr>
        <w:trPr>
          <w:trHeight w:val="440"/>
          <w:tblHeader w:val="true"/>
          <w:cantSplit/>
        </w:trPr>
        <w:tc>
          <w:tcPr>
            <w:tcW w:type="dxa" w:w="1656"/>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Domain</w:t>
            </w:r>
          </w:p>
        </w:tc>
        <w:tc>
          <w:tcPr>
            <w:tcW w:type="dxa" w:w="8280"/>
            <w:shd w:fill="17365D"/>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center"/>
          </w:tcPr>
          <w:p>
            <w:pPr>
              <w:spacing w:after="0"/>
            </w:pPr>
            <w:r>
              <w:rPr>
                <w:rFonts w:ascii="Aptos" w:hAnsi="Aptos"/>
                <w:b/>
                <w:color w:val="FFFFFF"/>
                <w:sz w:val="17"/>
              </w:rPr>
              <w:t>Required fields</w:t>
            </w:r>
          </w:p>
        </w:tc>
      </w:tr>
      <w:tr>
        <w:trPr>
          <w:cantSplit/>
        </w:trPr>
        <w:tc>
          <w:tcPr>
            <w:tcW w:type="dxa" w:w="1656"/>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Identity</w:t>
            </w:r>
          </w:p>
        </w:tc>
        <w:tc>
          <w:tcPr>
            <w:tcW w:type="dxa" w:w="8280"/>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item_id, lemma, surface_form, language, dialect, sense_id</w:t>
            </w:r>
          </w:p>
        </w:tc>
      </w:tr>
      <w:tr>
        <w:trPr>
          <w:cantSplit/>
        </w:trPr>
        <w:tc>
          <w:tcPr>
            <w:tcW w:type="dxa" w:w="1656"/>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Phonology</w:t>
            </w:r>
          </w:p>
        </w:tc>
        <w:tc>
          <w:tcPr>
            <w:tcW w:type="dxa" w:w="8280"/>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IPA, phoneme sequence, syllables, stress, target position, phonotactic probability</w:t>
            </w:r>
          </w:p>
        </w:tc>
      </w:tr>
      <w:tr>
        <w:trPr>
          <w:cantSplit/>
        </w:trPr>
        <w:tc>
          <w:tcPr>
            <w:tcW w:type="dxa" w:w="1656"/>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Morphology</w:t>
            </w:r>
          </w:p>
        </w:tc>
        <w:tc>
          <w:tcPr>
            <w:tcW w:type="dxa" w:w="8280"/>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prefix, root, suffix, compound status, derivational family</w:t>
            </w:r>
          </w:p>
        </w:tc>
      </w:tr>
      <w:tr>
        <w:trPr>
          <w:cantSplit/>
        </w:trPr>
        <w:tc>
          <w:tcPr>
            <w:tcW w:type="dxa" w:w="1656"/>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History</w:t>
            </w:r>
          </w:p>
        </w:tc>
        <w:tc>
          <w:tcPr>
            <w:tcW w:type="dxa" w:w="8280"/>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etymon, borrowing status, cognate group, source confidence</w:t>
            </w:r>
          </w:p>
        </w:tc>
      </w:tr>
      <w:tr>
        <w:trPr>
          <w:cantSplit/>
        </w:trPr>
        <w:tc>
          <w:tcPr>
            <w:tcW w:type="dxa" w:w="1656"/>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Usage</w:t>
            </w:r>
          </w:p>
        </w:tc>
        <w:tc>
          <w:tcPr>
            <w:tcW w:type="dxa" w:w="8280"/>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frequency, register, concreteness, familiarity, part of speech</w:t>
            </w:r>
          </w:p>
        </w:tc>
      </w:tr>
      <w:tr>
        <w:trPr>
          <w:cantSplit/>
        </w:trPr>
        <w:tc>
          <w:tcPr>
            <w:tcW w:type="dxa" w:w="1656"/>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Semantics</w:t>
            </w:r>
          </w:p>
        </w:tc>
        <w:tc>
          <w:tcPr>
            <w:tcW w:type="dxa" w:w="8280"/>
            <w:shd w:fill="F6F8FB"/>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preregistered dimensions, annotator IDs, ratings, confidence</w:t>
            </w:r>
          </w:p>
        </w:tc>
      </w:tr>
      <w:tr>
        <w:trPr>
          <w:cantSplit/>
        </w:trPr>
        <w:tc>
          <w:tcPr>
            <w:tcW w:type="dxa" w:w="1656"/>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Analysis</w:t>
            </w:r>
          </w:p>
        </w:tc>
        <w:tc>
          <w:tcPr>
            <w:tcW w:type="dxa" w:w="8280"/>
            <w:shd w:fill="FFFFFF"/>
            <w:tcBorders>
              <w:top w:val="single" w:sz="6" w:color="D9DEE7"/>
              <w:left w:val="single" w:sz="6" w:color="D9DEE7"/>
              <w:bottom w:val="single" w:sz="6" w:color="D9DEE7"/>
              <w:right w:val="single" w:sz="6" w:color="D9DEE7"/>
              <w:insideH w:val="single" w:sz="6" w:color="D9DEE7"/>
              <w:insideV w:val="single" w:sz="6" w:color="D9DEE7"/>
            </w:tcBorders>
            <w:tcMar>
              <w:top w:w="90" w:type="dxa"/>
              <w:start w:w="100" w:type="dxa"/>
              <w:bottom w:w="90" w:type="dxa"/>
              <w:end w:w="100" w:type="dxa"/>
            </w:tcMar>
            <w:vAlign w:val="top"/>
          </w:tcPr>
          <w:p>
            <w:pPr>
              <w:spacing w:after="0"/>
            </w:pPr>
            <w:r>
              <w:rPr>
                <w:rFonts w:ascii="Aptos" w:hAnsi="Aptos"/>
                <w:sz w:val="16"/>
              </w:rPr>
              <w:t>split assignment, exclusions, model version, prediction version</w:t>
            </w:r>
          </w:p>
        </w:tc>
      </w:tr>
    </w:tbl>
    <w:p>
      <w:pPr>
        <w:spacing w:after="0"/>
      </w:pPr>
    </w:p>
    <w:p>
      <w:pPr>
        <w:pStyle w:val="Heading1"/>
      </w:pPr>
      <w:r>
        <w:t>Appendix B. Starting Resources</w:t>
      </w:r>
    </w:p>
    <w:p>
      <w:pPr>
        <w:pStyle w:val="ListBullet"/>
        <w:spacing w:after="44"/>
      </w:pPr>
      <w:r>
        <w:rPr>
          <w:rFonts w:ascii="Aptos" w:hAnsi="Aptos"/>
          <w:sz w:val="18"/>
        </w:rPr>
        <w:t>Carnegie Mellon Speech Group. CMU Pronouncing Dictionary.</w:t>
      </w:r>
    </w:p>
    <w:p>
      <w:pPr>
        <w:pStyle w:val="ListBullet"/>
        <w:spacing w:after="44"/>
      </w:pPr>
      <w:r>
        <w:rPr>
          <w:rFonts w:ascii="Aptos" w:hAnsi="Aptos"/>
          <w:sz w:val="18"/>
        </w:rPr>
        <w:t>Princeton University. WordNet.</w:t>
      </w:r>
    </w:p>
    <w:p>
      <w:pPr>
        <w:pStyle w:val="ListBullet"/>
        <w:spacing w:after="44"/>
      </w:pPr>
      <w:r>
        <w:rPr>
          <w:rFonts w:ascii="Aptos" w:hAnsi="Aptos"/>
          <w:sz w:val="18"/>
        </w:rPr>
        <w:t>Forkel, R., et al. Cross-Linguistic Data Formats (CLDF).</w:t>
      </w:r>
    </w:p>
    <w:p>
      <w:pPr>
        <w:pStyle w:val="ListBullet"/>
        <w:spacing w:after="44"/>
      </w:pPr>
      <w:r>
        <w:rPr>
          <w:rFonts w:ascii="Aptos" w:hAnsi="Aptos"/>
          <w:sz w:val="18"/>
        </w:rPr>
        <w:t>Rubehn, T., et al. (2024). Generating feature vectors from phonetic transcriptions in CLDF.</w:t>
      </w:r>
    </w:p>
    <w:p>
      <w:pPr>
        <w:pStyle w:val="ListBullet"/>
        <w:spacing w:after="44"/>
      </w:pPr>
      <w:r>
        <w:rPr>
          <w:rFonts w:ascii="Aptos" w:hAnsi="Aptos"/>
          <w:sz w:val="18"/>
        </w:rPr>
        <w:t>Literature domains for systematic review: sound symbolism, phonesthemes, iconicity, ideophones, articulatory phonology, embodied cognition, historical linguistics, and morphological productivity.</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C76"/>
        <w:sz w:val="16"/>
      </w:rPr>
      <w:t>Language Mechanics 1.0 · Research Protocol · Sun Zhen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color w:val="2026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Display" w:hAnsi="Aptos Display"/>
      <w:b w:val="0"/>
      <w:i/>
      <w:iCs/>
      <w:color w:val="2F559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