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F5BE5">
      <w:pPr>
        <w:rPr>
          <w:rFonts w:ascii="黑体" w:hAnsi="宋体" w:eastAsia="黑体"/>
          <w:sz w:val="32"/>
          <w:szCs w:val="32"/>
        </w:rPr>
        <w:spacing w:line="360" w:lineRule="auto"/>
      </w:pPr>
      <w:bookmarkStart w:id="7" w:name="_GoBack"/>
      <w:bookmarkEnd w:id="7"/>
    </w:p>
    <w:p w14:paraId="6823BF89">
      <w:pPr>
        <w:rPr>
          <w:rFonts w:ascii="黑体" w:hAnsi="宋体" w:eastAsia="黑体"/>
          <w:sz w:val="32"/>
          <w:szCs w:val="32"/>
        </w:rPr>
        <w:spacing w:line="360" w:lineRule="auto"/>
      </w:pPr>
    </w:p>
    <w:p w14:paraId="5D5EE765">
      <w:pPr>
        <w:rPr>
          <w:rFonts w:ascii="黑体" w:hAnsi="宋体" w:eastAsia="黑体"/>
          <w:sz w:val="32"/>
          <w:szCs w:val="32"/>
        </w:rPr>
        <w:spacing w:line="360" w:lineRule="auto"/>
      </w:pPr>
    </w:p>
    <w:p w14:paraId="73ADEC65">
      <w:pPr>
        <w:jc w:val="center"/>
        <w:rPr>
          <w:rFonts w:ascii="黑体" w:hAnsi="宋体" w:eastAsia="黑体"/>
          <w:b/>
          <w:sz w:val="52"/>
          <w:szCs w:val="52"/>
        </w:rPr>
        <w:spacing w:line="360" w:lineRule="auto"/>
      </w:pPr>
      <w:r>
        <w:rPr>
          <w:rFonts w:hint="eastAsia" w:ascii="黑体" w:hAnsi="宋体" w:eastAsia="黑体"/>
          <w:b/>
          <w:sz w:val="52"/>
          <w:szCs w:val="52"/>
        </w:rPr>
        <w:t>中国研究生网络安全创新大赛</w:t>
      </w:r>
    </w:p>
    <w:p w14:paraId="6BCA8D9C">
      <w:pPr>
        <w:jc w:val="center"/>
        <w:rPr>
          <w:b/>
          <w:sz w:val="52"/>
          <w:szCs w:val="52"/>
        </w:rPr>
        <w:spacing w:line="360" w:lineRule="auto"/>
      </w:pPr>
      <w:r>
        <w:rPr>
          <w:rFonts w:hint="eastAsia" w:ascii="黑体" w:hAnsi="宋体" w:eastAsia="黑体"/>
          <w:b/>
          <w:sz w:val="52"/>
          <w:szCs w:val="52"/>
        </w:rPr>
        <w:t>作品报告</w:t>
      </w:r>
    </w:p>
    <w:p w14:paraId="3DCDC17D">
      <w:pPr>
        <w:spacing w:line="360" w:lineRule="auto"/>
        <w:rPr>
          <w:rFonts w:ascii="宋体" w:hAnsi="宋体"/>
          <w:sz w:val="24"/>
        </w:rPr>
      </w:pPr>
    </w:p>
    <w:p w14:paraId="0DBA6490">
      <w:pPr>
        <w:spacing w:line="360" w:lineRule="auto"/>
        <w:rPr>
          <w:rFonts w:ascii="宋体" w:hAnsi="宋体"/>
          <w:sz w:val="24"/>
        </w:rPr>
      </w:pPr>
    </w:p>
    <w:p w14:paraId="69275B41">
      <w:pPr>
        <w:spacing w:line="360" w:lineRule="auto"/>
        <w:rPr>
          <w:rFonts w:ascii="宋体" w:hAnsi="宋体"/>
          <w:sz w:val="24"/>
        </w:rPr>
      </w:pPr>
    </w:p>
    <w:p w14:paraId="5D5C8DC3">
      <w:pPr>
        <w:spacing w:line="360" w:lineRule="auto"/>
        <w:rPr>
          <w:rFonts w:ascii="宋体" w:hAnsi="宋体"/>
          <w:sz w:val="24"/>
        </w:rPr>
      </w:pPr>
    </w:p>
    <w:p w14:paraId="3C580CF2">
      <w:pPr>
        <w:spacing w:line="360" w:lineRule="auto"/>
        <w:rPr>
          <w:rFonts w:ascii="宋体" w:hAnsi="宋体"/>
          <w:sz w:val="24"/>
        </w:rPr>
      </w:pPr>
    </w:p>
    <w:p w14:paraId="5295D448">
      <w:pPr>
        <w:spacing w:line="360" w:lineRule="auto"/>
        <w:rPr>
          <w:rFonts w:ascii="宋体" w:hAnsi="宋体"/>
          <w:sz w:val="24"/>
        </w:rPr>
      </w:pPr>
    </w:p>
    <w:p w14:paraId="7317F5F8">
      <w:pPr>
        <w:spacing w:line="360" w:lineRule="auto"/>
        <w:rPr>
          <w:rFonts w:ascii="宋体" w:hAnsi="宋体"/>
          <w:sz w:val="24"/>
        </w:rPr>
      </w:pPr>
    </w:p>
    <w:p w14:paraId="0E2FBB69">
      <w:pPr>
        <w:spacing w:line="360" w:lineRule="auto"/>
        <w:rPr>
          <w:rFonts w:ascii="黑体" w:hAnsi="宋体" w:eastAsia="黑体"/>
          <w:b/>
          <w:sz w:val="32"/>
          <w:szCs w:val="32"/>
          <w:u w:val="single"/>
        </w:rPr>
      </w:pPr>
      <w:r>
        <w:rPr>
          <w:rFonts w:hint="eastAsia" w:ascii="黑体" w:hAnsi="宋体" w:eastAsia="黑体"/>
          <w:b/>
          <w:sz w:val="32"/>
          <w:szCs w:val="32"/>
        </w:rPr>
        <w:t>作品名称：PrivEdge 多源LDP摘要的抗投毒可信交换</w:t>
      </w:r>
      <w:r>
        <w:rPr>
          <w:rFonts w:hint="eastAsia" w:ascii="黑体" w:hAnsi="宋体" w:eastAsia="黑体"/>
          <w:b/>
          <w:sz w:val="32"/>
          <w:szCs w:val="32"/>
          <w:u w:val="single"/>
        </w:rPr>
        <w:t xml:space="preserve"/>
      </w:r>
      <w:r>
        <w:rPr>
          <w:rFonts w:ascii="黑体" w:hAnsi="宋体" w:eastAsia="黑体"/>
          <w:b/>
          <w:sz w:val="32"/>
          <w:szCs w:val="32"/>
        </w:rPr>
        <w:t xml:space="preserve"/>
      </w:r>
    </w:p>
    <w:p w14:paraId="23C90D38">
      <w:pPr>
        <w:autoSpaceDE w:val="0"/>
        <w:autoSpaceDN w:val="0"/>
        <w:adjustRightInd w:val="0"/>
        <w:spacing w:line="360" w:lineRule="auto"/>
        <w:rPr>
          <w:rFonts w:ascii="宋体" w:hAnsi="宋体" w:cs="DFKai-SB"/>
          <w:b/>
          <w:bCs/>
          <w:sz w:val="24"/>
        </w:rPr>
      </w:pPr>
    </w:p>
    <w:p w14:paraId="7939661E">
      <w:pPr>
        <w:spacing w:line="360" w:lineRule="auto"/>
        <w:rPr>
          <w:rFonts w:ascii="黑体" w:hAnsi="宋体" w:eastAsia="黑体"/>
          <w:b/>
          <w:sz w:val="32"/>
          <w:szCs w:val="32"/>
          <w:u w:val="single"/>
        </w:rPr>
      </w:pPr>
      <w:r>
        <w:rPr>
          <w:rFonts w:hint="eastAsia" w:ascii="黑体" w:hAnsi="宋体" w:eastAsia="黑体"/>
          <w:b/>
          <w:sz w:val="32"/>
          <w:szCs w:val="32"/>
          <w:lang w:val="en-US" w:eastAsia="zh-CN"/>
        </w:rPr>
        <w:t>提交日期：2026年10月17日</w:t>
      </w:r>
      <w:r>
        <w:rPr>
          <w:rFonts w:hint="eastAsia" w:ascii="黑体" w:hAnsi="宋体" w:eastAsia="黑体"/>
          <w:b/>
          <w:sz w:val="32"/>
          <w:szCs w:val="32"/>
        </w:rPr>
      </w:r>
      <w:r>
        <w:rPr>
          <w:rFonts w:hint="eastAsia" w:ascii="黑体" w:hAnsi="宋体" w:eastAsia="黑体"/>
          <w:b/>
          <w:sz w:val="32"/>
          <w:szCs w:val="32"/>
          <w:u w:val="single"/>
        </w:rPr>
      </w:r>
      <w:r>
        <w:rPr>
          <w:rFonts w:ascii="黑体" w:hAnsi="宋体" w:eastAsia="黑体"/>
          <w:b/>
          <w:sz w:val="32"/>
          <w:szCs w:val="32"/>
        </w:rPr>
      </w:r>
    </w:p>
    <w:p w14:paraId="20547743">
      <w:pPr>
        <w:autoSpaceDE w:val="0"/>
        <w:autoSpaceDN w:val="0"/>
        <w:adjustRightInd w:val="0"/>
        <w:spacing w:line="360" w:lineRule="auto"/>
        <w:rPr>
          <w:rFonts w:ascii="宋体" w:hAnsi="宋体" w:cs="DFKai-SB"/>
          <w:b/>
          <w:bCs/>
          <w:sz w:val="24"/>
        </w:rPr>
        <w:sectPr>
          <w:footerReference r:id="rId3" w:type="even"/>
          <w:pgSz w:w="11906" w:h="16838"/>
          <w:pgMar w:top="1440" w:right="1466" w:bottom="1440" w:left="1620" w:header="851" w:footer="992" w:gutter="0"/>
          <w:pgNumType w:fmt="decimalEnclosedCircle"/>
          <w:cols w:space="720" w:num="1"/>
          <w:docGrid w:type="lines" w:linePitch="312" w:charSpace="0"/>
        </w:sectPr>
      </w:pPr>
    </w:p>
    <w:p w14:paraId="232B7045">
      <w:pPr>
        <w:widowControl/>
        <w:adjustRightInd w:val="0"/>
        <w:snapToGrid w:val="0"/>
        <w:spacing w:line="360" w:lineRule="auto"/>
        <w:jc w:val="center"/>
        <w:rPr>
          <w:rFonts w:ascii="黑体" w:eastAsia="黑体"/>
          <w:bCs/>
          <w:sz w:val="32"/>
          <w:szCs w:val="32"/>
        </w:rPr>
      </w:pPr>
      <w:r>
        <w:rPr>
          <w:rFonts w:hint="eastAsia" w:ascii="宋体" w:eastAsia="宋体" w:hAnsi="宋体" w:cs="宋体"/>
          <w:bCs/>
          <w:sz w:val="24"/>
          <w:szCs w:val="24"/>
        </w:rPr>
        <w:t>填写说明</w:t>
      </w:r>
    </w:p>
    <w:p w14:paraId="30633AA6">
      <w:pPr>
        <w:widowControl/>
        <w:autoSpaceDE w:val="0"/>
        <w:autoSpaceDN w:val="0"/>
        <w:adjustRightInd w:val="0"/>
        <w:spacing w:line="360" w:lineRule="auto"/>
        <w:rPr>
          <w:rFonts w:ascii="宋体" w:hAnsi="宋体" w:cs="DFKai-SB"/>
          <w:bCs/>
          <w:sz w:val="24"/>
        </w:rPr>
      </w:pPr>
      <w:r>
        <w:rPr>
          <w:rFonts w:hint="eastAsia" w:ascii="宋体" w:hAnsi="宋体" w:cs="宋体" w:eastAsia="宋体"/>
          <w:bCs/>
          <w:sz w:val="24"/>
          <w:szCs w:val="24"/>
        </w:rPr>
        <w:t xml:space="preserve">1. </w:t>
      </w:r>
      <w:r>
        <w:rPr>
          <w:rFonts w:ascii="宋体" w:hAnsi="宋体" w:cs="宋体" w:eastAsia="宋体"/>
          <w:bCs/>
          <w:sz w:val="24"/>
          <w:szCs w:val="24"/>
        </w:rPr>
        <w:t>所有参赛</w:t>
      </w:r>
      <w:r>
        <w:rPr>
          <w:rFonts w:hint="eastAsia" w:ascii="宋体" w:hAnsi="宋体" w:cs="宋体" w:eastAsia="宋体"/>
          <w:bCs/>
          <w:sz w:val="24"/>
          <w:szCs w:val="24"/>
        </w:rPr>
        <w:t>项目</w:t>
      </w:r>
      <w:r>
        <w:rPr>
          <w:rFonts w:ascii="宋体" w:hAnsi="宋体" w:cs="宋体" w:eastAsia="宋体"/>
          <w:bCs/>
          <w:sz w:val="24"/>
          <w:szCs w:val="24"/>
        </w:rPr>
        <w:t>必须为一个基本完整的设计。</w:t>
      </w:r>
      <w:r>
        <w:rPr>
          <w:rFonts w:hint="eastAsia" w:ascii="宋体" w:hAnsi="宋体" w:cs="宋体" w:eastAsia="宋体"/>
          <w:bCs/>
          <w:sz w:val="24"/>
          <w:szCs w:val="24"/>
        </w:rPr>
        <w:t>作品报告书旨在能够清晰准确地阐述（或图示）该参赛队的参赛项目（或</w:t>
      </w:r>
      <w:r>
        <w:rPr>
          <w:rFonts w:ascii="宋体" w:hAnsi="宋体" w:cs="宋体" w:eastAsia="宋体"/>
          <w:bCs/>
          <w:sz w:val="24"/>
          <w:szCs w:val="24"/>
        </w:rPr>
        <w:t>方案</w:t>
      </w:r>
      <w:r>
        <w:rPr>
          <w:rFonts w:hint="eastAsia" w:ascii="宋体" w:hAnsi="宋体" w:cs="宋体" w:eastAsia="宋体"/>
          <w:bCs/>
          <w:sz w:val="24"/>
          <w:szCs w:val="24"/>
        </w:rPr>
        <w:t>）。</w:t>
      </w:r>
    </w:p>
    <w:p w14:paraId="00BE8FD4">
      <w:pPr>
        <w:widowControl/>
        <w:autoSpaceDE w:val="0"/>
        <w:autoSpaceDN w:val="0"/>
        <w:adjustRightInd w:val="0"/>
        <w:spacing w:line="360" w:lineRule="auto"/>
        <w:rPr>
          <w:rFonts w:ascii="宋体" w:hAnsi="宋体" w:cs="DFKai-SB"/>
          <w:bCs/>
          <w:sz w:val="24"/>
        </w:rPr>
      </w:pPr>
      <w:r>
        <w:rPr>
          <w:rFonts w:hint="eastAsia" w:ascii="宋体" w:hAnsi="宋体" w:cs="宋体" w:eastAsia="宋体"/>
          <w:bCs/>
          <w:sz w:val="24"/>
          <w:szCs w:val="24"/>
        </w:rPr>
        <w:t>2. 作品报告采用A4纸撰写。除标题外，所有内容必需为宋体、小四号字、1.5倍行距。</w:t>
      </w:r>
    </w:p>
    <w:p w14:paraId="4504A8BB">
      <w:pPr>
        <w:widowControl/>
        <w:autoSpaceDE w:val="0"/>
        <w:autoSpaceDN w:val="0"/>
        <w:adjustRightInd w:val="0"/>
        <w:spacing w:line="360" w:lineRule="auto"/>
        <w:rPr>
          <w:rFonts w:ascii="宋体" w:hAnsi="宋体" w:cs="DFKai-SB"/>
          <w:bCs/>
          <w:sz w:val="24"/>
        </w:rPr>
      </w:pPr>
      <w:r>
        <w:rPr>
          <w:rFonts w:hint="eastAsia" w:ascii="宋体" w:hAnsi="宋体" w:cs="宋体" w:eastAsia="宋体"/>
          <w:bCs/>
          <w:sz w:val="24"/>
          <w:szCs w:val="24"/>
        </w:rPr>
        <w:t>3. 作品报告中各项目说明文字部分仅供参考，作品报告书撰写完毕后，请删除所有说明文字。(本页不删除)</w:t>
      </w:r>
    </w:p>
    <w:p w14:paraId="3659927B">
      <w:pPr>
        <w:widowControl/>
        <w:autoSpaceDE w:val="0"/>
        <w:autoSpaceDN w:val="0"/>
        <w:adjustRightInd w:val="0"/>
        <w:spacing w:line="360" w:lineRule="auto"/>
        <w:rPr>
          <w:rFonts w:ascii="宋体" w:hAnsi="宋体" w:cs="DFKai-SB"/>
          <w:bCs/>
          <w:sz w:val="24"/>
        </w:rPr>
      </w:pPr>
      <w:r>
        <w:rPr>
          <w:rFonts w:hint="eastAsia" w:ascii="宋体" w:hAnsi="宋体" w:cs="宋体" w:eastAsia="宋体"/>
          <w:bCs/>
          <w:sz w:val="24"/>
          <w:szCs w:val="24"/>
        </w:rPr>
        <w:t>4. 作品报告模板里已经列的内容仅供参考，作者可以在此基础上增加内容或对文档结构进行微调。</w:t>
      </w:r>
    </w:p>
    <w:p w14:paraId="281A04FA">
      <w:pPr>
        <w:widowControl/>
        <w:autoSpaceDE w:val="0"/>
        <w:autoSpaceDN w:val="0"/>
        <w:adjustRightInd w:val="0"/>
        <w:spacing w:line="360" w:lineRule="auto"/>
        <w:rPr>
          <w:rFonts w:ascii="宋体" w:hAnsi="宋体" w:cs="DFKai-SB"/>
          <w:bCs/>
          <w:sz w:val="24"/>
        </w:rPr>
      </w:pPr>
      <w:r>
        <w:rPr>
          <w:rFonts w:hint="eastAsia" w:ascii="宋体" w:hAnsi="宋体" w:cs="宋体" w:eastAsia="宋体"/>
          <w:bCs/>
          <w:sz w:val="24"/>
          <w:szCs w:val="24"/>
        </w:rPr>
        <w:t>5. 为保证网评的公平、公正，作品报告中应避免出现作者所在学校、院系和指导教师等泄露身份的信息。一经发现，取消作品参赛资格。</w:t>
      </w:r>
    </w:p>
    <w:p w14:paraId="79774C28">
      <w:pPr>
        <w:widowControl/>
        <w:autoSpaceDE w:val="0"/>
        <w:autoSpaceDN w:val="0"/>
        <w:adjustRightInd w:val="0"/>
        <w:spacing w:line="360" w:lineRule="auto"/>
        <w:rPr>
          <w:rFonts w:ascii="宋体" w:hAnsi="宋体" w:cs="DFKai-SB"/>
          <w:bCs/>
          <w:sz w:val="24"/>
        </w:rPr>
        <w:sectPr>
          <w:pgSz w:w="11906" w:h="16838"/>
          <w:pgMar w:top="1440" w:right="1466" w:bottom="1440" w:left="1620" w:header="851" w:footer="992" w:gutter="0"/>
          <w:pgNumType w:fmt="decimalEnclosedCircle"/>
          <w:cols w:space="720" w:num="1"/>
          <w:docGrid w:type="lines" w:linePitch="312" w:charSpace="0"/>
        </w:sectPr>
      </w:pPr>
    </w:p>
    <w:p>
      <w:pPr>
        <w:keepNext w:val="0"/>
        <w:spacing w:line="360" w:lineRule="auto" w:after="120" w:before="0"/>
        <w:ind w:firstLine="0"/>
        <w:jc w:val="center"/>
      </w:pPr>
      <w:r>
        <w:rPr>
          <w:rFonts w:ascii="宋体" w:hAnsi="宋体" w:eastAsia="宋体"/>
          <w:b/>
          <w:sz w:val="24"/>
        </w:rPr>
        <w:t>目     录</w:t>
      </w:r>
    </w:p>
    <w:p>
      <w:pPr>
        <w:spacing w:line="360" w:lineRule="auto" w:after="20"/>
        <w:ind w:left="0"/>
        <w:tabs>
          <w:tab w:val="right" w:leader="dot" w:pos="8820"/>
        </w:tabs>
      </w:pPr>
      <w:hyperlink w:anchor="RR_001" w:history="1">
        <w:r>
          <w:rPr>
            <w:rFonts w:ascii="宋体" w:hAnsi="宋体" w:eastAsia="宋体"/>
            <w:sz w:val="24"/>
            <w:color w:val="000000"/>
          </w:rPr>
          <w:t>摘要</w:t>
        </w:r>
        <w:r>
          <w:rPr>
            <w:rFonts w:ascii="宋体" w:hAnsi="宋体" w:eastAsia="宋体"/>
            <w:sz w:val="24"/>
            <w:color w:val="000000"/>
          </w:rPr>
          <w:tab/>
        </w:r>
        <w:r>
          <w:rPr>
            <w:rFonts w:ascii="宋体" w:hAnsi="宋体" w:eastAsia="宋体"/>
            <w:sz w:val="24"/>
            <w:color w:val="000000"/>
          </w:rPr>
          <w:t>1</w:t>
        </w:r>
      </w:hyperlink>
    </w:p>
    <w:p>
      <w:pPr>
        <w:spacing w:line="360" w:lineRule="auto" w:after="20"/>
        <w:ind w:left="0"/>
        <w:tabs>
          <w:tab w:val="right" w:leader="dot" w:pos="8820"/>
        </w:tabs>
      </w:pPr>
      <w:hyperlink w:anchor="RR_002" w:history="1">
        <w:r>
          <w:rPr>
            <w:rFonts w:ascii="宋体" w:hAnsi="宋体" w:eastAsia="宋体"/>
            <w:sz w:val="24"/>
            <w:color w:val="000000"/>
          </w:rPr>
          <w:t>第一章 作品概述</w:t>
        </w:r>
        <w:r>
          <w:rPr>
            <w:rFonts w:ascii="宋体" w:hAnsi="宋体" w:eastAsia="宋体"/>
            <w:sz w:val="24"/>
            <w:color w:val="000000"/>
          </w:rPr>
          <w:tab/>
        </w:r>
        <w:r>
          <w:rPr>
            <w:rFonts w:ascii="宋体" w:hAnsi="宋体" w:eastAsia="宋体"/>
            <w:sz w:val="24"/>
            <w:color w:val="000000"/>
          </w:rPr>
          <w:t>2</w:t>
        </w:r>
      </w:hyperlink>
    </w:p>
    <w:p>
      <w:pPr>
        <w:spacing w:line="360" w:lineRule="auto" w:after="20"/>
        <w:ind w:left="240"/>
        <w:tabs>
          <w:tab w:val="right" w:leader="dot" w:pos="8820"/>
        </w:tabs>
      </w:pPr>
      <w:hyperlink w:anchor="RR_003" w:history="1">
        <w:r>
          <w:rPr>
            <w:rFonts w:ascii="宋体" w:hAnsi="宋体" w:eastAsia="宋体"/>
            <w:sz w:val="24"/>
            <w:color w:val="000000"/>
          </w:rPr>
          <w:t>1.1 研究背景</w:t>
        </w:r>
        <w:r>
          <w:rPr>
            <w:rFonts w:ascii="宋体" w:hAnsi="宋体" w:eastAsia="宋体"/>
            <w:sz w:val="24"/>
            <w:color w:val="000000"/>
          </w:rPr>
          <w:tab/>
        </w:r>
        <w:r>
          <w:rPr>
            <w:rFonts w:ascii="宋体" w:hAnsi="宋体" w:eastAsia="宋体"/>
            <w:sz w:val="24"/>
            <w:color w:val="000000"/>
          </w:rPr>
          <w:t>2</w:t>
        </w:r>
      </w:hyperlink>
    </w:p>
    <w:p>
      <w:pPr>
        <w:spacing w:line="360" w:lineRule="auto" w:after="20"/>
        <w:ind w:left="240"/>
        <w:tabs>
          <w:tab w:val="right" w:leader="dot" w:pos="8820"/>
        </w:tabs>
      </w:pPr>
      <w:hyperlink w:anchor="RR_004" w:history="1">
        <w:r>
          <w:rPr>
            <w:rFonts w:ascii="宋体" w:hAnsi="宋体" w:eastAsia="宋体"/>
            <w:sz w:val="24"/>
            <w:color w:val="000000"/>
          </w:rPr>
          <w:t>1.2 相关工作</w:t>
        </w:r>
        <w:r>
          <w:rPr>
            <w:rFonts w:ascii="宋体" w:hAnsi="宋体" w:eastAsia="宋体"/>
            <w:sz w:val="24"/>
            <w:color w:val="000000"/>
          </w:rPr>
          <w:tab/>
        </w:r>
        <w:r>
          <w:rPr>
            <w:rFonts w:ascii="宋体" w:hAnsi="宋体" w:eastAsia="宋体"/>
            <w:sz w:val="24"/>
            <w:color w:val="000000"/>
          </w:rPr>
          <w:t>2</w:t>
        </w:r>
      </w:hyperlink>
    </w:p>
    <w:p>
      <w:pPr>
        <w:spacing w:line="360" w:lineRule="auto" w:after="20"/>
        <w:ind w:left="480"/>
        <w:tabs>
          <w:tab w:val="right" w:leader="dot" w:pos="8820"/>
        </w:tabs>
      </w:pPr>
      <w:hyperlink w:anchor="RR_005" w:history="1">
        <w:r>
          <w:rPr>
            <w:rFonts w:ascii="宋体" w:hAnsi="宋体" w:eastAsia="宋体"/>
            <w:sz w:val="24"/>
            <w:color w:val="000000"/>
          </w:rPr>
          <w:t>1.2.1 LDP频率估计与Top K识别</w:t>
        </w:r>
        <w:r>
          <w:rPr>
            <w:rFonts w:ascii="宋体" w:hAnsi="宋体" w:eastAsia="宋体"/>
            <w:sz w:val="24"/>
            <w:color w:val="000000"/>
          </w:rPr>
          <w:tab/>
        </w:r>
        <w:r>
          <w:rPr>
            <w:rFonts w:ascii="宋体" w:hAnsi="宋体" w:eastAsia="宋体"/>
            <w:sz w:val="24"/>
            <w:color w:val="000000"/>
          </w:rPr>
          <w:t>2</w:t>
        </w:r>
      </w:hyperlink>
    </w:p>
    <w:p>
      <w:pPr>
        <w:spacing w:line="360" w:lineRule="auto" w:after="20"/>
        <w:ind w:left="480"/>
        <w:tabs>
          <w:tab w:val="right" w:leader="dot" w:pos="8820"/>
        </w:tabs>
      </w:pPr>
      <w:hyperlink w:anchor="RR_006" w:history="1">
        <w:r>
          <w:rPr>
            <w:rFonts w:ascii="宋体" w:hAnsi="宋体" w:eastAsia="宋体"/>
            <w:sz w:val="24"/>
            <w:color w:val="000000"/>
          </w:rPr>
          <w:t>1.2.2 LDP投毒攻击与防御</w:t>
        </w:r>
        <w:r>
          <w:rPr>
            <w:rFonts w:ascii="宋体" w:hAnsi="宋体" w:eastAsia="宋体"/>
            <w:sz w:val="24"/>
            <w:color w:val="000000"/>
          </w:rPr>
          <w:tab/>
        </w:r>
        <w:r>
          <w:rPr>
            <w:rFonts w:ascii="宋体" w:hAnsi="宋体" w:eastAsia="宋体"/>
            <w:sz w:val="24"/>
            <w:color w:val="000000"/>
          </w:rPr>
          <w:t>3</w:t>
        </w:r>
      </w:hyperlink>
    </w:p>
    <w:p>
      <w:pPr>
        <w:spacing w:line="360" w:lineRule="auto" w:after="20"/>
        <w:ind w:left="480"/>
        <w:tabs>
          <w:tab w:val="right" w:leader="dot" w:pos="8820"/>
        </w:tabs>
      </w:pPr>
      <w:hyperlink w:anchor="RR_007" w:history="1">
        <w:r>
          <w:rPr>
            <w:rFonts w:ascii="宋体" w:hAnsi="宋体" w:eastAsia="宋体"/>
            <w:sz w:val="24"/>
            <w:color w:val="000000"/>
          </w:rPr>
          <w:t>1.2.3 arXiv 2506.02156与恶意报告检测</w:t>
        </w:r>
        <w:r>
          <w:rPr>
            <w:rFonts w:ascii="宋体" w:hAnsi="宋体" w:eastAsia="宋体"/>
            <w:sz w:val="24"/>
            <w:color w:val="000000"/>
          </w:rPr>
          <w:tab/>
        </w:r>
        <w:r>
          <w:rPr>
            <w:rFonts w:ascii="宋体" w:hAnsi="宋体" w:eastAsia="宋体"/>
            <w:sz w:val="24"/>
            <w:color w:val="000000"/>
          </w:rPr>
          <w:t>3</w:t>
        </w:r>
      </w:hyperlink>
    </w:p>
    <w:p>
      <w:pPr>
        <w:spacing w:line="360" w:lineRule="auto" w:after="20"/>
        <w:ind w:left="480"/>
        <w:tabs>
          <w:tab w:val="right" w:leader="dot" w:pos="8820"/>
        </w:tabs>
      </w:pPr>
      <w:hyperlink w:anchor="RR_008" w:history="1">
        <w:r>
          <w:rPr>
            <w:rFonts w:ascii="宋体" w:hAnsi="宋体" w:eastAsia="宋体"/>
            <w:sz w:val="24"/>
            <w:color w:val="000000"/>
          </w:rPr>
          <w:t>1.2.4 已有鲁棒聚合</w:t>
        </w:r>
        <w:r>
          <w:rPr>
            <w:rFonts w:ascii="宋体" w:hAnsi="宋体" w:eastAsia="宋体"/>
            <w:sz w:val="24"/>
            <w:color w:val="000000"/>
          </w:rPr>
          <w:tab/>
        </w:r>
        <w:r>
          <w:rPr>
            <w:rFonts w:ascii="宋体" w:hAnsi="宋体" w:eastAsia="宋体"/>
            <w:sz w:val="24"/>
            <w:color w:val="000000"/>
          </w:rPr>
          <w:t>3</w:t>
        </w:r>
      </w:hyperlink>
    </w:p>
    <w:p>
      <w:pPr>
        <w:spacing w:line="360" w:lineRule="auto" w:after="20"/>
        <w:ind w:left="480"/>
        <w:tabs>
          <w:tab w:val="right" w:leader="dot" w:pos="8820"/>
        </w:tabs>
      </w:pPr>
      <w:hyperlink w:anchor="RR_009" w:history="1">
        <w:r>
          <w:rPr>
            <w:rFonts w:ascii="宋体" w:hAnsi="宋体" w:eastAsia="宋体"/>
            <w:sz w:val="24"/>
            <w:color w:val="000000"/>
          </w:rPr>
          <w:t>1.2.5 隐私预算审计与协议验证</w:t>
        </w:r>
        <w:r>
          <w:rPr>
            <w:rFonts w:ascii="宋体" w:hAnsi="宋体" w:eastAsia="宋体"/>
            <w:sz w:val="24"/>
            <w:color w:val="000000"/>
          </w:rPr>
          <w:tab/>
        </w:r>
        <w:r>
          <w:rPr>
            <w:rFonts w:ascii="宋体" w:hAnsi="宋体" w:eastAsia="宋体"/>
            <w:sz w:val="24"/>
            <w:color w:val="000000"/>
          </w:rPr>
          <w:t>4</w:t>
        </w:r>
      </w:hyperlink>
    </w:p>
    <w:p>
      <w:pPr>
        <w:spacing w:line="360" w:lineRule="auto" w:after="20"/>
        <w:ind w:left="240"/>
        <w:tabs>
          <w:tab w:val="right" w:leader="dot" w:pos="8820"/>
        </w:tabs>
      </w:pPr>
      <w:hyperlink w:anchor="RR_010" w:history="1">
        <w:r>
          <w:rPr>
            <w:rFonts w:ascii="宋体" w:hAnsi="宋体" w:eastAsia="宋体"/>
            <w:sz w:val="24"/>
            <w:color w:val="000000"/>
          </w:rPr>
          <w:t>1.3 作品贡献</w:t>
        </w:r>
        <w:r>
          <w:rPr>
            <w:rFonts w:ascii="宋体" w:hAnsi="宋体" w:eastAsia="宋体"/>
            <w:sz w:val="24"/>
            <w:color w:val="000000"/>
          </w:rPr>
          <w:tab/>
        </w:r>
        <w:r>
          <w:rPr>
            <w:rFonts w:ascii="宋体" w:hAnsi="宋体" w:eastAsia="宋体"/>
            <w:sz w:val="24"/>
            <w:color w:val="000000"/>
          </w:rPr>
          <w:t>5</w:t>
        </w:r>
      </w:hyperlink>
    </w:p>
    <w:p>
      <w:pPr>
        <w:spacing w:line="360" w:lineRule="auto" w:after="20"/>
        <w:ind w:left="240"/>
        <w:tabs>
          <w:tab w:val="right" w:leader="dot" w:pos="8820"/>
        </w:tabs>
      </w:pPr>
      <w:hyperlink w:anchor="RR_011" w:history="1">
        <w:r>
          <w:rPr>
            <w:rFonts w:ascii="宋体" w:hAnsi="宋体" w:eastAsia="宋体"/>
            <w:sz w:val="24"/>
            <w:color w:val="000000"/>
          </w:rPr>
          <w:t>1.4 应用场景</w:t>
        </w:r>
        <w:r>
          <w:rPr>
            <w:rFonts w:ascii="宋体" w:hAnsi="宋体" w:eastAsia="宋体"/>
            <w:sz w:val="24"/>
            <w:color w:val="000000"/>
          </w:rPr>
          <w:tab/>
        </w:r>
        <w:r>
          <w:rPr>
            <w:rFonts w:ascii="宋体" w:hAnsi="宋体" w:eastAsia="宋体"/>
            <w:sz w:val="24"/>
            <w:color w:val="000000"/>
          </w:rPr>
          <w:t>5</w:t>
        </w:r>
      </w:hyperlink>
    </w:p>
    <w:p>
      <w:pPr>
        <w:spacing w:line="360" w:lineRule="auto" w:after="20"/>
        <w:ind w:left="0"/>
        <w:tabs>
          <w:tab w:val="right" w:leader="dot" w:pos="8820"/>
        </w:tabs>
      </w:pPr>
      <w:hyperlink w:anchor="RR_012" w:history="1">
        <w:r>
          <w:rPr>
            <w:rFonts w:ascii="宋体" w:hAnsi="宋体" w:eastAsia="宋体"/>
            <w:sz w:val="24"/>
            <w:color w:val="000000"/>
          </w:rPr>
          <w:t>第二章 作品设计与实现</w:t>
        </w:r>
        <w:r>
          <w:rPr>
            <w:rFonts w:ascii="宋体" w:hAnsi="宋体" w:eastAsia="宋体"/>
            <w:sz w:val="24"/>
            <w:color w:val="000000"/>
          </w:rPr>
          <w:tab/>
        </w:r>
        <w:r>
          <w:rPr>
            <w:rFonts w:ascii="宋体" w:hAnsi="宋体" w:eastAsia="宋体"/>
            <w:sz w:val="24"/>
            <w:color w:val="000000"/>
          </w:rPr>
          <w:t>6</w:t>
        </w:r>
      </w:hyperlink>
    </w:p>
    <w:p>
      <w:pPr>
        <w:spacing w:line="360" w:lineRule="auto" w:after="20"/>
        <w:ind w:left="240"/>
        <w:tabs>
          <w:tab w:val="right" w:leader="dot" w:pos="8820"/>
        </w:tabs>
      </w:pPr>
      <w:hyperlink w:anchor="RR_013" w:history="1">
        <w:r>
          <w:rPr>
            <w:rFonts w:ascii="宋体" w:hAnsi="宋体" w:eastAsia="宋体"/>
            <w:sz w:val="24"/>
            <w:color w:val="000000"/>
          </w:rPr>
          <w:t>2.1 问题模型</w:t>
        </w:r>
        <w:r>
          <w:rPr>
            <w:rFonts w:ascii="宋体" w:hAnsi="宋体" w:eastAsia="宋体"/>
            <w:sz w:val="24"/>
            <w:color w:val="000000"/>
          </w:rPr>
          <w:tab/>
        </w:r>
        <w:r>
          <w:rPr>
            <w:rFonts w:ascii="宋体" w:hAnsi="宋体" w:eastAsia="宋体"/>
            <w:sz w:val="24"/>
            <w:color w:val="000000"/>
          </w:rPr>
          <w:t>6</w:t>
        </w:r>
      </w:hyperlink>
    </w:p>
    <w:p>
      <w:pPr>
        <w:spacing w:line="360" w:lineRule="auto" w:after="20"/>
        <w:ind w:left="240"/>
        <w:tabs>
          <w:tab w:val="right" w:leader="dot" w:pos="8820"/>
        </w:tabs>
      </w:pPr>
      <w:hyperlink w:anchor="RR_014" w:history="1">
        <w:r>
          <w:rPr>
            <w:rFonts w:ascii="宋体" w:hAnsi="宋体" w:eastAsia="宋体"/>
            <w:sz w:val="24"/>
            <w:color w:val="000000"/>
          </w:rPr>
          <w:t>2.2 安全模型</w:t>
        </w:r>
        <w:r>
          <w:rPr>
            <w:rFonts w:ascii="宋体" w:hAnsi="宋体" w:eastAsia="宋体"/>
            <w:sz w:val="24"/>
            <w:color w:val="000000"/>
          </w:rPr>
          <w:tab/>
        </w:r>
        <w:r>
          <w:rPr>
            <w:rFonts w:ascii="宋体" w:hAnsi="宋体" w:eastAsia="宋体"/>
            <w:sz w:val="24"/>
            <w:color w:val="000000"/>
          </w:rPr>
          <w:t>6</w:t>
        </w:r>
      </w:hyperlink>
    </w:p>
    <w:p>
      <w:pPr>
        <w:spacing w:line="360" w:lineRule="auto" w:after="20"/>
        <w:ind w:left="240"/>
        <w:tabs>
          <w:tab w:val="right" w:leader="dot" w:pos="8820"/>
        </w:tabs>
      </w:pPr>
      <w:hyperlink w:anchor="RR_015" w:history="1">
        <w:r>
          <w:rPr>
            <w:rFonts w:ascii="宋体" w:hAnsi="宋体" w:eastAsia="宋体"/>
            <w:sz w:val="24"/>
            <w:color w:val="000000"/>
          </w:rPr>
          <w:t>2.3 设计目标</w:t>
        </w:r>
        <w:r>
          <w:rPr>
            <w:rFonts w:ascii="宋体" w:hAnsi="宋体" w:eastAsia="宋体"/>
            <w:sz w:val="24"/>
            <w:color w:val="000000"/>
          </w:rPr>
          <w:tab/>
        </w:r>
        <w:r>
          <w:rPr>
            <w:rFonts w:ascii="宋体" w:hAnsi="宋体" w:eastAsia="宋体"/>
            <w:sz w:val="24"/>
            <w:color w:val="000000"/>
          </w:rPr>
          <w:t>7</w:t>
        </w:r>
      </w:hyperlink>
    </w:p>
    <w:p>
      <w:pPr>
        <w:spacing w:line="360" w:lineRule="auto" w:after="20"/>
        <w:ind w:left="240"/>
        <w:tabs>
          <w:tab w:val="right" w:leader="dot" w:pos="8820"/>
        </w:tabs>
      </w:pPr>
      <w:hyperlink w:anchor="RR_016" w:history="1">
        <w:r>
          <w:rPr>
            <w:rFonts w:ascii="宋体" w:hAnsi="宋体" w:eastAsia="宋体"/>
            <w:sz w:val="24"/>
            <w:color w:val="000000"/>
          </w:rPr>
          <w:t>2.4 系统总体框架</w:t>
        </w:r>
        <w:r>
          <w:rPr>
            <w:rFonts w:ascii="宋体" w:hAnsi="宋体" w:eastAsia="宋体"/>
            <w:sz w:val="24"/>
            <w:color w:val="000000"/>
          </w:rPr>
          <w:tab/>
        </w:r>
        <w:r>
          <w:rPr>
            <w:rFonts w:ascii="宋体" w:hAnsi="宋体" w:eastAsia="宋体"/>
            <w:sz w:val="24"/>
            <w:color w:val="000000"/>
          </w:rPr>
          <w:t>8</w:t>
        </w:r>
      </w:hyperlink>
    </w:p>
    <w:p>
      <w:pPr>
        <w:spacing w:line="360" w:lineRule="auto" w:after="20"/>
        <w:ind w:left="240"/>
        <w:tabs>
          <w:tab w:val="right" w:leader="dot" w:pos="8820"/>
        </w:tabs>
      </w:pPr>
      <w:hyperlink w:anchor="RR_017" w:history="1">
        <w:r>
          <w:rPr>
            <w:rFonts w:ascii="宋体" w:hAnsi="宋体" w:eastAsia="宋体"/>
            <w:sz w:val="24"/>
            <w:color w:val="000000"/>
          </w:rPr>
          <w:t>2.5 方案设计思路及原理</w:t>
        </w:r>
        <w:r>
          <w:rPr>
            <w:rFonts w:ascii="宋体" w:hAnsi="宋体" w:eastAsia="宋体"/>
            <w:sz w:val="24"/>
            <w:color w:val="000000"/>
          </w:rPr>
          <w:tab/>
        </w:r>
        <w:r>
          <w:rPr>
            <w:rFonts w:ascii="宋体" w:hAnsi="宋体" w:eastAsia="宋体"/>
            <w:sz w:val="24"/>
            <w:color w:val="000000"/>
          </w:rPr>
          <w:t>9</w:t>
        </w:r>
      </w:hyperlink>
    </w:p>
    <w:p>
      <w:pPr>
        <w:spacing w:line="360" w:lineRule="auto" w:after="20"/>
        <w:ind w:left="480"/>
        <w:tabs>
          <w:tab w:val="right" w:leader="dot" w:pos="8820"/>
        </w:tabs>
      </w:pPr>
      <w:hyperlink w:anchor="RR_018" w:history="1">
        <w:r>
          <w:rPr>
            <w:rFonts w:ascii="宋体" w:hAnsi="宋体" w:eastAsia="宋体"/>
            <w:sz w:val="24"/>
            <w:color w:val="000000"/>
          </w:rPr>
          <w:t>2.5.1 LDP摘要发布</w:t>
        </w:r>
        <w:r>
          <w:rPr>
            <w:rFonts w:ascii="宋体" w:hAnsi="宋体" w:eastAsia="宋体"/>
            <w:sz w:val="24"/>
            <w:color w:val="000000"/>
          </w:rPr>
          <w:tab/>
        </w:r>
        <w:r>
          <w:rPr>
            <w:rFonts w:ascii="宋体" w:hAnsi="宋体" w:eastAsia="宋体"/>
            <w:sz w:val="24"/>
            <w:color w:val="000000"/>
          </w:rPr>
          <w:t>9</w:t>
        </w:r>
      </w:hyperlink>
    </w:p>
    <w:p>
      <w:pPr>
        <w:spacing w:line="360" w:lineRule="auto" w:after="20"/>
        <w:ind w:left="480"/>
        <w:tabs>
          <w:tab w:val="right" w:leader="dot" w:pos="8820"/>
        </w:tabs>
      </w:pPr>
      <w:hyperlink w:anchor="RR_019" w:history="1">
        <w:r>
          <w:rPr>
            <w:rFonts w:ascii="宋体" w:hAnsi="宋体" w:eastAsia="宋体"/>
            <w:sz w:val="24"/>
            <w:color w:val="000000"/>
          </w:rPr>
          <w:t>2.5.2 发布端伪造用户检测</w:t>
        </w:r>
        <w:r>
          <w:rPr>
            <w:rFonts w:ascii="宋体" w:hAnsi="宋体" w:eastAsia="宋体"/>
            <w:sz w:val="24"/>
            <w:color w:val="000000"/>
          </w:rPr>
          <w:tab/>
        </w:r>
        <w:r>
          <w:rPr>
            <w:rFonts w:ascii="宋体" w:hAnsi="宋体" w:eastAsia="宋体"/>
            <w:sz w:val="24"/>
            <w:color w:val="000000"/>
          </w:rPr>
          <w:t>11</w:t>
        </w:r>
      </w:hyperlink>
    </w:p>
    <w:p>
      <w:pPr>
        <w:spacing w:line="360" w:lineRule="auto" w:after="20"/>
        <w:ind w:left="480"/>
        <w:tabs>
          <w:tab w:val="right" w:leader="dot" w:pos="8820"/>
        </w:tabs>
      </w:pPr>
      <w:hyperlink w:anchor="RR_020" w:history="1">
        <w:r>
          <w:rPr>
            <w:rFonts w:ascii="宋体" w:hAnsi="宋体" w:eastAsia="宋体"/>
            <w:sz w:val="24"/>
            <w:color w:val="000000"/>
          </w:rPr>
          <w:t>2.5.3 网关抗投毒融合</w:t>
        </w:r>
        <w:r>
          <w:rPr>
            <w:rFonts w:ascii="宋体" w:hAnsi="宋体" w:eastAsia="宋体"/>
            <w:sz w:val="24"/>
            <w:color w:val="000000"/>
          </w:rPr>
          <w:tab/>
        </w:r>
        <w:r>
          <w:rPr>
            <w:rFonts w:ascii="宋体" w:hAnsi="宋体" w:eastAsia="宋体"/>
            <w:sz w:val="24"/>
            <w:color w:val="000000"/>
          </w:rPr>
          <w:t>11</w:t>
        </w:r>
      </w:hyperlink>
    </w:p>
    <w:p>
      <w:pPr>
        <w:spacing w:line="360" w:lineRule="auto" w:after="20"/>
        <w:ind w:left="480"/>
        <w:tabs>
          <w:tab w:val="right" w:leader="dot" w:pos="8820"/>
        </w:tabs>
      </w:pPr>
      <w:hyperlink w:anchor="RR_021" w:history="1">
        <w:r>
          <w:rPr>
            <w:rFonts w:ascii="宋体" w:hAnsi="宋体" w:eastAsia="宋体"/>
            <w:sz w:val="24"/>
            <w:color w:val="000000"/>
          </w:rPr>
          <w:t>2.5.4 签名发布协议与预算账本</w:t>
        </w:r>
        <w:r>
          <w:rPr>
            <w:rFonts w:ascii="宋体" w:hAnsi="宋体" w:eastAsia="宋体"/>
            <w:sz w:val="24"/>
            <w:color w:val="000000"/>
          </w:rPr>
          <w:tab/>
        </w:r>
        <w:r>
          <w:rPr>
            <w:rFonts w:ascii="宋体" w:hAnsi="宋体" w:eastAsia="宋体"/>
            <w:sz w:val="24"/>
            <w:color w:val="000000"/>
          </w:rPr>
          <w:t>13</w:t>
        </w:r>
      </w:hyperlink>
    </w:p>
    <w:p>
      <w:pPr>
        <w:spacing w:line="360" w:lineRule="auto" w:after="20"/>
        <w:ind w:left="480"/>
        <w:tabs>
          <w:tab w:val="right" w:leader="dot" w:pos="8820"/>
        </w:tabs>
      </w:pPr>
      <w:hyperlink w:anchor="RR_022" w:history="1">
        <w:r>
          <w:rPr>
            <w:rFonts w:ascii="宋体" w:hAnsi="宋体" w:eastAsia="宋体"/>
            <w:sz w:val="24"/>
            <w:color w:val="000000"/>
          </w:rPr>
          <w:t>2.5.5 三态输出与解释</w:t>
        </w:r>
        <w:r>
          <w:rPr>
            <w:rFonts w:ascii="宋体" w:hAnsi="宋体" w:eastAsia="宋体"/>
            <w:sz w:val="24"/>
            <w:color w:val="000000"/>
          </w:rPr>
          <w:tab/>
        </w:r>
        <w:r>
          <w:rPr>
            <w:rFonts w:ascii="宋体" w:hAnsi="宋体" w:eastAsia="宋体"/>
            <w:sz w:val="24"/>
            <w:color w:val="000000"/>
          </w:rPr>
          <w:t>15</w:t>
        </w:r>
      </w:hyperlink>
    </w:p>
    <w:p>
      <w:pPr>
        <w:spacing w:line="360" w:lineRule="auto" w:after="20"/>
        <w:ind w:left="240"/>
        <w:tabs>
          <w:tab w:val="right" w:leader="dot" w:pos="8820"/>
        </w:tabs>
      </w:pPr>
      <w:hyperlink w:anchor="RR_023" w:history="1">
        <w:r>
          <w:rPr>
            <w:rFonts w:ascii="宋体" w:hAnsi="宋体" w:eastAsia="宋体"/>
            <w:sz w:val="24"/>
            <w:color w:val="000000"/>
          </w:rPr>
          <w:t>2.6 安全性分析</w:t>
        </w:r>
        <w:r>
          <w:rPr>
            <w:rFonts w:ascii="宋体" w:hAnsi="宋体" w:eastAsia="宋体"/>
            <w:sz w:val="24"/>
            <w:color w:val="000000"/>
          </w:rPr>
          <w:tab/>
        </w:r>
        <w:r>
          <w:rPr>
            <w:rFonts w:ascii="宋体" w:hAnsi="宋体" w:eastAsia="宋体"/>
            <w:sz w:val="24"/>
            <w:color w:val="000000"/>
          </w:rPr>
          <w:t>16</w:t>
        </w:r>
      </w:hyperlink>
    </w:p>
    <w:p>
      <w:pPr>
        <w:spacing w:line="360" w:lineRule="auto" w:after="20"/>
        <w:ind w:left="480"/>
        <w:tabs>
          <w:tab w:val="right" w:leader="dot" w:pos="8820"/>
        </w:tabs>
      </w:pPr>
      <w:hyperlink w:anchor="RR_024" w:history="1">
        <w:r>
          <w:rPr>
            <w:rFonts w:ascii="宋体" w:hAnsi="宋体" w:eastAsia="宋体"/>
            <w:sz w:val="24"/>
            <w:color w:val="000000"/>
          </w:rPr>
          <w:t>2.6.1 隐私性分析</w:t>
        </w:r>
        <w:r>
          <w:rPr>
            <w:rFonts w:ascii="宋体" w:hAnsi="宋体" w:eastAsia="宋体"/>
            <w:sz w:val="24"/>
            <w:color w:val="000000"/>
          </w:rPr>
          <w:tab/>
        </w:r>
        <w:r>
          <w:rPr>
            <w:rFonts w:ascii="宋体" w:hAnsi="宋体" w:eastAsia="宋体"/>
            <w:sz w:val="24"/>
            <w:color w:val="000000"/>
          </w:rPr>
          <w:t>16</w:t>
        </w:r>
      </w:hyperlink>
    </w:p>
    <w:p>
      <w:pPr>
        <w:spacing w:line="360" w:lineRule="auto" w:after="20"/>
        <w:ind w:left="480"/>
        <w:tabs>
          <w:tab w:val="right" w:leader="dot" w:pos="8820"/>
        </w:tabs>
      </w:pPr>
      <w:hyperlink w:anchor="RR_025" w:history="1">
        <w:r>
          <w:rPr>
            <w:rFonts w:ascii="宋体" w:hAnsi="宋体" w:eastAsia="宋体"/>
            <w:sz w:val="24"/>
            <w:color w:val="000000"/>
          </w:rPr>
          <w:t>2.6.2 容错定理与适用条件</w:t>
        </w:r>
        <w:r>
          <w:rPr>
            <w:rFonts w:ascii="宋体" w:hAnsi="宋体" w:eastAsia="宋体"/>
            <w:sz w:val="24"/>
            <w:color w:val="000000"/>
          </w:rPr>
          <w:tab/>
        </w:r>
        <w:r>
          <w:rPr>
            <w:rFonts w:ascii="宋体" w:hAnsi="宋体" w:eastAsia="宋体"/>
            <w:sz w:val="24"/>
            <w:color w:val="000000"/>
          </w:rPr>
          <w:t>17</w:t>
        </w:r>
      </w:hyperlink>
    </w:p>
    <w:p>
      <w:pPr>
        <w:spacing w:line="360" w:lineRule="auto" w:after="20"/>
        <w:ind w:left="480"/>
        <w:tabs>
          <w:tab w:val="right" w:leader="dot" w:pos="8820"/>
        </w:tabs>
      </w:pPr>
      <w:hyperlink w:anchor="RR_026" w:history="1">
        <w:r>
          <w:rPr>
            <w:rFonts w:ascii="宋体" w:hAnsi="宋体" w:eastAsia="宋体"/>
            <w:sz w:val="24"/>
            <w:color w:val="000000"/>
          </w:rPr>
          <w:t>2.6.3 ProVerif形式化验证</w:t>
        </w:r>
        <w:r>
          <w:rPr>
            <w:rFonts w:ascii="宋体" w:hAnsi="宋体" w:eastAsia="宋体"/>
            <w:sz w:val="24"/>
            <w:color w:val="000000"/>
          </w:rPr>
          <w:tab/>
        </w:r>
        <w:r>
          <w:rPr>
            <w:rFonts w:ascii="宋体" w:hAnsi="宋体" w:eastAsia="宋体"/>
            <w:sz w:val="24"/>
            <w:color w:val="000000"/>
          </w:rPr>
          <w:t>18</w:t>
        </w:r>
      </w:hyperlink>
    </w:p>
    <w:p>
      <w:pPr>
        <w:spacing w:line="360" w:lineRule="auto" w:after="20"/>
        <w:ind w:left="480"/>
        <w:tabs>
          <w:tab w:val="right" w:leader="dot" w:pos="8820"/>
        </w:tabs>
      </w:pPr>
      <w:hyperlink w:anchor="RR_027" w:history="1">
        <w:r>
          <w:rPr>
            <w:rFonts w:ascii="宋体" w:hAnsi="宋体" w:eastAsia="宋体"/>
            <w:sz w:val="24"/>
            <w:color w:val="000000"/>
          </w:rPr>
          <w:t>2.6.4 设计约束与实现验证</w:t>
        </w:r>
        <w:r>
          <w:rPr>
            <w:rFonts w:ascii="宋体" w:hAnsi="宋体" w:eastAsia="宋体"/>
            <w:sz w:val="24"/>
            <w:color w:val="000000"/>
          </w:rPr>
          <w:tab/>
        </w:r>
        <w:r>
          <w:rPr>
            <w:rFonts w:ascii="宋体" w:hAnsi="宋体" w:eastAsia="宋体"/>
            <w:sz w:val="24"/>
            <w:color w:val="000000"/>
          </w:rPr>
          <w:t>19</w:t>
        </w:r>
      </w:hyperlink>
    </w:p>
    <w:p>
      <w:pPr>
        <w:spacing w:line="360" w:lineRule="auto" w:after="20"/>
        <w:ind w:left="240"/>
        <w:tabs>
          <w:tab w:val="right" w:leader="dot" w:pos="8820"/>
        </w:tabs>
      </w:pPr>
      <w:hyperlink w:anchor="RR_028" w:history="1">
        <w:r>
          <w:rPr>
            <w:rFonts w:ascii="宋体" w:hAnsi="宋体" w:eastAsia="宋体"/>
            <w:sz w:val="24"/>
            <w:color w:val="000000"/>
          </w:rPr>
          <w:t>2.7 前端设计与实现</w:t>
        </w:r>
        <w:r>
          <w:rPr>
            <w:rFonts w:ascii="宋体" w:hAnsi="宋体" w:eastAsia="宋体"/>
            <w:sz w:val="24"/>
            <w:color w:val="000000"/>
          </w:rPr>
          <w:tab/>
        </w:r>
        <w:r>
          <w:rPr>
            <w:rFonts w:ascii="宋体" w:hAnsi="宋体" w:eastAsia="宋体"/>
            <w:sz w:val="24"/>
            <w:color w:val="000000"/>
          </w:rPr>
          <w:t>19</w:t>
        </w:r>
      </w:hyperlink>
    </w:p>
    <w:p>
      <w:pPr>
        <w:spacing w:line="360" w:lineRule="auto" w:after="20"/>
        <w:ind w:left="480"/>
        <w:tabs>
          <w:tab w:val="right" w:leader="dot" w:pos="8820"/>
        </w:tabs>
      </w:pPr>
      <w:hyperlink w:anchor="RR_029" w:history="1">
        <w:r>
          <w:rPr>
            <w:rFonts w:ascii="宋体" w:hAnsi="宋体" w:eastAsia="宋体"/>
            <w:sz w:val="24"/>
            <w:color w:val="000000"/>
          </w:rPr>
          <w:t>2.7.1 总览与冷启动预测</w:t>
        </w:r>
        <w:r>
          <w:rPr>
            <w:rFonts w:ascii="宋体" w:hAnsi="宋体" w:eastAsia="宋体"/>
            <w:sz w:val="24"/>
            <w:color w:val="000000"/>
          </w:rPr>
          <w:tab/>
        </w:r>
        <w:r>
          <w:rPr>
            <w:rFonts w:ascii="宋体" w:hAnsi="宋体" w:eastAsia="宋体"/>
            <w:sz w:val="24"/>
            <w:color w:val="000000"/>
          </w:rPr>
          <w:t>20</w:t>
        </w:r>
      </w:hyperlink>
    </w:p>
    <w:p>
      <w:pPr>
        <w:spacing w:line="360" w:lineRule="auto" w:after="20"/>
        <w:ind w:left="480"/>
        <w:tabs>
          <w:tab w:val="right" w:leader="dot" w:pos="8820"/>
        </w:tabs>
      </w:pPr>
      <w:hyperlink w:anchor="RR_030" w:history="1">
        <w:r>
          <w:rPr>
            <w:rFonts w:ascii="宋体" w:hAnsi="宋体" w:eastAsia="宋体"/>
            <w:sz w:val="24"/>
            <w:color w:val="000000"/>
          </w:rPr>
          <w:t>2.7.2 攻防实验室与账本审计</w:t>
        </w:r>
        <w:r>
          <w:rPr>
            <w:rFonts w:ascii="宋体" w:hAnsi="宋体" w:eastAsia="宋体"/>
            <w:sz w:val="24"/>
            <w:color w:val="000000"/>
          </w:rPr>
          <w:tab/>
        </w:r>
        <w:r>
          <w:rPr>
            <w:rFonts w:ascii="宋体" w:hAnsi="宋体" w:eastAsia="宋体"/>
            <w:sz w:val="24"/>
            <w:color w:val="000000"/>
          </w:rPr>
          <w:t>21</w:t>
        </w:r>
      </w:hyperlink>
    </w:p>
    <w:p>
      <w:pPr>
        <w:spacing w:line="360" w:lineRule="auto" w:after="20"/>
        <w:ind w:left="480"/>
        <w:tabs>
          <w:tab w:val="right" w:leader="dot" w:pos="8820"/>
        </w:tabs>
      </w:pPr>
      <w:hyperlink w:anchor="RR_031" w:history="1">
        <w:r>
          <w:rPr>
            <w:rFonts w:ascii="宋体" w:hAnsi="宋体" w:eastAsia="宋体"/>
            <w:sz w:val="24"/>
            <w:color w:val="000000"/>
          </w:rPr>
          <w:t>2.7.3 实验中心与证据展示</w:t>
        </w:r>
        <w:r>
          <w:rPr>
            <w:rFonts w:ascii="宋体" w:hAnsi="宋体" w:eastAsia="宋体"/>
            <w:sz w:val="24"/>
            <w:color w:val="000000"/>
          </w:rPr>
          <w:tab/>
        </w:r>
        <w:r>
          <w:rPr>
            <w:rFonts w:ascii="宋体" w:hAnsi="宋体" w:eastAsia="宋体"/>
            <w:sz w:val="24"/>
            <w:color w:val="000000"/>
          </w:rPr>
          <w:t>23</w:t>
        </w:r>
      </w:hyperlink>
    </w:p>
    <w:p>
      <w:pPr>
        <w:spacing w:line="360" w:lineRule="auto" w:after="20"/>
        <w:ind w:left="240"/>
        <w:tabs>
          <w:tab w:val="right" w:leader="dot" w:pos="8820"/>
        </w:tabs>
      </w:pPr>
      <w:hyperlink w:anchor="RR_032" w:history="1">
        <w:r>
          <w:rPr>
            <w:rFonts w:ascii="宋体" w:hAnsi="宋体" w:eastAsia="宋体"/>
            <w:sz w:val="24"/>
            <w:color w:val="000000"/>
          </w:rPr>
          <w:t>2.8 后端设计与实现</w:t>
        </w:r>
        <w:r>
          <w:rPr>
            <w:rFonts w:ascii="宋体" w:hAnsi="宋体" w:eastAsia="宋体"/>
            <w:sz w:val="24"/>
            <w:color w:val="000000"/>
          </w:rPr>
          <w:tab/>
        </w:r>
        <w:r>
          <w:rPr>
            <w:rFonts w:ascii="宋体" w:hAnsi="宋体" w:eastAsia="宋体"/>
            <w:sz w:val="24"/>
            <w:color w:val="000000"/>
          </w:rPr>
          <w:t>24</w:t>
        </w:r>
      </w:hyperlink>
    </w:p>
    <w:p>
      <w:pPr>
        <w:spacing w:line="360" w:lineRule="auto" w:after="20"/>
        <w:ind w:left="480"/>
        <w:tabs>
          <w:tab w:val="right" w:leader="dot" w:pos="8820"/>
        </w:tabs>
      </w:pPr>
      <w:hyperlink w:anchor="RR_033" w:history="1">
        <w:r>
          <w:rPr>
            <w:rFonts w:ascii="宋体" w:hAnsi="宋体" w:eastAsia="宋体"/>
            <w:sz w:val="24"/>
            <w:color w:val="000000"/>
          </w:rPr>
          <w:t>2.8.1 服务接口与模块实现</w:t>
        </w:r>
        <w:r>
          <w:rPr>
            <w:rFonts w:ascii="宋体" w:hAnsi="宋体" w:eastAsia="宋体"/>
            <w:sz w:val="24"/>
            <w:color w:val="000000"/>
          </w:rPr>
          <w:tab/>
        </w:r>
        <w:r>
          <w:rPr>
            <w:rFonts w:ascii="宋体" w:hAnsi="宋体" w:eastAsia="宋体"/>
            <w:sz w:val="24"/>
            <w:color w:val="000000"/>
          </w:rPr>
          <w:t>25</w:t>
        </w:r>
      </w:hyperlink>
    </w:p>
    <w:p>
      <w:pPr>
        <w:spacing w:line="360" w:lineRule="auto" w:after="20"/>
        <w:ind w:left="480"/>
        <w:tabs>
          <w:tab w:val="right" w:leader="dot" w:pos="8820"/>
        </w:tabs>
      </w:pPr>
      <w:hyperlink w:anchor="RR_034" w:history="1">
        <w:r>
          <w:rPr>
            <w:rFonts w:ascii="宋体" w:hAnsi="宋体" w:eastAsia="宋体"/>
            <w:sz w:val="24"/>
            <w:color w:val="000000"/>
          </w:rPr>
          <w:t>2.8.2 运行流程与实现边界</w:t>
        </w:r>
        <w:r>
          <w:rPr>
            <w:rFonts w:ascii="宋体" w:hAnsi="宋体" w:eastAsia="宋体"/>
            <w:sz w:val="24"/>
            <w:color w:val="000000"/>
          </w:rPr>
          <w:tab/>
        </w:r>
        <w:r>
          <w:rPr>
            <w:rFonts w:ascii="宋体" w:hAnsi="宋体" w:eastAsia="宋体"/>
            <w:sz w:val="24"/>
            <w:color w:val="000000"/>
          </w:rPr>
          <w:t>26</w:t>
        </w:r>
      </w:hyperlink>
    </w:p>
    <w:p>
      <w:pPr>
        <w:spacing w:line="360" w:lineRule="auto" w:after="20"/>
        <w:ind w:left="0"/>
        <w:tabs>
          <w:tab w:val="right" w:leader="dot" w:pos="8820"/>
        </w:tabs>
      </w:pPr>
      <w:hyperlink w:anchor="RR_035" w:history="1">
        <w:r>
          <w:rPr>
            <w:rFonts w:ascii="宋体" w:hAnsi="宋体" w:eastAsia="宋体"/>
            <w:sz w:val="24"/>
            <w:color w:val="000000"/>
          </w:rPr>
          <w:t>第三章 作品测试与分析</w:t>
        </w:r>
        <w:r>
          <w:rPr>
            <w:rFonts w:ascii="宋体" w:hAnsi="宋体" w:eastAsia="宋体"/>
            <w:sz w:val="24"/>
            <w:color w:val="000000"/>
          </w:rPr>
          <w:tab/>
        </w:r>
        <w:r>
          <w:rPr>
            <w:rFonts w:ascii="宋体" w:hAnsi="宋体" w:eastAsia="宋体"/>
            <w:sz w:val="24"/>
            <w:color w:val="000000"/>
          </w:rPr>
          <w:t>28</w:t>
        </w:r>
      </w:hyperlink>
    </w:p>
    <w:p>
      <w:pPr>
        <w:spacing w:line="360" w:lineRule="auto" w:after="20"/>
        <w:ind w:left="240"/>
        <w:tabs>
          <w:tab w:val="right" w:leader="dot" w:pos="8820"/>
        </w:tabs>
      </w:pPr>
      <w:hyperlink w:anchor="RR_036" w:history="1">
        <w:r>
          <w:rPr>
            <w:rFonts w:ascii="宋体" w:hAnsi="宋体" w:eastAsia="宋体"/>
            <w:sz w:val="24"/>
            <w:color w:val="000000"/>
          </w:rPr>
          <w:t>3.1 测试方案</w:t>
        </w:r>
        <w:r>
          <w:rPr>
            <w:rFonts w:ascii="宋体" w:hAnsi="宋体" w:eastAsia="宋体"/>
            <w:sz w:val="24"/>
            <w:color w:val="000000"/>
          </w:rPr>
          <w:tab/>
        </w:r>
        <w:r>
          <w:rPr>
            <w:rFonts w:ascii="宋体" w:hAnsi="宋体" w:eastAsia="宋体"/>
            <w:sz w:val="24"/>
            <w:color w:val="000000"/>
          </w:rPr>
          <w:t>28</w:t>
        </w:r>
      </w:hyperlink>
    </w:p>
    <w:p>
      <w:pPr>
        <w:spacing w:line="360" w:lineRule="auto" w:after="20"/>
        <w:ind w:left="480"/>
        <w:tabs>
          <w:tab w:val="right" w:leader="dot" w:pos="8820"/>
        </w:tabs>
      </w:pPr>
      <w:hyperlink w:anchor="RR_037" w:history="1">
        <w:r>
          <w:rPr>
            <w:rFonts w:ascii="宋体" w:hAnsi="宋体" w:eastAsia="宋体"/>
            <w:sz w:val="24"/>
            <w:color w:val="000000"/>
          </w:rPr>
          <w:t>3.1.1 系统功能与接口测试</w:t>
        </w:r>
        <w:r>
          <w:rPr>
            <w:rFonts w:ascii="宋体" w:hAnsi="宋体" w:eastAsia="宋体"/>
            <w:sz w:val="24"/>
            <w:color w:val="000000"/>
          </w:rPr>
          <w:tab/>
        </w:r>
        <w:r>
          <w:rPr>
            <w:rFonts w:ascii="宋体" w:hAnsi="宋体" w:eastAsia="宋体"/>
            <w:sz w:val="24"/>
            <w:color w:val="000000"/>
          </w:rPr>
          <w:t>28</w:t>
        </w:r>
      </w:hyperlink>
    </w:p>
    <w:p>
      <w:pPr>
        <w:spacing w:line="360" w:lineRule="auto" w:after="20"/>
        <w:ind w:left="480"/>
        <w:tabs>
          <w:tab w:val="right" w:leader="dot" w:pos="8820"/>
        </w:tabs>
      </w:pPr>
      <w:hyperlink w:anchor="RR_038" w:history="1">
        <w:r>
          <w:rPr>
            <w:rFonts w:ascii="宋体" w:hAnsi="宋体" w:eastAsia="宋体"/>
            <w:sz w:val="24"/>
            <w:color w:val="000000"/>
          </w:rPr>
          <w:t>3.1.2 算法实验与对照设计</w:t>
        </w:r>
        <w:r>
          <w:rPr>
            <w:rFonts w:ascii="宋体" w:hAnsi="宋体" w:eastAsia="宋体"/>
            <w:sz w:val="24"/>
            <w:color w:val="000000"/>
          </w:rPr>
          <w:tab/>
        </w:r>
        <w:r>
          <w:rPr>
            <w:rFonts w:ascii="宋体" w:hAnsi="宋体" w:eastAsia="宋体"/>
            <w:sz w:val="24"/>
            <w:color w:val="000000"/>
          </w:rPr>
          <w:t>29</w:t>
        </w:r>
      </w:hyperlink>
    </w:p>
    <w:p>
      <w:pPr>
        <w:spacing w:line="360" w:lineRule="auto" w:after="20"/>
        <w:ind w:left="480"/>
        <w:tabs>
          <w:tab w:val="right" w:leader="dot" w:pos="8820"/>
        </w:tabs>
      </w:pPr>
      <w:hyperlink w:anchor="RR_039" w:history="1">
        <w:r>
          <w:rPr>
            <w:rFonts w:ascii="宋体" w:hAnsi="宋体" w:eastAsia="宋体"/>
            <w:sz w:val="24"/>
            <w:color w:val="000000"/>
          </w:rPr>
          <w:t>3.1.3 程序验收与复现范围</w:t>
        </w:r>
        <w:r>
          <w:rPr>
            <w:rFonts w:ascii="宋体" w:hAnsi="宋体" w:eastAsia="宋体"/>
            <w:sz w:val="24"/>
            <w:color w:val="000000"/>
          </w:rPr>
          <w:tab/>
        </w:r>
        <w:r>
          <w:rPr>
            <w:rFonts w:ascii="宋体" w:hAnsi="宋体" w:eastAsia="宋体"/>
            <w:sz w:val="24"/>
            <w:color w:val="000000"/>
          </w:rPr>
          <w:t>29</w:t>
        </w:r>
      </w:hyperlink>
    </w:p>
    <w:p>
      <w:pPr>
        <w:spacing w:line="360" w:lineRule="auto" w:after="20"/>
        <w:ind w:left="240"/>
        <w:tabs>
          <w:tab w:val="right" w:leader="dot" w:pos="8820"/>
        </w:tabs>
      </w:pPr>
      <w:hyperlink w:anchor="RR_040" w:history="1">
        <w:r>
          <w:rPr>
            <w:rFonts w:ascii="宋体" w:hAnsi="宋体" w:eastAsia="宋体"/>
            <w:sz w:val="24"/>
            <w:color w:val="000000"/>
          </w:rPr>
          <w:t>3.2 测试环境</w:t>
        </w:r>
        <w:r>
          <w:rPr>
            <w:rFonts w:ascii="宋体" w:hAnsi="宋体" w:eastAsia="宋体"/>
            <w:sz w:val="24"/>
            <w:color w:val="000000"/>
          </w:rPr>
          <w:tab/>
        </w:r>
        <w:r>
          <w:rPr>
            <w:rFonts w:ascii="宋体" w:hAnsi="宋体" w:eastAsia="宋体"/>
            <w:sz w:val="24"/>
            <w:color w:val="000000"/>
          </w:rPr>
          <w:t>30</w:t>
        </w:r>
      </w:hyperlink>
    </w:p>
    <w:p>
      <w:pPr>
        <w:spacing w:line="360" w:lineRule="auto" w:after="20"/>
        <w:ind w:left="240"/>
        <w:tabs>
          <w:tab w:val="right" w:leader="dot" w:pos="8820"/>
        </w:tabs>
      </w:pPr>
      <w:hyperlink w:anchor="RR_041" w:history="1">
        <w:r>
          <w:rPr>
            <w:rFonts w:ascii="宋体" w:hAnsi="宋体" w:eastAsia="宋体"/>
            <w:sz w:val="24"/>
            <w:color w:val="000000"/>
          </w:rPr>
          <w:t>3.3 数据集与评价标准</w:t>
        </w:r>
        <w:r>
          <w:rPr>
            <w:rFonts w:ascii="宋体" w:hAnsi="宋体" w:eastAsia="宋体"/>
            <w:sz w:val="24"/>
            <w:color w:val="000000"/>
          </w:rPr>
          <w:tab/>
        </w:r>
        <w:r>
          <w:rPr>
            <w:rFonts w:ascii="宋体" w:hAnsi="宋体" w:eastAsia="宋体"/>
            <w:sz w:val="24"/>
            <w:color w:val="000000"/>
          </w:rPr>
          <w:t>30</w:t>
        </w:r>
      </w:hyperlink>
    </w:p>
    <w:p>
      <w:pPr>
        <w:spacing w:line="360" w:lineRule="auto" w:after="20"/>
        <w:ind w:left="480"/>
        <w:tabs>
          <w:tab w:val="right" w:leader="dot" w:pos="8820"/>
        </w:tabs>
      </w:pPr>
      <w:hyperlink w:anchor="RR_042" w:history="1">
        <w:r>
          <w:rPr>
            <w:rFonts w:ascii="宋体" w:hAnsi="宋体" w:eastAsia="宋体"/>
            <w:sz w:val="24"/>
            <w:color w:val="000000"/>
          </w:rPr>
          <w:t>3.3.1 数据集与预处理</w:t>
        </w:r>
        <w:r>
          <w:rPr>
            <w:rFonts w:ascii="宋体" w:hAnsi="宋体" w:eastAsia="宋体"/>
            <w:sz w:val="24"/>
            <w:color w:val="000000"/>
          </w:rPr>
          <w:tab/>
        </w:r>
        <w:r>
          <w:rPr>
            <w:rFonts w:ascii="宋体" w:hAnsi="宋体" w:eastAsia="宋体"/>
            <w:sz w:val="24"/>
            <w:color w:val="000000"/>
          </w:rPr>
          <w:t>31</w:t>
        </w:r>
      </w:hyperlink>
    </w:p>
    <w:p>
      <w:pPr>
        <w:spacing w:line="360" w:lineRule="auto" w:after="20"/>
        <w:ind w:left="480"/>
        <w:tabs>
          <w:tab w:val="right" w:leader="dot" w:pos="8820"/>
        </w:tabs>
      </w:pPr>
      <w:hyperlink w:anchor="RR_043" w:history="1">
        <w:r>
          <w:rPr>
            <w:rFonts w:ascii="宋体" w:hAnsi="宋体" w:eastAsia="宋体"/>
            <w:sz w:val="24"/>
            <w:color w:val="000000"/>
          </w:rPr>
          <w:t>3.3.2 指标与统计方法</w:t>
        </w:r>
        <w:r>
          <w:rPr>
            <w:rFonts w:ascii="宋体" w:hAnsi="宋体" w:eastAsia="宋体"/>
            <w:sz w:val="24"/>
            <w:color w:val="000000"/>
          </w:rPr>
          <w:tab/>
        </w:r>
        <w:r>
          <w:rPr>
            <w:rFonts w:ascii="宋体" w:hAnsi="宋体" w:eastAsia="宋体"/>
            <w:sz w:val="24"/>
            <w:color w:val="000000"/>
          </w:rPr>
          <w:t>31</w:t>
        </w:r>
      </w:hyperlink>
    </w:p>
    <w:p>
      <w:pPr>
        <w:spacing w:line="360" w:lineRule="auto" w:after="20"/>
        <w:ind w:left="240"/>
        <w:tabs>
          <w:tab w:val="right" w:leader="dot" w:pos="8820"/>
        </w:tabs>
      </w:pPr>
      <w:hyperlink w:anchor="RR_044" w:history="1">
        <w:r>
          <w:rPr>
            <w:rFonts w:ascii="宋体" w:hAnsi="宋体" w:eastAsia="宋体"/>
            <w:sz w:val="24"/>
            <w:color w:val="000000"/>
          </w:rPr>
          <w:t>3.4 结果展示与分析</w:t>
        </w:r>
        <w:r>
          <w:rPr>
            <w:rFonts w:ascii="宋体" w:hAnsi="宋体" w:eastAsia="宋体"/>
            <w:sz w:val="24"/>
            <w:color w:val="000000"/>
          </w:rPr>
          <w:tab/>
        </w:r>
        <w:r>
          <w:rPr>
            <w:rFonts w:ascii="宋体" w:hAnsi="宋体" w:eastAsia="宋体"/>
            <w:sz w:val="24"/>
            <w:color w:val="000000"/>
          </w:rPr>
          <w:t>32</w:t>
        </w:r>
      </w:hyperlink>
    </w:p>
    <w:p>
      <w:pPr>
        <w:spacing w:line="360" w:lineRule="auto" w:after="20"/>
        <w:ind w:left="480"/>
        <w:tabs>
          <w:tab w:val="right" w:leader="dot" w:pos="8820"/>
        </w:tabs>
      </w:pPr>
      <w:hyperlink w:anchor="RR_045" w:history="1">
        <w:r>
          <w:rPr>
            <w:rFonts w:ascii="宋体" w:hAnsi="宋体" w:eastAsia="宋体"/>
            <w:sz w:val="24"/>
            <w:color w:val="000000"/>
          </w:rPr>
          <w:t>3.4.1 四方法描述性对照</w:t>
        </w:r>
        <w:r>
          <w:rPr>
            <w:rFonts w:ascii="宋体" w:hAnsi="宋体" w:eastAsia="宋体"/>
            <w:sz w:val="24"/>
            <w:color w:val="000000"/>
          </w:rPr>
          <w:tab/>
        </w:r>
        <w:r>
          <w:rPr>
            <w:rFonts w:ascii="宋体" w:hAnsi="宋体" w:eastAsia="宋体"/>
            <w:sz w:val="24"/>
            <w:color w:val="000000"/>
          </w:rPr>
          <w:t>32</w:t>
        </w:r>
      </w:hyperlink>
    </w:p>
    <w:p>
      <w:pPr>
        <w:spacing w:line="360" w:lineRule="auto" w:after="20"/>
        <w:ind w:left="480"/>
        <w:tabs>
          <w:tab w:val="right" w:leader="dot" w:pos="8820"/>
        </w:tabs>
      </w:pPr>
      <w:hyperlink w:anchor="RR_046" w:history="1">
        <w:r>
          <w:rPr>
            <w:rFonts w:ascii="宋体" w:hAnsi="宋体" w:eastAsia="宋体"/>
            <w:sz w:val="24"/>
            <w:color w:val="000000"/>
          </w:rPr>
          <w:t>3.4.2 分层防线与权重封顶</w:t>
        </w:r>
        <w:r>
          <w:rPr>
            <w:rFonts w:ascii="宋体" w:hAnsi="宋体" w:eastAsia="宋体"/>
            <w:sz w:val="24"/>
            <w:color w:val="000000"/>
          </w:rPr>
          <w:tab/>
        </w:r>
        <w:r>
          <w:rPr>
            <w:rFonts w:ascii="宋体" w:hAnsi="宋体" w:eastAsia="宋体"/>
            <w:sz w:val="24"/>
            <w:color w:val="000000"/>
          </w:rPr>
          <w:t>35</w:t>
        </w:r>
      </w:hyperlink>
    </w:p>
    <w:p>
      <w:pPr>
        <w:spacing w:line="360" w:lineRule="auto" w:after="20"/>
        <w:ind w:left="480"/>
        <w:tabs>
          <w:tab w:val="right" w:leader="dot" w:pos="8820"/>
        </w:tabs>
      </w:pPr>
      <w:hyperlink w:anchor="RR_047" w:history="1">
        <w:r>
          <w:rPr>
            <w:rFonts w:ascii="宋体" w:hAnsi="宋体" w:eastAsia="宋体"/>
            <w:sz w:val="24"/>
            <w:color w:val="000000"/>
          </w:rPr>
          <w:t>3.4.3 隐私效用与参数敏感性</w:t>
        </w:r>
        <w:r>
          <w:rPr>
            <w:rFonts w:ascii="宋体" w:hAnsi="宋体" w:eastAsia="宋体"/>
            <w:sz w:val="24"/>
            <w:color w:val="000000"/>
          </w:rPr>
          <w:tab/>
        </w:r>
        <w:r>
          <w:rPr>
            <w:rFonts w:ascii="宋体" w:hAnsi="宋体" w:eastAsia="宋体"/>
            <w:sz w:val="24"/>
            <w:color w:val="000000"/>
          </w:rPr>
          <w:t>37</w:t>
        </w:r>
      </w:hyperlink>
    </w:p>
    <w:p>
      <w:pPr>
        <w:spacing w:line="360" w:lineRule="auto" w:after="20"/>
        <w:ind w:left="480"/>
        <w:tabs>
          <w:tab w:val="right" w:leader="dot" w:pos="8820"/>
        </w:tabs>
      </w:pPr>
      <w:hyperlink w:anchor="RR_048" w:history="1">
        <w:r>
          <w:rPr>
            <w:rFonts w:ascii="宋体" w:hAnsi="宋体" w:eastAsia="宋体"/>
            <w:sz w:val="24"/>
            <w:color w:val="000000"/>
          </w:rPr>
          <w:t>3.4.4 协议异常路径与模型验证</w:t>
        </w:r>
        <w:r>
          <w:rPr>
            <w:rFonts w:ascii="宋体" w:hAnsi="宋体" w:eastAsia="宋体"/>
            <w:sz w:val="24"/>
            <w:color w:val="000000"/>
          </w:rPr>
          <w:tab/>
        </w:r>
        <w:r>
          <w:rPr>
            <w:rFonts w:ascii="宋体" w:hAnsi="宋体" w:eastAsia="宋体"/>
            <w:sz w:val="24"/>
            <w:color w:val="000000"/>
          </w:rPr>
          <w:t>40</w:t>
        </w:r>
      </w:hyperlink>
    </w:p>
    <w:p>
      <w:pPr>
        <w:spacing w:line="360" w:lineRule="auto" w:after="20"/>
        <w:ind w:left="480"/>
        <w:tabs>
          <w:tab w:val="right" w:leader="dot" w:pos="8820"/>
        </w:tabs>
      </w:pPr>
      <w:hyperlink w:anchor="RR_049" w:history="1">
        <w:r>
          <w:rPr>
            <w:rFonts w:ascii="宋体" w:hAnsi="宋体" w:eastAsia="宋体"/>
            <w:sz w:val="24"/>
            <w:color w:val="000000"/>
          </w:rPr>
          <w:t>3.4.5 当前程序验证</w:t>
        </w:r>
        <w:r>
          <w:rPr>
            <w:rFonts w:ascii="宋体" w:hAnsi="宋体" w:eastAsia="宋体"/>
            <w:sz w:val="24"/>
            <w:color w:val="000000"/>
          </w:rPr>
          <w:tab/>
        </w:r>
        <w:r>
          <w:rPr>
            <w:rFonts w:ascii="宋体" w:hAnsi="宋体" w:eastAsia="宋体"/>
            <w:sz w:val="24"/>
            <w:color w:val="000000"/>
          </w:rPr>
          <w:t>41</w:t>
        </w:r>
      </w:hyperlink>
    </w:p>
    <w:p>
      <w:pPr>
        <w:spacing w:line="360" w:lineRule="auto" w:after="20"/>
        <w:ind w:left="480"/>
        <w:tabs>
          <w:tab w:val="right" w:leader="dot" w:pos="8820"/>
        </w:tabs>
      </w:pPr>
      <w:hyperlink w:anchor="RR_050" w:history="1">
        <w:r>
          <w:rPr>
            <w:rFonts w:ascii="宋体" w:hAnsi="宋体" w:eastAsia="宋体"/>
            <w:sz w:val="24"/>
            <w:color w:val="000000"/>
          </w:rPr>
          <w:t>3.4.6 完整应用流程</w:t>
        </w:r>
        <w:r>
          <w:rPr>
            <w:rFonts w:ascii="宋体" w:hAnsi="宋体" w:eastAsia="宋体"/>
            <w:sz w:val="24"/>
            <w:color w:val="000000"/>
          </w:rPr>
          <w:tab/>
        </w:r>
        <w:r>
          <w:rPr>
            <w:rFonts w:ascii="宋体" w:hAnsi="宋体" w:eastAsia="宋体"/>
            <w:sz w:val="24"/>
            <w:color w:val="000000"/>
          </w:rPr>
          <w:t>42</w:t>
        </w:r>
      </w:hyperlink>
    </w:p>
    <w:p>
      <w:pPr>
        <w:spacing w:line="360" w:lineRule="auto" w:after="20"/>
        <w:ind w:left="480"/>
        <w:tabs>
          <w:tab w:val="right" w:leader="dot" w:pos="8820"/>
        </w:tabs>
      </w:pPr>
      <w:hyperlink w:anchor="RR_051" w:history="1">
        <w:r>
          <w:rPr>
            <w:rFonts w:ascii="宋体" w:hAnsi="宋体" w:eastAsia="宋体"/>
            <w:sz w:val="24"/>
            <w:color w:val="000000"/>
          </w:rPr>
          <w:t>3.4.7 旧管线通信与计算开销</w:t>
        </w:r>
        <w:r>
          <w:rPr>
            <w:rFonts w:ascii="宋体" w:hAnsi="宋体" w:eastAsia="宋体"/>
            <w:sz w:val="24"/>
            <w:color w:val="000000"/>
          </w:rPr>
          <w:tab/>
        </w:r>
        <w:r>
          <w:rPr>
            <w:rFonts w:ascii="宋体" w:hAnsi="宋体" w:eastAsia="宋体"/>
            <w:sz w:val="24"/>
            <w:color w:val="000000"/>
          </w:rPr>
          <w:t>42</w:t>
        </w:r>
      </w:hyperlink>
    </w:p>
    <w:p>
      <w:pPr>
        <w:spacing w:line="360" w:lineRule="auto" w:after="20"/>
        <w:ind w:left="0"/>
        <w:tabs>
          <w:tab w:val="right" w:leader="dot" w:pos="8820"/>
        </w:tabs>
      </w:pPr>
      <w:hyperlink w:anchor="RR_052" w:history="1">
        <w:r>
          <w:rPr>
            <w:rFonts w:ascii="宋体" w:hAnsi="宋体" w:eastAsia="宋体"/>
            <w:sz w:val="24"/>
            <w:color w:val="000000"/>
          </w:rPr>
          <w:t>第四章 创新性说明</w:t>
        </w:r>
        <w:r>
          <w:rPr>
            <w:rFonts w:ascii="宋体" w:hAnsi="宋体" w:eastAsia="宋体"/>
            <w:sz w:val="24"/>
            <w:color w:val="000000"/>
          </w:rPr>
          <w:tab/>
        </w:r>
        <w:r>
          <w:rPr>
            <w:rFonts w:ascii="宋体" w:hAnsi="宋体" w:eastAsia="宋体"/>
            <w:sz w:val="24"/>
            <w:color w:val="000000"/>
          </w:rPr>
          <w:t>44</w:t>
        </w:r>
      </w:hyperlink>
    </w:p>
    <w:p>
      <w:pPr>
        <w:spacing w:line="360" w:lineRule="auto" w:after="20"/>
        <w:ind w:left="240"/>
        <w:tabs>
          <w:tab w:val="right" w:leader="dot" w:pos="8820"/>
        </w:tabs>
      </w:pPr>
      <w:hyperlink w:anchor="RR_053" w:history="1">
        <w:r>
          <w:rPr>
            <w:rFonts w:ascii="宋体" w:hAnsi="宋体" w:eastAsia="宋体"/>
            <w:sz w:val="24"/>
            <w:color w:val="000000"/>
          </w:rPr>
          <w:t>4.1 按可见信息分层的两层抗投毒</w:t>
        </w:r>
        <w:r>
          <w:rPr>
            <w:rFonts w:ascii="宋体" w:hAnsi="宋体" w:eastAsia="宋体"/>
            <w:sz w:val="24"/>
            <w:color w:val="000000"/>
          </w:rPr>
          <w:tab/>
        </w:r>
        <w:r>
          <w:rPr>
            <w:rFonts w:ascii="宋体" w:hAnsi="宋体" w:eastAsia="宋体"/>
            <w:sz w:val="24"/>
            <w:color w:val="000000"/>
          </w:rPr>
          <w:t>44</w:t>
        </w:r>
      </w:hyperlink>
    </w:p>
    <w:p>
      <w:pPr>
        <w:spacing w:line="360" w:lineRule="auto" w:after="20"/>
        <w:ind w:left="240"/>
        <w:tabs>
          <w:tab w:val="right" w:leader="dot" w:pos="8820"/>
        </w:tabs>
      </w:pPr>
      <w:hyperlink w:anchor="RR_054" w:history="1">
        <w:r>
          <w:rPr>
            <w:rFonts w:ascii="宋体" w:hAnsi="宋体" w:eastAsia="宋体"/>
            <w:sz w:val="24"/>
            <w:color w:val="000000"/>
          </w:rPr>
          <w:t>4.2 多源支持与数值影响约束</w:t>
        </w:r>
        <w:r>
          <w:rPr>
            <w:rFonts w:ascii="宋体" w:hAnsi="宋体" w:eastAsia="宋体"/>
            <w:sz w:val="24"/>
            <w:color w:val="000000"/>
          </w:rPr>
          <w:tab/>
        </w:r>
        <w:r>
          <w:rPr>
            <w:rFonts w:ascii="宋体" w:hAnsi="宋体" w:eastAsia="宋体"/>
            <w:sz w:val="24"/>
            <w:color w:val="000000"/>
          </w:rPr>
          <w:t>44</w:t>
        </w:r>
      </w:hyperlink>
    </w:p>
    <w:p>
      <w:pPr>
        <w:spacing w:line="360" w:lineRule="auto" w:after="20"/>
        <w:ind w:left="240"/>
        <w:tabs>
          <w:tab w:val="right" w:leader="dot" w:pos="8820"/>
        </w:tabs>
      </w:pPr>
      <w:hyperlink w:anchor="RR_055" w:history="1">
        <w:r>
          <w:rPr>
            <w:rFonts w:ascii="宋体" w:hAnsi="宋体" w:eastAsia="宋体"/>
            <w:sz w:val="24"/>
            <w:color w:val="000000"/>
          </w:rPr>
          <w:t>4.3 签名登记与使用绑定及可解释失败</w:t>
        </w:r>
        <w:r>
          <w:rPr>
            <w:rFonts w:ascii="宋体" w:hAnsi="宋体" w:eastAsia="宋体"/>
            <w:sz w:val="24"/>
            <w:color w:val="000000"/>
          </w:rPr>
          <w:tab/>
        </w:r>
        <w:r>
          <w:rPr>
            <w:rFonts w:ascii="宋体" w:hAnsi="宋体" w:eastAsia="宋体"/>
            <w:sz w:val="24"/>
            <w:color w:val="000000"/>
          </w:rPr>
          <w:t>45</w:t>
        </w:r>
      </w:hyperlink>
    </w:p>
    <w:p>
      <w:pPr>
        <w:spacing w:line="360" w:lineRule="auto" w:after="20"/>
        <w:ind w:left="0"/>
        <w:tabs>
          <w:tab w:val="right" w:leader="dot" w:pos="8820"/>
        </w:tabs>
      </w:pPr>
      <w:hyperlink w:anchor="RR_056" w:history="1">
        <w:r>
          <w:rPr>
            <w:rFonts w:ascii="宋体" w:hAnsi="宋体" w:eastAsia="宋体"/>
            <w:sz w:val="24"/>
            <w:color w:val="000000"/>
          </w:rPr>
          <w:t>第五章 总结</w:t>
        </w:r>
        <w:r>
          <w:rPr>
            <w:rFonts w:ascii="宋体" w:hAnsi="宋体" w:eastAsia="宋体"/>
            <w:sz w:val="24"/>
            <w:color w:val="000000"/>
          </w:rPr>
          <w:tab/>
        </w:r>
        <w:r>
          <w:rPr>
            <w:rFonts w:ascii="宋体" w:hAnsi="宋体" w:eastAsia="宋体"/>
            <w:sz w:val="24"/>
            <w:color w:val="000000"/>
          </w:rPr>
          <w:t>46</w:t>
        </w:r>
      </w:hyperlink>
    </w:p>
    <w:p>
      <w:pPr>
        <w:spacing w:line="360" w:lineRule="auto" w:after="20"/>
        <w:ind w:left="240"/>
        <w:tabs>
          <w:tab w:val="right" w:leader="dot" w:pos="8820"/>
        </w:tabs>
      </w:pPr>
      <w:hyperlink w:anchor="RR_057" w:history="1">
        <w:r>
          <w:rPr>
            <w:rFonts w:ascii="宋体" w:hAnsi="宋体" w:eastAsia="宋体"/>
            <w:sz w:val="24"/>
            <w:color w:val="000000"/>
          </w:rPr>
          <w:t>5.1 已完成能力</w:t>
        </w:r>
        <w:r>
          <w:rPr>
            <w:rFonts w:ascii="宋体" w:hAnsi="宋体" w:eastAsia="宋体"/>
            <w:sz w:val="24"/>
            <w:color w:val="000000"/>
          </w:rPr>
          <w:tab/>
        </w:r>
        <w:r>
          <w:rPr>
            <w:rFonts w:ascii="宋体" w:hAnsi="宋体" w:eastAsia="宋体"/>
            <w:sz w:val="24"/>
            <w:color w:val="000000"/>
          </w:rPr>
          <w:t>46</w:t>
        </w:r>
      </w:hyperlink>
    </w:p>
    <w:p>
      <w:pPr>
        <w:spacing w:line="360" w:lineRule="auto" w:after="20"/>
        <w:ind w:left="240"/>
        <w:tabs>
          <w:tab w:val="right" w:leader="dot" w:pos="8820"/>
        </w:tabs>
      </w:pPr>
      <w:hyperlink w:anchor="RR_058" w:history="1">
        <w:r>
          <w:rPr>
            <w:rFonts w:ascii="宋体" w:hAnsi="宋体" w:eastAsia="宋体"/>
            <w:sz w:val="24"/>
            <w:color w:val="000000"/>
          </w:rPr>
          <w:t>5.2 技术局限与后续研究</w:t>
        </w:r>
        <w:r>
          <w:rPr>
            <w:rFonts w:ascii="宋体" w:hAnsi="宋体" w:eastAsia="宋体"/>
            <w:sz w:val="24"/>
            <w:color w:val="000000"/>
          </w:rPr>
          <w:tab/>
        </w:r>
        <w:r>
          <w:rPr>
            <w:rFonts w:ascii="宋体" w:hAnsi="宋体" w:eastAsia="宋体"/>
            <w:sz w:val="24"/>
            <w:color w:val="000000"/>
          </w:rPr>
          <w:t>46</w:t>
        </w:r>
      </w:hyperlink>
    </w:p>
    <w:p>
      <w:pPr>
        <w:spacing w:line="360" w:lineRule="auto" w:after="20"/>
        <w:ind w:left="0"/>
        <w:tabs>
          <w:tab w:val="right" w:leader="dot" w:pos="8820"/>
        </w:tabs>
      </w:pPr>
      <w:hyperlink w:anchor="RR_059" w:history="1">
        <w:r>
          <w:rPr>
            <w:rFonts w:ascii="宋体" w:hAnsi="宋体" w:eastAsia="宋体"/>
            <w:sz w:val="24"/>
            <w:color w:val="000000"/>
          </w:rPr>
          <w:t>参考文献</w:t>
        </w:r>
        <w:r>
          <w:rPr>
            <w:rFonts w:ascii="宋体" w:hAnsi="宋体" w:eastAsia="宋体"/>
            <w:sz w:val="24"/>
            <w:color w:val="000000"/>
          </w:rPr>
          <w:tab/>
        </w:r>
        <w:r>
          <w:rPr>
            <w:rFonts w:ascii="宋体" w:hAnsi="宋体" w:eastAsia="宋体"/>
            <w:sz w:val="24"/>
            <w:color w:val="000000"/>
          </w:rPr>
          <w:t>47</w:t>
        </w:r>
      </w:hyperlink>
    </w:p>
    <w:p>
      <w:pPr>
        <w:spacing w:line="360" w:lineRule="auto" w:after="20"/>
        <w:ind w:left="0"/>
        <w:tabs>
          <w:tab w:val="right" w:leader="dot" w:pos="8820"/>
        </w:tabs>
      </w:pPr>
      <w:hyperlink w:anchor="RR_060" w:history="1">
        <w:r>
          <w:rPr>
            <w:rFonts w:ascii="宋体" w:hAnsi="宋体" w:eastAsia="宋体"/>
            <w:sz w:val="24"/>
            <w:color w:val="000000"/>
          </w:rPr>
          <w:t>附录A 完整证明与条件核对</w:t>
        </w:r>
        <w:r>
          <w:rPr>
            <w:rFonts w:ascii="宋体" w:hAnsi="宋体" w:eastAsia="宋体"/>
            <w:sz w:val="24"/>
            <w:color w:val="000000"/>
          </w:rPr>
          <w:tab/>
        </w:r>
        <w:r>
          <w:rPr>
            <w:rFonts w:ascii="宋体" w:hAnsi="宋体" w:eastAsia="宋体"/>
            <w:sz w:val="24"/>
            <w:color w:val="000000"/>
          </w:rPr>
          <w:t>49</w:t>
        </w:r>
      </w:hyperlink>
    </w:p>
    <w:p>
      <w:pPr>
        <w:spacing w:line="360" w:lineRule="auto" w:after="20"/>
        <w:ind w:left="0"/>
        <w:tabs>
          <w:tab w:val="right" w:leader="dot" w:pos="8820"/>
        </w:tabs>
      </w:pPr>
      <w:hyperlink w:anchor="RR_061" w:history="1">
        <w:r>
          <w:rPr>
            <w:rFonts w:ascii="宋体" w:hAnsi="宋体" w:eastAsia="宋体"/>
            <w:sz w:val="24"/>
            <w:color w:val="000000"/>
          </w:rPr>
          <w:t>附录B 结论与证据定位</w:t>
        </w:r>
        <w:r>
          <w:rPr>
            <w:rFonts w:ascii="宋体" w:hAnsi="宋体" w:eastAsia="宋体"/>
            <w:sz w:val="24"/>
            <w:color w:val="000000"/>
          </w:rPr>
          <w:tab/>
        </w:r>
        <w:r>
          <w:rPr>
            <w:rFonts w:ascii="宋体" w:hAnsi="宋体" w:eastAsia="宋体"/>
            <w:sz w:val="24"/>
            <w:color w:val="000000"/>
          </w:rPr>
          <w:t>52</w:t>
        </w:r>
      </w:hyperlink>
    </w:p>
    <w:p>
      <w:pPr>
        <w:spacing w:line="360" w:lineRule="auto" w:after="20"/>
        <w:ind w:left="0"/>
        <w:tabs>
          <w:tab w:val="right" w:leader="dot" w:pos="8820"/>
        </w:tabs>
      </w:pPr>
      <w:hyperlink w:anchor="RR_062" w:history="1">
        <w:r>
          <w:rPr>
            <w:rFonts w:ascii="宋体" w:hAnsi="宋体" w:eastAsia="宋体"/>
            <w:sz w:val="24"/>
            <w:color w:val="000000"/>
          </w:rPr>
          <w:t>附录C 当前程序运行与复现</w:t>
        </w:r>
        <w:r>
          <w:rPr>
            <w:rFonts w:ascii="宋体" w:hAnsi="宋体" w:eastAsia="宋体"/>
            <w:sz w:val="24"/>
            <w:color w:val="000000"/>
          </w:rPr>
          <w:tab/>
        </w:r>
        <w:r>
          <w:rPr>
            <w:rFonts w:ascii="宋体" w:hAnsi="宋体" w:eastAsia="宋体"/>
            <w:sz w:val="24"/>
            <w:color w:val="000000"/>
          </w:rPr>
          <w:t>53</w:t>
        </w:r>
      </w:hyperlink>
    </w:p>
    <w:p>
      <w:pPr>
        <w:spacing w:line="360" w:lineRule="auto" w:after="20"/>
        <w:ind w:left="240"/>
        <w:tabs>
          <w:tab w:val="right" w:leader="dot" w:pos="8820"/>
        </w:tabs>
      </w:pPr>
      <w:hyperlink w:anchor="RR_063" w:history="1">
        <w:r>
          <w:rPr>
            <w:rFonts w:ascii="宋体" w:hAnsi="宋体" w:eastAsia="宋体"/>
            <w:sz w:val="24"/>
            <w:color w:val="000000"/>
          </w:rPr>
          <w:t>C.1 程序版本与三步启动</w:t>
        </w:r>
        <w:r>
          <w:rPr>
            <w:rFonts w:ascii="宋体" w:hAnsi="宋体" w:eastAsia="宋体"/>
            <w:sz w:val="24"/>
            <w:color w:val="000000"/>
          </w:rPr>
          <w:tab/>
        </w:r>
        <w:r>
          <w:rPr>
            <w:rFonts w:ascii="宋体" w:hAnsi="宋体" w:eastAsia="宋体"/>
            <w:sz w:val="24"/>
            <w:color w:val="000000"/>
          </w:rPr>
          <w:t>53</w:t>
        </w:r>
      </w:hyperlink>
    </w:p>
    <w:p>
      <w:pPr>
        <w:spacing w:line="360" w:lineRule="auto" w:after="20"/>
        <w:ind w:left="240"/>
        <w:tabs>
          <w:tab w:val="right" w:leader="dot" w:pos="8820"/>
        </w:tabs>
      </w:pPr>
      <w:hyperlink w:anchor="RR_064" w:history="1">
        <w:r>
          <w:rPr>
            <w:rFonts w:ascii="宋体" w:hAnsi="宋体" w:eastAsia="宋体"/>
            <w:sz w:val="24"/>
            <w:color w:val="000000"/>
          </w:rPr>
          <w:t>C.2 统计复现的起点与限制</w:t>
        </w:r>
        <w:r>
          <w:rPr>
            <w:rFonts w:ascii="宋体" w:hAnsi="宋体" w:eastAsia="宋体"/>
            <w:sz w:val="24"/>
            <w:color w:val="000000"/>
          </w:rPr>
          <w:tab/>
        </w:r>
        <w:r>
          <w:rPr>
            <w:rFonts w:ascii="宋体" w:hAnsi="宋体" w:eastAsia="宋体"/>
            <w:sz w:val="24"/>
            <w:color w:val="000000"/>
          </w:rPr>
          <w:t>53</w:t>
        </w:r>
      </w:hyperlink>
    </w:p>
    <w:p>
      <w:pPr>
        <w:spacing w:line="360" w:lineRule="auto" w:after="20"/>
        <w:ind w:left="0"/>
        <w:tabs>
          <w:tab w:val="right" w:leader="dot" w:pos="8820"/>
        </w:tabs>
      </w:pPr>
      <w:hyperlink w:anchor="RR_065" w:history="1">
        <w:r>
          <w:rPr>
            <w:rFonts w:ascii="宋体" w:hAnsi="宋体" w:eastAsia="宋体"/>
            <w:sz w:val="24"/>
            <w:color w:val="000000"/>
          </w:rPr>
          <w:t>附录D 来源与第三方许可</w:t>
        </w:r>
        <w:r>
          <w:rPr>
            <w:rFonts w:ascii="宋体" w:hAnsi="宋体" w:eastAsia="宋体"/>
            <w:sz w:val="24"/>
            <w:color w:val="000000"/>
          </w:rPr>
          <w:tab/>
        </w:r>
        <w:r>
          <w:rPr>
            <w:rFonts w:ascii="宋体" w:hAnsi="宋体" w:eastAsia="宋体"/>
            <w:sz w:val="24"/>
            <w:color w:val="000000"/>
          </w:rPr>
          <w:t>55</w:t>
        </w:r>
      </w:hyperlink>
    </w:p>
    <w:p>
      <w:pPr>
        <w:spacing w:line="360" w:lineRule="auto" w:after="20"/>
        <w:ind w:left="240"/>
        <w:tabs>
          <w:tab w:val="right" w:leader="dot" w:pos="8820"/>
        </w:tabs>
      </w:pPr>
      <w:hyperlink w:anchor="RR_066" w:history="1">
        <w:r>
          <w:rPr>
            <w:rFonts w:ascii="宋体" w:hAnsi="宋体" w:eastAsia="宋体"/>
            <w:sz w:val="24"/>
            <w:color w:val="000000"/>
          </w:rPr>
          <w:t>D.1 原创范围与代码来源</w:t>
        </w:r>
        <w:r>
          <w:rPr>
            <w:rFonts w:ascii="宋体" w:hAnsi="宋体" w:eastAsia="宋体"/>
            <w:sz w:val="24"/>
            <w:color w:val="000000"/>
          </w:rPr>
          <w:tab/>
        </w:r>
        <w:r>
          <w:rPr>
            <w:rFonts w:ascii="宋体" w:hAnsi="宋体" w:eastAsia="宋体"/>
            <w:sz w:val="24"/>
            <w:color w:val="000000"/>
          </w:rPr>
          <w:t>55</w:t>
        </w:r>
      </w:hyperlink>
    </w:p>
    <w:p>
      <w:pPr>
        <w:spacing w:line="360" w:lineRule="auto" w:after="20"/>
        <w:ind w:left="240"/>
        <w:tabs>
          <w:tab w:val="right" w:leader="dot" w:pos="8820"/>
        </w:tabs>
      </w:pPr>
      <w:hyperlink w:anchor="RR_067" w:history="1">
        <w:r>
          <w:rPr>
            <w:rFonts w:ascii="宋体" w:hAnsi="宋体" w:eastAsia="宋体"/>
            <w:sz w:val="24"/>
            <w:color w:val="000000"/>
          </w:rPr>
          <w:t>D.2 数据来源与许可</w:t>
        </w:r>
        <w:r>
          <w:rPr>
            <w:rFonts w:ascii="宋体" w:hAnsi="宋体" w:eastAsia="宋体"/>
            <w:sz w:val="24"/>
            <w:color w:val="000000"/>
          </w:rPr>
          <w:tab/>
        </w:r>
        <w:r>
          <w:rPr>
            <w:rFonts w:ascii="宋体" w:hAnsi="宋体" w:eastAsia="宋体"/>
            <w:sz w:val="24"/>
            <w:color w:val="000000"/>
          </w:rPr>
          <w:t>56</w:t>
        </w:r>
      </w:hyperlink>
    </w:p>
    <w:p>
      <w:pPr>
        <w:spacing w:line="360" w:lineRule="auto" w:after="20"/>
        <w:ind w:left="240"/>
        <w:tabs>
          <w:tab w:val="right" w:leader="dot" w:pos="8820"/>
        </w:tabs>
      </w:pPr>
      <w:hyperlink w:anchor="RR_068" w:history="1">
        <w:r>
          <w:rPr>
            <w:rFonts w:ascii="宋体" w:hAnsi="宋体" w:eastAsia="宋体"/>
            <w:sz w:val="24"/>
            <w:color w:val="000000"/>
          </w:rPr>
          <w:t>D.3 分发组件与未完成确认</w:t>
        </w:r>
        <w:r>
          <w:rPr>
            <w:rFonts w:ascii="宋体" w:hAnsi="宋体" w:eastAsia="宋体"/>
            <w:sz w:val="24"/>
            <w:color w:val="000000"/>
          </w:rPr>
          <w:tab/>
        </w:r>
        <w:r>
          <w:rPr>
            <w:rFonts w:ascii="宋体" w:hAnsi="宋体" w:eastAsia="宋体"/>
            <w:sz w:val="24"/>
            <w:color w:val="000000"/>
          </w:rPr>
          <w:t>57</w:t>
        </w:r>
      </w:hyperlink>
    </w:p>
    <w:p w14:paraId="6087B89F">
      <w:pPr>
        <w:widowControl/>
        <w:autoSpaceDE w:val="0"/>
        <w:autoSpaceDN w:val="0"/>
        <w:adjustRightInd w:val="0"/>
        <w:spacing w:line="360" w:lineRule="auto"/>
        <w:rPr>
          <w:rFonts w:ascii="宋体" w:hAnsi="宋体" w:cs="DFKai-SB"/>
          <w:bCs/>
          <w:sz w:val="24"/>
        </w:rPr>
        <w:sectPr>
          <w:pgSz w:w="11906" w:h="16838"/>
          <w:pgMar w:top="1440" w:right="1466" w:bottom="1440" w:left="1620" w:header="851" w:footer="992" w:gutter="0"/>
          <w:pgNumType w:fmt="decimalEnclosedCircle"/>
          <w:cols w:space="720" w:num="1"/>
          <w:docGrid w:type="lines" w:linePitch="312" w:charSpace="0"/>
        </w:sectPr>
      </w:pPr>
    </w:p>
    <w:p>
      <w:pPr>
        <w:pStyle w:val="2"/>
        <w:keepNext/>
        <w:keepLines/>
        <w:pageBreakBefore w:val="0"/>
        <w:spacing w:line="360" w:lineRule="auto" w:after="160" w:before="0"/>
        <w:ind w:firstLine="0"/>
        <w:jc w:val="center"/>
      </w:pPr>
      <w:bookmarkStart w:id="1000" w:name="RR_001"/>
      <w:r>
        <w:rPr>
          <w:rFonts w:ascii="宋体" w:hAnsi="宋体" w:eastAsia="宋体"/>
          <w:b/>
          <w:sz w:val="32"/>
        </w:rPr>
        <w:t>摘要</w:t>
      </w:r>
      <w:bookmarkEnd w:id="1000"/>
    </w:p>
    <w:p>
      <w:pPr>
        <w:keepNext w:val="0"/>
        <w:spacing w:line="360" w:lineRule="auto" w:after="120" w:before="0"/>
        <w:ind w:firstLine="480"/>
      </w:pPr>
      <w:r>
        <w:rPr>
          <w:rFonts w:ascii="宋体" w:hAnsi="宋体" w:eastAsia="宋体"/>
          <w:b w:val="0"/>
          <w:sz w:val="24"/>
        </w:rPr>
        <w:t>多方共享本地差分隐私（LDP）统计摘要时，扰动机制保护个人输入，却不能阻止伪造报告；数字签名确认发布来源，也不能保证合法发布者提交的数值诚实。PrivEdge面向这一缺口，实现多源LDP摘要的抗投毒可信交换。系统按信息可见性设置两层防御：发布端从扰动报告中筛查异常联合支持，网关仅基于Top-m摘要组合多源支持、留一截尾与权重封顶；签名、窗口、角色和预算登记绑定摘要的发布与实际使用，链损坏触发拒答。以新区域品类推断为例，作品在三套数据上验证统计效用与攻击影响，并以协议模型和程序测试核对交换行为。TRD中ε=1、m=20、单源伪造数为诚实数10%的场景下，既有五种子实验的攻击目标入榜比例由0.9030降至0；四方法描述性对照同时保留无攻击无普遍优势、部分鲁棒基线更优及双源合谋残余风险。系统输出检查通过、降级或拒答及原因，检查通过不代表预测准确。理论影响界依赖留一诚实多数等条件，原型验证不替代真实分布式部署。</w:t>
      </w:r>
    </w:p>
    <w:p>
      <w:pPr>
        <w:keepNext w:val="0"/>
        <w:spacing w:line="360" w:lineRule="auto" w:after="120" w:before="0"/>
        <w:ind w:firstLine="480"/>
      </w:pPr>
      <w:r>
        <w:rPr>
          <w:rFonts w:ascii="宋体" w:hAnsi="宋体" w:eastAsia="宋体"/>
          <w:b w:val="0"/>
          <w:sz w:val="24"/>
        </w:rPr>
        <w:t>关键词：本地差分隐私；多源摘要；数据投毒防御；可信交换；可审计原型</w:t>
      </w:r>
    </w:p>
    <w:p w14:paraId="3BBFC90E">
      <w:pPr>
        <w:widowControl/>
        <w:autoSpaceDE w:val="0"/>
        <w:autoSpaceDN w:val="0"/>
        <w:adjustRightInd w:val="0"/>
        <w:spacing w:line="360" w:lineRule="auto"/>
        <w:rPr>
          <w:rFonts w:ascii="宋体" w:hAnsi="宋体" w:cs="DFKai-SB"/>
          <w:bCs/>
          <w:sz w:val="24"/>
        </w:rPr>
        <w:sectPr>
          <w:footerReference r:id="rId4" w:type="default"/>
          <w:pgSz w:w="11906" w:h="16838"/>
          <w:pgMar w:top="1440" w:right="1466" w:bottom="1440" w:left="1620" w:header="851" w:footer="992" w:gutter="0"/>
          <w:pgNumType w:start="1"/>
          <w:cols w:space="720" w:num="1"/>
          <w:docGrid w:type="lines" w:linePitch="312" w:charSpace="0"/>
        </w:sectPr>
      </w:pPr>
    </w:p>
    <w:p>
      <w:pPr>
        <w:pStyle w:val="2"/>
        <w:keepNext/>
        <w:keepLines/>
        <w:pageBreakBefore w:val="0"/>
        <w:spacing w:line="360" w:lineRule="auto" w:after="160" w:before="0"/>
        <w:ind w:firstLine="0"/>
        <w:jc w:val="center"/>
      </w:pPr>
      <w:bookmarkStart w:id="1001" w:name="RR_002"/>
      <w:r>
        <w:rPr>
          <w:rFonts w:ascii="宋体" w:hAnsi="宋体" w:eastAsia="宋体"/>
          <w:b/>
          <w:sz w:val="32"/>
        </w:rPr>
        <w:t>第一章 作品概述</w:t>
      </w:r>
      <w:bookmarkEnd w:id="1001"/>
    </w:p>
    <w:p>
      <w:pPr>
        <w:pStyle w:val="PEHeading2"/>
        <w:keepNext/>
        <w:keepLines/>
        <w:pageBreakBefore w:val="0"/>
        <w:spacing w:line="360" w:lineRule="auto" w:after="160" w:before="240"/>
        <w:ind w:firstLine="0"/>
        <w:jc w:val="left"/>
      </w:pPr>
      <w:bookmarkStart w:id="1002" w:name="RR_003"/>
      <w:r>
        <w:rPr>
          <w:rFonts w:ascii="宋体" w:hAnsi="宋体" w:eastAsia="宋体"/>
          <w:b/>
          <w:sz w:val="28"/>
        </w:rPr>
        <w:t>1.1 研究背景</w:t>
      </w:r>
      <w:bookmarkEnd w:id="1002"/>
    </w:p>
    <w:p>
      <w:pPr>
        <w:keepNext w:val="0"/>
        <w:spacing w:line="360" w:lineRule="auto" w:after="120" w:before="0"/>
        <w:ind w:firstLine="480"/>
      </w:pPr>
      <w:r>
        <w:rPr>
          <w:rFonts w:ascii="宋体" w:hAnsi="宋体" w:eastAsia="宋体"/>
          <w:b w:val="0"/>
          <w:sz w:val="24"/>
        </w:rPr>
        <w:t>多个组织希望共享统计规律，却不愿直接交换个人行为记录。本地差分隐私允许用户先扰动类别再上报，但也使接收方难以区分诚实随机化和刻意构造的报告。与此同时，持有合法密钥的发布者可以生成验签正确的虚假摘要。隐私保护、来源认证和统计可信性因此需要分别处理。</w:t>
      </w:r>
    </w:p>
    <w:p>
      <w:pPr>
        <w:keepNext w:val="0"/>
        <w:spacing w:line="360" w:lineRule="auto" w:after="120" w:before="0"/>
        <w:ind w:firstLine="480"/>
      </w:pPr>
      <w:r>
        <w:rPr>
          <w:rFonts w:ascii="宋体" w:hAnsi="宋体" w:eastAsia="宋体"/>
          <w:b w:val="0"/>
          <w:sz w:val="24"/>
        </w:rPr>
        <w:t>PrivEdge解决的具体问题是：目标网关只接收多个来源的稀疏Top-m摘要时，如何限制恶意来源对候选品类和融合分数的影响，并说明哪些摘要被使用、哪些检查失败。作品以多源LDP摘要的抗投毒可信交换为主线，新区域热门品类推断只是检验这条交换流程的应用例子。</w:t>
      </w:r>
    </w:p>
    <w:p>
      <w:pPr>
        <w:keepNext w:val="0"/>
        <w:spacing w:line="360" w:lineRule="auto" w:after="120" w:before="0"/>
        <w:ind w:firstLine="480"/>
      </w:pPr>
      <w:r>
        <w:rPr>
          <w:rFonts w:ascii="宋体" w:hAnsi="宋体" w:eastAsia="宋体"/>
          <w:b w:val="0"/>
          <w:sz w:val="24"/>
        </w:rPr>
        <w:t>设计的关键约束是信息不对称。发布端能查看用户级扰动报告，可以筛查异常共同支持；网关无法回看这些报告，只能利用摘要间的支持关系与数值分布。系统据此在两处设置防线，并用签名登记和实际使用内容绑定连接两层。最终输出检查结论、Top-k及审计原因，离线预测指标另行评价。</w:t>
      </w:r>
    </w:p>
    <w:p>
      <w:pPr>
        <w:pStyle w:val="PEHeading2"/>
        <w:keepNext/>
        <w:keepLines/>
        <w:pageBreakBefore w:val="0"/>
        <w:spacing w:line="360" w:lineRule="auto" w:after="160" w:before="240"/>
        <w:ind w:firstLine="0"/>
        <w:jc w:val="left"/>
      </w:pPr>
      <w:bookmarkStart w:id="1003" w:name="RR_004"/>
      <w:r>
        <w:rPr>
          <w:rFonts w:ascii="宋体" w:hAnsi="宋体" w:eastAsia="宋体"/>
          <w:b/>
          <w:sz w:val="28"/>
        </w:rPr>
        <w:t>1.2 相关工作</w:t>
      </w:r>
      <w:bookmarkEnd w:id="1003"/>
    </w:p>
    <w:p>
      <w:pPr>
        <w:keepNext w:val="0"/>
        <w:spacing w:line="360" w:lineRule="auto" w:after="120" w:before="0"/>
        <w:ind w:firstLine="480"/>
      </w:pPr>
      <w:r>
        <w:rPr>
          <w:rFonts w:ascii="宋体" w:hAnsi="宋体" w:eastAsia="宋体"/>
          <w:b w:val="0"/>
          <w:sz w:val="24"/>
        </w:rPr>
        <w:t>相关研究分别解决隐私估计、扰动报告投毒、鲁棒聚合或协议认证。下面按它们能够观察的信息和提供的保证定位本作品，既注明继承的方法，也说明组合设计的新增范围。</w:t>
      </w:r>
    </w:p>
    <w:p>
      <w:pPr>
        <w:pStyle w:val="PEHeading3"/>
        <w:keepNext/>
        <w:keepLines/>
        <w:pageBreakBefore w:val="0"/>
        <w:spacing w:line="360" w:lineRule="auto" w:after="160" w:before="240"/>
        <w:ind w:firstLine="0"/>
        <w:jc w:val="left"/>
      </w:pPr>
      <w:bookmarkStart w:id="1004" w:name="RR_005"/>
      <w:r>
        <w:rPr>
          <w:rFonts w:ascii="宋体" w:hAnsi="宋体" w:eastAsia="宋体"/>
          <w:b/>
          <w:sz w:val="24"/>
        </w:rPr>
        <w:t>1.2.1 LDP频率估计与Top K识别</w:t>
      </w:r>
      <w:bookmarkEnd w:id="1004"/>
    </w:p>
    <w:p>
      <w:pPr>
        <w:widowControl/>
        <w:spacing w:line="360" w:lineRule="auto" w:before="0" w:after="120"/>
        <w:ind w:firstLine="420"/>
        <w:jc w:val="both"/>
      </w:pPr>
      <w:r>
        <w:rPr>
          <w:rFonts w:ascii="宋体" w:hAnsi="宋体" w:eastAsia="宋体" w:cs="宋体"/>
          <w:b w:val="0"/>
          <w:i w:val="0"/>
          <w:sz w:val="24"/>
          <w:szCs w:val="24"/>
        </w:rPr>
        <w:t>本地差分隐私（Local Differential Privacy，LDP）将随机化放在数据产生端，使汇聚方只接触扰动报告。RAPPOR展示了可聚合的随机响应工程路径，Succinct Histograms研究大域稀疏频率发布，Wang等系统比较了广义随机响应、OUE和OLH并给出频率估计的误差分析</w:t>
      </w:r>
      <w:r>
        <w:rPr>
          <w:rFonts w:ascii="宋体" w:hAnsi="宋体" w:eastAsia="宋体" w:cs="宋体"/>
          <w:b w:val="0"/>
          <w:i w:val="0"/>
          <w:sz w:val="24"/>
          <w:szCs w:val="24"/>
        </w:rPr>
        <w:t>[</w:t>
      </w:r>
      <w:r>
        <w:rPr>
          <w:rFonts w:ascii="宋体" w:hAnsi="宋体" w:eastAsia="宋体" w:cs="宋体"/>
          <w:b w:val="0"/>
          <w:i w:val="0"/>
          <w:sz w:val="24"/>
          <w:vertAlign w:val="superscript"/>
          <w:szCs w:val="24"/>
        </w:rPr>
        <w:fldChar w:fldCharType="begin"/>
        <w:instrText xml:space="preserve"> REF ref1 \h </w:instrText>
        <w:fldChar w:fldCharType="separate"/>
        <w:t>1</w:t>
        <w:fldChar w:fldCharType="end"/>
      </w:r>
      <w:r>
        <w:rPr>
          <w:rFonts w:ascii="宋体" w:hAnsi="宋体" w:eastAsia="宋体" w:cs="宋体"/>
          <w:b w:val="0"/>
          <w:i w:val="0"/>
          <w:sz w:val="24"/>
          <w:szCs w:val="24"/>
        </w:rPr>
        <w:t>,</w:t>
      </w:r>
      <w:r>
        <w:rPr>
          <w:rFonts w:ascii="宋体" w:hAnsi="宋体" w:eastAsia="宋体" w:cs="宋体"/>
          <w:b w:val="0"/>
          <w:i w:val="0"/>
          <w:sz w:val="24"/>
          <w:vertAlign w:val="superscript"/>
          <w:szCs w:val="24"/>
        </w:rPr>
        <w:fldChar w:fldCharType="begin"/>
        <w:instrText xml:space="preserve"> REF ref2 \h </w:instrText>
        <w:fldChar w:fldCharType="separate"/>
        <w:t>2</w:t>
        <w:fldChar w:fldCharType="end"/>
      </w:r>
      <w:r>
        <w:rPr>
          <w:rFonts w:ascii="宋体" w:hAnsi="宋体" w:eastAsia="宋体" w:cs="宋体"/>
          <w:b w:val="0"/>
          <w:i w:val="0"/>
          <w:sz w:val="24"/>
          <w:szCs w:val="24"/>
        </w:rPr>
        <w:t>,</w:t>
      </w:r>
      <w:r>
        <w:rPr>
          <w:rFonts w:ascii="宋体" w:hAnsi="宋体" w:eastAsia="宋体" w:cs="宋体"/>
          <w:b w:val="0"/>
          <w:i w:val="0"/>
          <w:sz w:val="24"/>
          <w:vertAlign w:val="superscript"/>
          <w:szCs w:val="24"/>
        </w:rPr>
        <w:fldChar w:fldCharType="begin"/>
        <w:instrText xml:space="preserve"> REF ref3 \h </w:instrText>
        <w:fldChar w:fldCharType="separate"/>
        <w:t>3</w:t>
        <w:fldChar w:fldCharType="end"/>
      </w:r>
      <w:r>
        <w:rPr>
          <w:rFonts w:ascii="宋体" w:hAnsi="宋体" w:eastAsia="宋体" w:cs="宋体"/>
          <w:b w:val="0"/>
          <w:i w:val="0"/>
          <w:sz w:val="24"/>
          <w:szCs w:val="24"/>
        </w:rPr>
        <w:t>]</w:t>
      </w:r>
      <w:r>
        <w:rPr>
          <w:rFonts w:ascii="宋体" w:hAnsi="宋体" w:eastAsia="宋体" w:cs="宋体"/>
          <w:b w:val="0"/>
          <w:i w:val="0"/>
          <w:sz w:val="24"/>
          <w:szCs w:val="24"/>
        </w:rPr>
        <w:t>。这些工作的共同对象是诚实用户报告；PrivEdge面对的输入还包含多个区域、Top-m删失和来源级攻击。</w:t>
      </w:r>
    </w:p>
    <w:p>
      <w:pPr>
        <w:widowControl/>
        <w:spacing w:line="360" w:lineRule="auto" w:before="0" w:after="120"/>
        <w:ind w:firstLine="420"/>
        <w:jc w:val="both"/>
      </w:pPr>
      <w:r>
        <w:rPr>
          <w:rFonts w:ascii="宋体" w:hAnsi="宋体" w:eastAsia="宋体" w:cs="宋体"/>
          <w:b w:val="0"/>
          <w:i w:val="0"/>
          <w:sz w:val="24"/>
          <w:szCs w:val="24"/>
        </w:rPr>
        <w:t>OLH适合大类别域，是因为单条报告的通信量不随类别总数线性增长。PrivEdge的实际改动在于把估计结果组织成带窗口、来源、样本数、方差和签名的稀疏摘要，并把后续的来源准入与鲁棒融合纳入同一条可审计流水线。它没有声称重新提出OLH或继承其全部重频项识别算法。</w:t>
      </w:r>
    </w:p>
    <w:p>
      <w:pPr>
        <w:pStyle w:val="PEHeading3"/>
        <w:keepNext/>
        <w:keepLines/>
        <w:pageBreakBefore w:val="0"/>
        <w:spacing w:line="360" w:lineRule="auto" w:after="160" w:before="240"/>
        <w:ind w:firstLine="0"/>
        <w:jc w:val="left"/>
      </w:pPr>
      <w:bookmarkStart w:id="1005" w:name="RR_006"/>
      <w:r>
        <w:rPr>
          <w:rFonts w:ascii="宋体" w:hAnsi="宋体" w:eastAsia="宋体"/>
          <w:b/>
          <w:sz w:val="24"/>
        </w:rPr>
        <w:t>1.2.2 LDP投毒攻击与防御</w:t>
      </w:r>
      <w:bookmarkEnd w:id="1005"/>
    </w:p>
    <w:p>
      <w:pPr>
        <w:widowControl/>
        <w:spacing w:line="360" w:lineRule="auto" w:before="0" w:after="120"/>
        <w:ind w:firstLine="420"/>
        <w:jc w:val="both"/>
      </w:pPr>
      <w:r>
        <w:rPr>
          <w:rFonts w:ascii="宋体" w:hAnsi="宋体" w:eastAsia="宋体" w:cs="宋体"/>
          <w:b w:val="0"/>
          <w:i w:val="0"/>
          <w:sz w:val="24"/>
          <w:szCs w:val="24"/>
        </w:rPr>
        <w:t>LDP让汇聚方不能从单条报告恢复真实类别，因而伪造用户可以直接提交桶值而不经过诚实用户的随机化过程。Cao、Jia和Gong系统研究了面向kRR、OUE和OLH的最大增益攻击（MGA），并讨论了归一化和频繁项集检测等防御</w:t>
      </w:r>
      <w:r>
        <w:rPr>
          <w:rFonts w:ascii="宋体" w:hAnsi="宋体" w:eastAsia="宋体" w:cs="宋体"/>
          <w:b w:val="0"/>
          <w:i w:val="0"/>
          <w:sz w:val="24"/>
          <w:szCs w:val="24"/>
        </w:rPr>
        <w:t>[</w:t>
      </w:r>
      <w:r>
        <w:rPr>
          <w:rFonts w:ascii="宋体" w:hAnsi="宋体" w:eastAsia="宋体" w:cs="宋体"/>
          <w:b w:val="0"/>
          <w:i w:val="0"/>
          <w:sz w:val="24"/>
          <w:vertAlign w:val="superscript"/>
          <w:szCs w:val="24"/>
        </w:rPr>
        <w:fldChar w:fldCharType="begin"/>
        <w:instrText xml:space="preserve"> REF ref4 \h </w:instrText>
        <w:fldChar w:fldCharType="separate"/>
        <w:t>4</w:t>
        <w:fldChar w:fldCharType="end"/>
      </w:r>
      <w:r>
        <w:rPr>
          <w:rFonts w:ascii="宋体" w:hAnsi="宋体" w:eastAsia="宋体" w:cs="宋体"/>
          <w:b w:val="0"/>
          <w:i w:val="0"/>
          <w:sz w:val="24"/>
          <w:szCs w:val="24"/>
        </w:rPr>
        <w:t>]</w:t>
      </w:r>
      <w:r>
        <w:rPr>
          <w:rFonts w:ascii="宋体" w:hAnsi="宋体" w:eastAsia="宋体" w:cs="宋体"/>
          <w:b w:val="0"/>
          <w:i w:val="0"/>
          <w:sz w:val="24"/>
          <w:szCs w:val="24"/>
        </w:rPr>
        <w:t>。该威胁模型是PrivEdge发布端检测的来源之一，但论文中的攻击优化问题、协议参数和实验结论不能自动转化为本项目保证。</w:t>
      </w:r>
    </w:p>
    <w:p>
      <w:pPr>
        <w:keepNext w:val="0"/>
        <w:spacing w:line="360" w:lineRule="auto" w:after="120" w:before="0"/>
        <w:ind w:firstLine="480"/>
      </w:pPr>
      <w:r>
        <w:rPr>
          <w:rFonts w:ascii="宋体" w:hAnsi="宋体" w:eastAsia="宋体"/>
          <w:b w:val="0"/>
          <w:sz w:val="24"/>
        </w:rPr>
        <w:t>本项目使用MGA风格的有界随机搜索构造伪造报告，具体攻击预算和比例见3.1.2。发布端筛查和网关摘要级防御处理不同输入：前者不能约束被攻破发布者直接伪造摘要，后者无法回溯用户级报告。</w:t>
      </w:r>
    </w:p>
    <w:p>
      <w:pPr>
        <w:pStyle w:val="PEHeading3"/>
        <w:keepNext/>
        <w:keepLines/>
        <w:pageBreakBefore w:val="0"/>
        <w:spacing w:line="360" w:lineRule="auto" w:after="160" w:before="240"/>
        <w:ind w:firstLine="0"/>
        <w:jc w:val="left"/>
      </w:pPr>
      <w:bookmarkStart w:id="1006" w:name="RR_007"/>
      <w:r>
        <w:rPr>
          <w:rFonts w:ascii="宋体" w:hAnsi="宋体" w:eastAsia="宋体"/>
          <w:b/>
          <w:sz w:val="24"/>
        </w:rPr>
        <w:t>1.2.3 arXiv 2506.02156与恶意报告检测</w:t>
      </w:r>
      <w:bookmarkEnd w:id="1006"/>
    </w:p>
    <w:p>
      <w:pPr>
        <w:widowControl/>
        <w:spacing w:line="360" w:lineRule="auto" w:before="0" w:after="120"/>
        <w:ind w:firstLine="420"/>
        <w:jc w:val="both"/>
      </w:pPr>
      <w:r>
        <w:rPr>
          <w:rFonts w:ascii="宋体" w:hAnsi="宋体" w:eastAsia="宋体" w:cs="宋体"/>
          <w:sz w:val="24"/>
          <w:szCs w:val="24"/>
        </w:rPr>
        <w:t>Li等人的arXiv:2506.02156（CCS 2025）工作研究了LDP投毒缓解，提出Diffstats、ASD和RSN等组件，用报告支持项数和频率统计识别候选伪造用户，并对异常频段进行检测或归一化[5]。这些方法提供了可比较的统计检测思路，其检测和效用结果依赖原论文的数据协议、攻击设置及阈值校准。PrivEdge采用下述联合支持检测流程，检测能力以本项目实验衡量。</w:t>
      </w:r>
    </w:p>
    <w:p>
      <w:pPr>
        <w:keepNext w:val="0"/>
        <w:spacing w:line="360" w:lineRule="auto" w:after="120" w:before="0"/>
        <w:ind w:firstLine="480"/>
      </w:pPr>
      <w:r>
        <w:rPr>
          <w:rFonts w:ascii="宋体" w:hAnsi="宋体" w:eastAsia="宋体"/>
          <w:b w:val="0"/>
          <w:sz w:val="24"/>
        </w:rPr>
        <w:t>本作品没有实现该论文的Diffstats、ASD或RSN，也没有把其效用恢复结论当作本队结果。当前发布端采用联合支持项集启发式，具体过程及阈值限制见2.5.2。该论文是相关研究参照，作品的实验数据、程序实现和影响界以本报告对应证据为准。</w:t>
      </w:r>
    </w:p>
    <w:p>
      <w:pPr>
        <w:pStyle w:val="PEHeading3"/>
        <w:keepNext/>
        <w:keepLines/>
        <w:pageBreakBefore w:val="0"/>
        <w:spacing w:line="360" w:lineRule="auto" w:after="160" w:before="240"/>
        <w:ind w:firstLine="0"/>
        <w:jc w:val="left"/>
      </w:pPr>
      <w:bookmarkStart w:id="1007" w:name="RR_008"/>
      <w:r>
        <w:rPr>
          <w:rFonts w:ascii="宋体" w:hAnsi="宋体" w:eastAsia="宋体"/>
          <w:b/>
          <w:sz w:val="24"/>
        </w:rPr>
        <w:t>1.2.4 已有鲁棒聚合</w:t>
      </w:r>
      <w:bookmarkEnd w:id="1007"/>
    </w:p>
    <w:p>
      <w:pPr>
        <w:widowControl/>
        <w:spacing w:line="360" w:lineRule="auto" w:before="0" w:after="120"/>
        <w:ind w:firstLine="420"/>
        <w:jc w:val="both"/>
      </w:pPr>
      <w:r>
        <w:rPr>
          <w:rFonts w:ascii="宋体" w:hAnsi="宋体" w:eastAsia="宋体" w:cs="宋体"/>
          <w:b w:val="0"/>
          <w:i w:val="0"/>
          <w:sz w:val="24"/>
          <w:szCs w:val="24"/>
        </w:rPr>
        <w:t>中位数、坐标截尾均值和Krum是分布式学习中常见的拜占庭鲁棒聚合。Yin等在梯度向量模型下分析了截尾均值的误差和恶意节点条件，Blanchard等提出基于梯度向量距离选择代表节点的Krum</w:t>
      </w:r>
      <w:r>
        <w:rPr>
          <w:rFonts w:ascii="宋体" w:hAnsi="宋体" w:eastAsia="宋体" w:cs="宋体"/>
          <w:b w:val="0"/>
          <w:i w:val="0"/>
          <w:sz w:val="24"/>
          <w:szCs w:val="24"/>
        </w:rPr>
        <w:t>[</w:t>
      </w:r>
      <w:r>
        <w:rPr>
          <w:rFonts w:ascii="宋体" w:hAnsi="宋体" w:eastAsia="宋体" w:cs="宋体"/>
          <w:b w:val="0"/>
          <w:i w:val="0"/>
          <w:sz w:val="24"/>
          <w:vertAlign w:val="superscript"/>
          <w:szCs w:val="24"/>
        </w:rPr>
        <w:fldChar w:fldCharType="begin"/>
        <w:instrText xml:space="preserve"> REF ref6 \h </w:instrText>
        <w:fldChar w:fldCharType="separate"/>
        <w:t>6</w:t>
        <w:fldChar w:fldCharType="end"/>
      </w:r>
      <w:r>
        <w:rPr>
          <w:rFonts w:ascii="宋体" w:hAnsi="宋体" w:eastAsia="宋体" w:cs="宋体"/>
          <w:b w:val="0"/>
          <w:i w:val="0"/>
          <w:sz w:val="24"/>
          <w:szCs w:val="24"/>
        </w:rPr>
        <w:t>,</w:t>
      </w:r>
      <w:r>
        <w:rPr>
          <w:rFonts w:ascii="宋体" w:hAnsi="宋体" w:eastAsia="宋体" w:cs="宋体"/>
          <w:b w:val="0"/>
          <w:i w:val="0"/>
          <w:sz w:val="24"/>
          <w:vertAlign w:val="superscript"/>
          <w:szCs w:val="24"/>
        </w:rPr>
        <w:fldChar w:fldCharType="begin"/>
        <w:instrText xml:space="preserve"> REF ref7 \h </w:instrText>
        <w:fldChar w:fldCharType="separate"/>
        <w:t>7</w:t>
        <w:fldChar w:fldCharType="end"/>
      </w:r>
      <w:r>
        <w:rPr>
          <w:rFonts w:ascii="宋体" w:hAnsi="宋体" w:eastAsia="宋体" w:cs="宋体"/>
          <w:b w:val="0"/>
          <w:i w:val="0"/>
          <w:sz w:val="24"/>
          <w:szCs w:val="24"/>
        </w:rPr>
        <w:t>]</w:t>
      </w:r>
      <w:r>
        <w:rPr>
          <w:rFonts w:ascii="宋体" w:hAnsi="宋体" w:eastAsia="宋体" w:cs="宋体"/>
          <w:b w:val="0"/>
          <w:i w:val="0"/>
          <w:sz w:val="24"/>
          <w:szCs w:val="24"/>
        </w:rPr>
        <w:t>。两类方法通常接收同维、完整的节点向量，而PrivEdge接收各区域只发布Top-m的稀疏频率摘要；未发布项既有统计缺失也有业务含义，不能直接套用梯度定理。</w:t>
      </w:r>
    </w:p>
    <w:p>
      <w:pPr>
        <w:widowControl/>
        <w:spacing w:line="360" w:lineRule="auto" w:before="0" w:after="120"/>
        <w:ind w:firstLine="420"/>
        <w:jc w:val="both"/>
      </w:pPr>
      <w:r>
        <w:rPr>
          <w:rFonts w:ascii="宋体" w:hAnsi="宋体" w:eastAsia="宋体" w:cs="宋体"/>
          <w:b w:val="0"/>
          <w:i w:val="0"/>
          <w:sz w:val="24"/>
          <w:szCs w:val="24"/>
        </w:rPr>
        <w:t>COMPARE_V1中的trimmed_frequency是本地经验基线：逐品类收集来源频率，缺失项补0，排序后两端各删一项，再对中间值取均值并形成Top-k。它只借鉴坐标截尾的聚合形式，不是Yin等论文实现的复现，且其缺失补0、来源数和攻击模型不满足原论文定理的完整条件。Krum需要稳定的全向量距离和足够节点数；稀疏Top-m摘要可通过补零构造成距离向量，但缺失语义和距离尺度需另作设计，当前四方法对照未纳入该额外适配。</w:t>
      </w:r>
    </w:p>
    <w:p>
      <w:pPr>
        <w:keepNext w:val="0"/>
        <w:spacing w:line="360" w:lineRule="auto" w:after="120" w:before="0"/>
        <w:ind w:firstLine="480"/>
      </w:pPr>
      <w:r>
        <w:rPr>
          <w:rFonts w:ascii="宋体" w:hAnsi="宋体" w:eastAsia="宋体"/>
          <w:b w:val="0"/>
          <w:sz w:val="24"/>
        </w:rPr>
        <w:t>PrivEdge另组合原始来源支持、留一截尾与权重封顶，其适用条件与分数界见2.5.3、2.6.2及附录A。</w:t>
      </w:r>
    </w:p>
    <w:p>
      <w:pPr>
        <w:pStyle w:val="PEHeading3"/>
        <w:keepNext/>
        <w:keepLines/>
        <w:pageBreakBefore w:val="0"/>
        <w:spacing w:line="360" w:lineRule="auto" w:after="160" w:before="240"/>
        <w:ind w:firstLine="0"/>
        <w:jc w:val="left"/>
      </w:pPr>
      <w:bookmarkStart w:id="1008" w:name="RR_009"/>
      <w:r>
        <w:rPr>
          <w:rFonts w:ascii="宋体" w:hAnsi="宋体" w:eastAsia="宋体"/>
          <w:b/>
          <w:sz w:val="24"/>
        </w:rPr>
        <w:t>1.2.5 隐私预算审计与协议验证</w:t>
      </w:r>
      <w:bookmarkEnd w:id="1008"/>
    </w:p>
    <w:p>
      <w:pPr>
        <w:widowControl/>
        <w:spacing w:line="360" w:lineRule="auto"/>
      </w:pPr>
      <w:r>
        <w:rPr>
          <w:rFonts w:ascii="宋体" w:hAnsi="宋体" w:eastAsia="宋体" w:cs="宋体"/>
          <w:sz w:val="24"/>
          <w:szCs w:val="24"/>
        </w:rPr>
        <w:t>差分隐私的组合性质要求在重复访问同一用户数据时核算累计隐私损失[8]。PrivEdge账本按源与窗口记录发布预算，并拒绝超过策略上限的登记。不同窗口用户集合不相交是部署假设，系统没有实现跨窗口用户身份核查。</w:t>
      </w:r>
    </w:p>
    <w:p>
      <w:pPr>
        <w:widowControl/>
        <w:spacing w:line="360" w:lineRule="auto"/>
      </w:pPr>
      <w:r>
        <w:rPr>
          <w:rFonts w:ascii="宋体" w:hAnsi="宋体" w:eastAsia="宋体" w:cs="宋体"/>
          <w:sz w:val="24"/>
          <w:szCs w:val="24"/>
        </w:rPr>
        <w:t>Certificate Transparency通过可验证日志支持公开检查[10]。本作品使用顺序哈希链与摘要绑定提供原型内的一致性检查；尚未实现独立见证者、公开一致性证明或防日志分叉机制，因此不将两者的审计保证等同。ProVerif可在符号攻击模型下分析认证与保密性质[9]，本作品据此核对发布、账本与准入的绑定关系，并以实现测试补充数值检查等模型之外的行为。</w:t>
      </w:r>
    </w:p>
    <w:p>
      <w:pPr>
        <w:keepNext/>
        <w:spacing w:line="360" w:lineRule="auto" w:after="120" w:before="0"/>
        <w:ind w:firstLine="0"/>
        <w:jc w:val="center"/>
      </w:pPr>
      <w:r>
        <w:rPr>
          <w:rFonts w:ascii="宋体" w:hAnsi="宋体" w:eastAsia="宋体"/>
          <w:b w:val="0"/>
          <w:sz w:val="24"/>
        </w:rPr>
        <w:t>表1-1 相关方法与PrivEdge的关系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880"/>
        <w:gridCol w:w="4464"/>
      </w:tblGrid>
      <w:tr>
        <w:trPr>
          <w:cantSplit/>
          <w:tblHeader/>
        </w:trPr>
        <w:tc>
          <w:tcPr>
            <w:tcW w:type="dxa" w:w="1512"/>
            <w:vAlign w:val="center"/>
            <w:shd w:fill="E7E6E6"/>
            <w:tcMar>
              <w:top w:w="70" w:type="dxa"/>
              <w:bottom w:w="70" w:type="dxa"/>
              <w:left w:w="70" w:type="dxa"/>
              <w:right w:w="70" w:type="dxa"/>
            </w:tcMar>
          </w:tcPr>
          <w:p>
            <w:pPr>
              <w:keepNext/>
              <w:spacing w:line="360" w:lineRule="auto" w:before="0" w:after="0"/>
              <w:ind w:firstLine="0"/>
            </w:pPr>
            <w:r>
              <w:rPr>
                <w:rFonts w:ascii="宋体" w:hAnsi="宋体" w:eastAsia="宋体"/>
                <w:b/>
                <w:sz w:val="24"/>
              </w:rPr>
              <w:t>研究方向</w:t>
            </w:r>
          </w:p>
        </w:tc>
        <w:tc>
          <w:tcPr>
            <w:tcW w:type="dxa" w:w="2880"/>
            <w:vAlign w:val="center"/>
            <w:shd w:fill="E7E6E6"/>
            <w:tcMar>
              <w:top w:w="70" w:type="dxa"/>
              <w:bottom w:w="70" w:type="dxa"/>
              <w:left w:w="70" w:type="dxa"/>
              <w:right w:w="70" w:type="dxa"/>
            </w:tcMar>
          </w:tcPr>
          <w:p>
            <w:pPr>
              <w:keepNext/>
              <w:spacing w:line="360" w:lineRule="auto" w:before="0" w:after="0"/>
              <w:ind w:firstLine="0"/>
            </w:pPr>
            <w:r>
              <w:rPr>
                <w:rFonts w:ascii="宋体" w:hAnsi="宋体" w:eastAsia="宋体"/>
                <w:b/>
                <w:sz w:val="24"/>
              </w:rPr>
              <w:t>已有方法及输入</w:t>
            </w:r>
          </w:p>
        </w:tc>
        <w:tc>
          <w:tcPr>
            <w:tcW w:type="dxa" w:w="4464"/>
            <w:vAlign w:val="center"/>
            <w:shd w:fill="E7E6E6"/>
            <w:tcMar>
              <w:top w:w="70" w:type="dxa"/>
              <w:bottom w:w="70" w:type="dxa"/>
              <w:left w:w="70" w:type="dxa"/>
              <w:right w:w="70" w:type="dxa"/>
            </w:tcMar>
          </w:tcPr>
          <w:p>
            <w:pPr>
              <w:keepNext/>
              <w:spacing w:line="360" w:lineRule="auto" w:before="0" w:after="0"/>
              <w:ind w:firstLine="0"/>
            </w:pPr>
            <w:r>
              <w:rPr>
                <w:rFonts w:ascii="宋体" w:hAnsi="宋体" w:eastAsia="宋体"/>
                <w:b/>
                <w:sz w:val="24"/>
              </w:rPr>
              <w:t>本作品使用与新增范围</w:t>
            </w:r>
          </w:p>
        </w:tc>
      </w:tr>
      <w:tr>
        <w:trPr>
          <w:cantSplit/>
        </w:trPr>
        <w:tc>
          <w:tcPr>
            <w:tcW w:type="dxa" w:w="151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LDP估计</w:t>
            </w:r>
          </w:p>
        </w:tc>
        <w:tc>
          <w:tcPr>
            <w:tcW w:type="dxa" w:w="2880"/>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OLH等[1–3]；用户级随机报告</w:t>
            </w:r>
          </w:p>
        </w:tc>
        <w:tc>
          <w:tcPr>
            <w:tcW w:type="dxa" w:w="4464"/>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沿用OLH结构；将稀疏摘要接入带来源、窗口和预算登记的交换流程。</w:t>
            </w:r>
          </w:p>
        </w:tc>
      </w:tr>
      <w:tr>
        <w:trPr>
          <w:cantSplit/>
        </w:trPr>
        <w:tc>
          <w:tcPr>
            <w:tcW w:type="dxa" w:w="151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报告投毒检测</w:t>
            </w:r>
          </w:p>
        </w:tc>
        <w:tc>
          <w:tcPr>
            <w:tcW w:type="dxa" w:w="2880"/>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MGA与频繁项集思路[4]；Diffstats、ASD、RSN[5]</w:t>
            </w:r>
          </w:p>
        </w:tc>
        <w:tc>
          <w:tcPr>
            <w:tcW w:type="dxa" w:w="4464"/>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参考威胁及统计检测思想；实现本地联合支持启发式，不声称复现上述检测器。</w:t>
            </w:r>
          </w:p>
        </w:tc>
      </w:tr>
      <w:tr>
        <w:trPr>
          <w:cantSplit/>
        </w:trPr>
        <w:tc>
          <w:tcPr>
            <w:tcW w:type="dxa" w:w="151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鲁棒聚合</w:t>
            </w:r>
          </w:p>
        </w:tc>
        <w:tc>
          <w:tcPr>
            <w:tcW w:type="dxa" w:w="2880"/>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坐标截尾与Krum[6,7]；完整梯度向量</w:t>
            </w:r>
          </w:p>
        </w:tc>
        <w:tc>
          <w:tcPr>
            <w:tcW w:type="dxa" w:w="4464"/>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对照采用缺失补零的截尾适配；本作品组合原始支持、留一截尾和权重封顶。</w:t>
            </w:r>
          </w:p>
        </w:tc>
      </w:tr>
      <w:tr>
        <w:trPr>
          <w:cantSplit/>
        </w:trPr>
        <w:tc>
          <w:tcPr>
            <w:tcW w:type="dxa" w:w="151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审计与协议</w:t>
            </w:r>
          </w:p>
        </w:tc>
        <w:tc>
          <w:tcPr>
            <w:tcW w:type="dxa" w:w="2880"/>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隐私组合[8]、ProVerif[9]、透明日志[10]</w:t>
            </w:r>
          </w:p>
        </w:tc>
        <w:tc>
          <w:tcPr>
            <w:tcW w:type="dxa" w:w="4464"/>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约束签名登记与实际使用；内存哈希链不等同分布式透明日志。</w:t>
            </w:r>
          </w:p>
        </w:tc>
      </w:tr>
    </w:tbl>
    <w:p>
      <w:pPr>
        <w:pStyle w:val="PEHeading2"/>
        <w:keepNext/>
        <w:keepLines/>
        <w:pageBreakBefore w:val="0"/>
        <w:spacing w:line="360" w:lineRule="auto" w:after="160" w:before="240"/>
        <w:ind w:firstLine="0"/>
        <w:jc w:val="left"/>
      </w:pPr>
      <w:bookmarkStart w:id="1009" w:name="RR_010"/>
      <w:r>
        <w:rPr>
          <w:rFonts w:ascii="宋体" w:hAnsi="宋体" w:eastAsia="宋体"/>
          <w:b/>
          <w:sz w:val="28"/>
        </w:rPr>
        <w:t>1.3 作品贡献</w:t>
      </w:r>
      <w:bookmarkEnd w:id="1009"/>
    </w:p>
    <w:p>
      <w:pPr>
        <w:keepNext w:val="0"/>
        <w:spacing w:line="360" w:lineRule="auto" w:after="120" w:before="0"/>
        <w:ind w:firstLine="480"/>
      </w:pPr>
      <w:r>
        <w:rPr>
          <w:rFonts w:ascii="宋体" w:hAnsi="宋体" w:eastAsia="宋体"/>
          <w:b w:val="0"/>
          <w:sz w:val="24"/>
        </w:rPr>
        <w:t>第一，按可见信息分层设置抗投毒防线。发布端针对扰动报告的异常共同支持进行筛查；网关针对合法签名下的摘要作恶限制跨源影响，两者覆盖不同攻击入口。</w:t>
      </w:r>
    </w:p>
    <w:p>
      <w:pPr>
        <w:keepNext w:val="0"/>
        <w:spacing w:line="360" w:lineRule="auto" w:after="120" w:before="0"/>
        <w:ind w:firstLine="480"/>
      </w:pPr>
      <w:r>
        <w:rPr>
          <w:rFonts w:ascii="宋体" w:hAnsi="宋体" w:eastAsia="宋体"/>
          <w:b w:val="0"/>
          <w:sz w:val="24"/>
        </w:rPr>
        <w:t>第二，同时约束候选支持与数值影响。当恶意来源数f&lt;t时，原始Top-m支持门槛排除从未被诚实来源发布的新增项；留一截尾和权重封顶约束极端频率与谎报方差。给出各自的条件性保证，并用四方法对照保留代价和失效场景。</w:t>
      </w:r>
    </w:p>
    <w:p>
      <w:pPr>
        <w:keepNext w:val="0"/>
        <w:spacing w:line="360" w:lineRule="auto" w:after="120" w:before="0"/>
        <w:ind w:firstLine="480"/>
      </w:pPr>
      <w:r>
        <w:rPr>
          <w:rFonts w:ascii="宋体" w:hAnsi="宋体" w:eastAsia="宋体"/>
          <w:b w:val="0"/>
          <w:sz w:val="24"/>
        </w:rPr>
        <w:t>第三，将签名登记与使用内容绑定，并输出可解释失败。注册角色、签名窗口、预算与账本摘要共同参与准入；链损坏进入拒答，单份摘要拒收保留原因。符号模型、程序检查和页面证据分别支撑协议逻辑与实现行为。</w:t>
      </w:r>
    </w:p>
    <w:p>
      <w:pPr>
        <w:keepNext w:val="0"/>
        <w:spacing w:line="360" w:lineRule="auto" w:after="120" w:before="0"/>
        <w:ind w:firstLine="480"/>
      </w:pPr>
      <w:r>
        <w:rPr>
          <w:rFonts w:ascii="宋体" w:hAnsi="宋体" w:eastAsia="宋体"/>
          <w:b w:val="0"/>
          <w:sz w:val="24"/>
        </w:rPr>
        <w:t>三项贡献的具体机制在第二章展开，统计和系统证据在第三章报告，第四章归纳与已有能力的差异及适用范围。</w:t>
      </w:r>
    </w:p>
    <w:p>
      <w:pPr>
        <w:pStyle w:val="PEHeading2"/>
        <w:keepNext/>
        <w:keepLines/>
        <w:pageBreakBefore w:val="0"/>
        <w:spacing w:line="360" w:lineRule="auto" w:after="160" w:before="240"/>
        <w:ind w:firstLine="0"/>
        <w:jc w:val="left"/>
      </w:pPr>
      <w:bookmarkStart w:id="1010" w:name="RR_011"/>
      <w:r>
        <w:rPr>
          <w:rFonts w:ascii="宋体" w:hAnsi="宋体" w:eastAsia="宋体"/>
          <w:b/>
          <w:sz w:val="28"/>
        </w:rPr>
        <w:t>1.4 应用场景</w:t>
      </w:r>
      <w:bookmarkEnd w:id="1010"/>
    </w:p>
    <w:p>
      <w:pPr>
        <w:keepNext w:val="0"/>
        <w:spacing w:line="360" w:lineRule="auto" w:after="120" w:before="0"/>
        <w:ind w:firstLine="480"/>
      </w:pPr>
      <w:r>
        <w:rPr>
          <w:rFonts w:ascii="宋体" w:hAnsi="宋体" w:eastAsia="宋体"/>
          <w:b w:val="0"/>
          <w:sz w:val="24"/>
        </w:rPr>
        <w:t>以新区域品类推断为例，已有区域分别发布经过LDP扰动的品类摘要，新区域网关在不接收个人原始类别的前提下形成Top-10建议。离线评价使用目标区域真实分布衡量排序质量，目标真值不输入预测。此例可说明摘要交换的可行性；选品收益、库存和地域迁移效果尚需真实业务试验。</w:t>
      </w:r>
    </w:p>
    <w:p>
      <w:pPr>
        <w:pStyle w:val="2"/>
        <w:keepNext/>
        <w:keepLines/>
        <w:pageBreakBefore/>
        <w:spacing w:line="360" w:lineRule="auto" w:after="160" w:before="0"/>
        <w:ind w:firstLine="0"/>
        <w:jc w:val="center"/>
      </w:pPr>
      <w:bookmarkStart w:id="1011" w:name="RR_012"/>
      <w:r>
        <w:rPr>
          <w:rFonts w:ascii="宋体" w:hAnsi="宋体" w:eastAsia="宋体"/>
          <w:b/>
          <w:sz w:val="32"/>
        </w:rPr>
        <w:t>第二章 作品设计与实现</w:t>
      </w:r>
      <w:bookmarkEnd w:id="1011"/>
    </w:p>
    <w:p>
      <w:pPr>
        <w:pStyle w:val="PEHeading2"/>
        <w:keepNext/>
        <w:keepLines/>
        <w:pageBreakBefore w:val="0"/>
        <w:spacing w:line="360" w:lineRule="auto" w:after="160" w:before="240"/>
        <w:ind w:firstLine="0"/>
        <w:jc w:val="left"/>
      </w:pPr>
      <w:bookmarkStart w:id="1012" w:name="RR_013"/>
      <w:r>
        <w:rPr>
          <w:rFonts w:ascii="宋体" w:hAnsi="宋体" w:eastAsia="宋体"/>
          <w:b/>
          <w:sz w:val="28"/>
        </w:rPr>
        <w:t>2.1 问题模型</w:t>
      </w:r>
      <w:bookmarkEnd w:id="1012"/>
    </w:p>
    <w:p>
      <w:pPr>
        <w:widowControl/>
        <w:spacing w:line="360" w:lineRule="auto"/>
      </w:pPr>
      <w:r>
        <w:rPr>
          <w:rFonts w:ascii="宋体" w:hAnsi="宋体" w:eastAsia="宋体" w:cs="宋体"/>
          <w:sz w:val="24"/>
          <w:szCs w:val="24"/>
        </w:rPr>
        <w:t>设已运营区域构成数据源集合S，每个源在窗口W内收集用户扰动报告。用户贡献一个类别值，采用OLH生成哈希种子与桶值。区域发布者进行频率估计与报告过滤，发布Top-m条目，每条包含类别编号、频率与方差；目标网关不接收逐用户原始报告。</w:t>
      </w:r>
    </w:p>
    <w:p>
      <w:pPr>
        <w:widowControl/>
        <w:spacing w:line="360" w:lineRule="auto"/>
      </w:pPr>
      <w:r>
        <w:rPr>
          <w:rFonts w:ascii="宋体" w:hAnsi="宋体" w:eastAsia="宋体" w:cs="宋体"/>
          <w:sz w:val="24"/>
          <w:szCs w:val="24"/>
        </w:rPr>
        <w:t>目标区域T在推理时只使用其他源提交的摘要，输出Top-k类别、支持源数量、三态和原因码。离线实验可以读取T的真实分布用于打分，但该分布没有作为admit、decide或predict的输入。演示引擎在同一进程中读取标准表并模拟各角色，目标真值与预测结果的对照单独放在evaluation字段，不宣称已部署真实终端采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6463"/>
      </w:tblGrid>
      <w:tr>
        <w:trPr>
          <w:cantSplit/>
          <w:tblHeader/>
        </w:trPr>
        <w:tc>
          <w:tcPr>
            <w:tcW w:type="dxa" w:w="2268"/>
            <w:vAlign w:val="center"/>
            <w:tcMar>
              <w:top w:w="70" w:type="dxa"/>
              <w:bottom w:w="70" w:type="dxa"/>
              <w:left w:w="70" w:type="dxa"/>
              <w:right w:w="70" w:type="dxa"/>
            </w:tcMar>
            <w:shd w:fill="E7E6E6"/>
          </w:tcPr>
          <w:p>
            <w:pPr>
              <w:keepNext/>
              <w:keepLines w:val="0"/>
              <w:widowControl/>
              <w:spacing w:after="0" w:line="360" w:lineRule="auto" w:before="0"/>
              <w:ind w:firstLine="0"/>
              <w:jc w:val="left"/>
            </w:pPr>
            <w:r>
              <w:rPr>
                <w:rFonts w:ascii="宋体" w:hAnsi="宋体" w:eastAsia="宋体"/>
                <w:b/>
                <w:color w:val="000000"/>
                <w:sz w:val="24"/>
              </w:rPr>
              <w:t>对象或符号</w:t>
            </w:r>
          </w:p>
        </w:tc>
        <w:tc>
          <w:tcPr>
            <w:tcW w:type="dxa" w:w="6463"/>
            <w:vAlign w:val="center"/>
            <w:tcMar>
              <w:top w:w="70" w:type="dxa"/>
              <w:bottom w:w="70" w:type="dxa"/>
              <w:left w:w="70" w:type="dxa"/>
              <w:right w:w="70" w:type="dxa"/>
            </w:tcMar>
            <w:shd w:fill="E7E6E6"/>
          </w:tcPr>
          <w:p>
            <w:pPr>
              <w:keepNext/>
              <w:keepLines w:val="0"/>
              <w:widowControl/>
              <w:spacing w:after="0" w:line="360" w:lineRule="auto" w:before="0"/>
              <w:ind w:firstLine="0"/>
              <w:jc w:val="left"/>
            </w:pPr>
            <w:r>
              <w:rPr>
                <w:rFonts w:ascii="宋体" w:hAnsi="宋体" w:eastAsia="宋体"/>
                <w:b/>
                <w:color w:val="000000"/>
                <w:sz w:val="24"/>
              </w:rPr>
              <w:t>含义与实现对应</w:t>
            </w:r>
          </w:p>
        </w:tc>
      </w:tr>
      <w:tr>
        <w:trPr>
          <w:cantSplit/>
        </w:trPr>
        <w:tc>
          <w:tcPr>
            <w:tcW w:type="dxa" w:w="2268"/>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源与目标</w:t>
            </w:r>
          </w:p>
        </w:tc>
        <w:tc>
          <w:tcPr>
            <w:tcW w:type="dxa" w:w="6463"/>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源为非目标区域；演示引擎按target剔除该区域后构造sources。</w:t>
            </w:r>
          </w:p>
        </w:tc>
      </w:tr>
      <w:tr>
        <w:trPr>
          <w:cantSplit/>
        </w:trPr>
        <w:tc>
          <w:tcPr>
            <w:tcW w:type="dxa" w:w="2268"/>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类别域D</w:t>
            </w:r>
          </w:p>
        </w:tc>
        <w:tc>
          <w:tcPr>
            <w:tcW w:type="dxa" w:w="6463"/>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类别编号及其版本生成domain_hash；网关要求域一致。</w:t>
            </w:r>
          </w:p>
        </w:tc>
      </w:tr>
      <w:tr>
        <w:trPr>
          <w:cantSplit/>
        </w:trPr>
        <w:tc>
          <w:tcPr>
            <w:tcW w:type="dxa" w:w="2268"/>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窗口W</w:t>
            </w:r>
          </w:p>
        </w:tc>
        <w:tc>
          <w:tcPr>
            <w:tcW w:type="dxa" w:w="6463"/>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签名正文内的window_id；网关检查allowed_windows。演示窗口为进程内编号。</w:t>
            </w:r>
          </w:p>
        </w:tc>
      </w:tr>
      <w:tr>
        <w:trPr>
          <w:cantSplit/>
        </w:trPr>
        <w:tc>
          <w:tcPr>
            <w:tcW w:type="dxa" w:w="2268"/>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ε与用户数</w:t>
            </w:r>
          </w:p>
        </w:tc>
        <w:tc>
          <w:tcPr>
            <w:tcW w:type="dxa" w:w="6463"/>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扰动预算与摘要中的n_users；账本和网关检查合法性与策略边界。</w:t>
            </w:r>
          </w:p>
        </w:tc>
      </w:tr>
      <w:tr>
        <w:trPr>
          <w:cantSplit/>
        </w:trPr>
        <w:tc>
          <w:tcPr>
            <w:tcW w:type="dxa" w:w="2268"/>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Top-m与Top-k</w:t>
            </w:r>
          </w:p>
        </w:tc>
        <w:tc>
          <w:tcPr>
            <w:tcW w:type="dxa" w:w="6463"/>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m控制摘要截断，k控制输出；控制台默认m=40，已登记主实验使用m=20。</w:t>
            </w:r>
          </w:p>
        </w:tc>
      </w:tr>
      <w:tr>
        <w:trPr>
          <w:cantSplit/>
        </w:trPr>
        <w:tc>
          <w:tcPr>
            <w:tcW w:type="dxa" w:w="2268"/>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目标真值</w:t>
            </w:r>
          </w:p>
        </w:tc>
        <w:tc>
          <w:tcPr>
            <w:tcW w:type="dxa" w:w="6463"/>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仅用于离线评价及展示标注，不能用于调参、选源、映射或推理。</w:t>
            </w:r>
          </w:p>
        </w:tc>
      </w:tr>
    </w:tbl>
    <w:p>
      <w:pPr>
        <w:pStyle w:val="PEHeading2"/>
        <w:keepNext/>
        <w:keepLines/>
        <w:pageBreakBefore w:val="0"/>
        <w:spacing w:line="360" w:lineRule="auto" w:after="160" w:before="240"/>
        <w:ind w:firstLine="0"/>
        <w:jc w:val="left"/>
      </w:pPr>
      <w:bookmarkStart w:id="1013" w:name="RR_014"/>
      <w:r>
        <w:rPr>
          <w:rFonts w:ascii="宋体" w:hAnsi="宋体" w:eastAsia="宋体"/>
          <w:b/>
          <w:sz w:val="28"/>
        </w:rPr>
        <w:t>2.2 安全模型</w:t>
      </w:r>
      <w:bookmarkEnd w:id="1013"/>
    </w:p>
    <w:p>
      <w:pPr>
        <w:keepNext w:val="0"/>
        <w:spacing w:line="360" w:lineRule="auto" w:after="120" w:before="0"/>
        <w:ind w:firstLine="480"/>
      </w:pPr>
      <w:r>
        <w:rPr>
          <w:rFonts w:ascii="宋体" w:hAnsi="宋体" w:eastAsia="宋体"/>
          <w:b w:val="0"/>
          <w:sz w:val="24"/>
        </w:rPr>
        <w:t>系统区分伪造用户、被攻破发布者和网络消息攻击者，并明确注册表、账本及宿主的信任假设。签名认证和统计防御分别应对不同能力，不能互相替代。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515"/>
        <w:gridCol w:w="3515"/>
      </w:tblGrid>
      <w:tr>
        <w:trPr>
          <w:cantSplit/>
          <w:tblHeader/>
        </w:trPr>
        <w:tc>
          <w:tcPr>
            <w:tcW w:type="dxa" w:w="1701"/>
            <w:vAlign w:val="center"/>
            <w:tcMar>
              <w:top w:w="70" w:type="dxa"/>
              <w:bottom w:w="70" w:type="dxa"/>
              <w:left w:w="70" w:type="dxa"/>
              <w:right w:w="70" w:type="dxa"/>
            </w:tcMar>
            <w:shd w:fill="E7E6E6"/>
          </w:tcPr>
          <w:p>
            <w:pPr>
              <w:keepNext/>
              <w:keepLines w:val="0"/>
              <w:widowControl/>
              <w:spacing w:after="0" w:line="360" w:lineRule="auto" w:before="0"/>
              <w:ind w:firstLine="0"/>
              <w:jc w:val="left"/>
            </w:pPr>
            <w:r>
              <w:rPr>
                <w:rFonts w:ascii="宋体" w:hAnsi="宋体" w:eastAsia="宋体"/>
                <w:b/>
                <w:color w:val="000000"/>
                <w:sz w:val="24"/>
              </w:rPr>
              <w:t>角色</w:t>
            </w:r>
          </w:p>
        </w:tc>
        <w:tc>
          <w:tcPr>
            <w:tcW w:type="dxa" w:w="3515"/>
            <w:vAlign w:val="center"/>
            <w:tcMar>
              <w:top w:w="70" w:type="dxa"/>
              <w:bottom w:w="70" w:type="dxa"/>
              <w:left w:w="70" w:type="dxa"/>
              <w:right w:w="70" w:type="dxa"/>
            </w:tcMar>
            <w:shd w:fill="E7E6E6"/>
          </w:tcPr>
          <w:p>
            <w:pPr>
              <w:keepNext/>
              <w:keepLines w:val="0"/>
              <w:widowControl/>
              <w:spacing w:after="0" w:line="360" w:lineRule="auto" w:before="0"/>
              <w:ind w:firstLine="0"/>
              <w:jc w:val="left"/>
            </w:pPr>
            <w:r>
              <w:rPr>
                <w:rFonts w:ascii="宋体" w:hAnsi="宋体" w:eastAsia="宋体"/>
                <w:b/>
                <w:color w:val="000000"/>
                <w:sz w:val="24"/>
              </w:rPr>
              <w:t>能力与目标</w:t>
            </w:r>
          </w:p>
        </w:tc>
        <w:tc>
          <w:tcPr>
            <w:tcW w:type="dxa" w:w="3515"/>
            <w:vAlign w:val="center"/>
            <w:tcMar>
              <w:top w:w="70" w:type="dxa"/>
              <w:bottom w:w="70" w:type="dxa"/>
              <w:left w:w="70" w:type="dxa"/>
              <w:right w:w="70" w:type="dxa"/>
            </w:tcMar>
            <w:shd w:fill="E7E6E6"/>
          </w:tcPr>
          <w:p>
            <w:pPr>
              <w:keepNext/>
              <w:keepLines w:val="0"/>
              <w:widowControl/>
              <w:spacing w:after="0" w:line="360" w:lineRule="auto" w:before="0"/>
              <w:ind w:firstLine="0"/>
              <w:jc w:val="left"/>
            </w:pPr>
            <w:r>
              <w:rPr>
                <w:rFonts w:ascii="宋体" w:hAnsi="宋体" w:eastAsia="宋体"/>
                <w:b/>
                <w:color w:val="000000"/>
                <w:sz w:val="24"/>
              </w:rPr>
              <w:t>信任边界</w:t>
            </w:r>
          </w:p>
        </w:tc>
      </w:tr>
      <w:tr>
        <w:trPr>
          <w:cantSplit/>
        </w:trPr>
        <w:tc>
          <w:tcPr>
            <w:tcW w:type="dxa" w:w="1701"/>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伪造用户</w:t>
            </w:r>
          </w:p>
        </w:tc>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构造OLH输出域内的报告，推动攻击目标类别。</w:t>
            </w:r>
          </w:p>
        </w:tc>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发布端按报告统计检测；验证不覆盖任意未知攻击。</w:t>
            </w:r>
          </w:p>
        </w:tc>
      </w:tr>
      <w:tr>
        <w:trPr>
          <w:cantSplit/>
        </w:trPr>
        <w:tc>
          <w:tcPr>
            <w:tcW w:type="dxa" w:w="1701"/>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被攻破发布者</w:t>
            </w:r>
          </w:p>
        </w:tc>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持合法密钥，伪造频率/方差、隐藏热门或提交多份摘要。</w:t>
            </w:r>
          </w:p>
        </w:tc>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签名不能识别数值是否诚实；由摘要级防御约束。</w:t>
            </w:r>
          </w:p>
        </w:tc>
      </w:tr>
      <w:tr>
        <w:trPr>
          <w:cantSplit/>
        </w:trPr>
        <w:tc>
          <w:tcPr>
            <w:tcW w:type="dxa" w:w="1701"/>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网络攻击者或第三方</w:t>
            </w:r>
          </w:p>
        </w:tc>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篡改、旧窗口重放、未注册密钥冒充、冒名登记。</w:t>
            </w:r>
          </w:p>
        </w:tc>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验签、窗口与主体角色绑定、账本核对提供检查。</w:t>
            </w:r>
          </w:p>
        </w:tc>
      </w:tr>
      <w:tr>
        <w:trPr>
          <w:cantSplit/>
        </w:trPr>
        <w:tc>
          <w:tcPr>
            <w:tcW w:type="dxa" w:w="1701"/>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汇聚方与网关</w:t>
            </w:r>
          </w:p>
        </w:tc>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按协议处理，可能尝试推断个体信息。</w:t>
            </w:r>
          </w:p>
        </w:tc>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LDP保护依赖扰动与参与假设；不保证群体推断安全。</w:t>
            </w:r>
          </w:p>
        </w:tc>
      </w:tr>
      <w:tr>
        <w:trPr>
          <w:cantSplit/>
        </w:trPr>
        <w:tc>
          <w:tcPr>
            <w:tcW w:type="dxa" w:w="1701"/>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注册表与账本服务</w:t>
            </w:r>
          </w:p>
        </w:tc>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提供主体角色公钥与登记记录。</w:t>
            </w:r>
          </w:p>
        </w:tc>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在模型中视为诚实，密钥泄露例外见形式化性质。</w:t>
            </w:r>
          </w:p>
        </w:tc>
      </w:tr>
      <w:tr>
        <w:trPr>
          <w:cantSplit/>
        </w:trPr>
        <w:tc>
          <w:tcPr>
            <w:tcW w:type="dxa" w:w="1701"/>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演示宿主环境</w:t>
            </w:r>
          </w:p>
        </w:tc>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能访问本地标准表和内存状态。</w:t>
            </w:r>
          </w:p>
        </w:tc>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同进程模拟不构成针对宿主被攻破的隔离保证。</w:t>
            </w:r>
          </w:p>
        </w:tc>
      </w:tr>
    </w:tbl>
    <w:p>
      <w:pPr>
        <w:widowControl/>
        <w:spacing w:line="360" w:lineRule="auto"/>
      </w:pPr>
      <w:r>
        <w:rPr>
          <w:rFonts w:ascii="宋体" w:hAnsi="宋体" w:eastAsia="宋体" w:cs="宋体"/>
          <w:sz w:val="24"/>
          <w:szCs w:val="24"/>
        </w:rPr>
        <w:t>协议验签仅证明消息与注册密钥的绑定。统计防御的保证还取决于诚实源数量、支持阈值、权重与异质性等条件；支持规则不能保证已有类别的名次不被改变。用户参与隐私、群体推断以及宿主完全被攻破不在当前验证范围。</w:t>
      </w:r>
    </w:p>
    <w:p>
      <w:pPr>
        <w:pStyle w:val="PEHeading2"/>
        <w:keepNext/>
        <w:keepLines/>
        <w:pageBreakBefore w:val="0"/>
        <w:spacing w:line="360" w:lineRule="auto" w:after="160" w:before="240"/>
        <w:ind w:firstLine="0"/>
        <w:jc w:val="left"/>
      </w:pPr>
      <w:bookmarkStart w:id="1014" w:name="RR_015"/>
      <w:r>
        <w:rPr>
          <w:rFonts w:ascii="宋体" w:hAnsi="宋体" w:eastAsia="宋体"/>
          <w:b/>
          <w:sz w:val="28"/>
        </w:rPr>
        <w:t>2.3 设计目标</w:t>
      </w:r>
      <w:bookmarkEnd w:id="1014"/>
    </w:p>
    <w:p>
      <w:pPr>
        <w:keepNext w:val="0"/>
        <w:spacing w:line="360" w:lineRule="auto" w:after="120" w:before="0"/>
        <w:ind w:firstLine="480"/>
      </w:pPr>
      <w:r>
        <w:rPr>
          <w:rFonts w:ascii="宋体" w:hAnsi="宋体" w:eastAsia="宋体"/>
          <w:b w:val="0"/>
          <w:sz w:val="24"/>
        </w:rPr>
        <w:t>设计目标不是在所有数据上提高无攻击精度，而是在保留可用统计效用的同时，对不同攻击入口建立可检查的防线。下表给出从威胁到证据的对应关系，后文沿同一路径说明实现。</w:t>
      </w:r>
    </w:p>
    <w:p>
      <w:pPr>
        <w:keepNext/>
        <w:spacing w:line="360" w:lineRule="auto" w:after="120" w:before="0"/>
        <w:ind w:firstLine="0"/>
        <w:jc w:val="center"/>
      </w:pPr>
      <w:r>
        <w:rPr>
          <w:rFonts w:ascii="宋体" w:hAnsi="宋体" w:eastAsia="宋体"/>
          <w:b w:val="0"/>
          <w:sz w:val="24"/>
        </w:rPr>
        <w:t>表2-1 威胁 可见信息 防线与验证位置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232"/>
        <w:gridCol w:w="2880"/>
        <w:gridCol w:w="1872"/>
      </w:tblGrid>
      <w:tr>
        <w:trPr>
          <w:cantSplit/>
          <w:tblHeader/>
        </w:trPr>
        <w:tc>
          <w:tcPr>
            <w:tcW w:type="dxa" w:w="1872"/>
            <w:vAlign w:val="center"/>
            <w:shd w:fill="E7E6E6"/>
            <w:tcMar>
              <w:top w:w="70" w:type="dxa"/>
              <w:bottom w:w="70" w:type="dxa"/>
              <w:left w:w="70" w:type="dxa"/>
              <w:right w:w="70" w:type="dxa"/>
            </w:tcMar>
          </w:tcPr>
          <w:p>
            <w:pPr>
              <w:keepNext/>
              <w:spacing w:line="360" w:lineRule="auto" w:before="0" w:after="0"/>
              <w:ind w:firstLine="0"/>
            </w:pPr>
            <w:r>
              <w:rPr>
                <w:rFonts w:ascii="宋体" w:hAnsi="宋体" w:eastAsia="宋体"/>
                <w:b/>
                <w:sz w:val="24"/>
              </w:rPr>
              <w:t>威胁或条件</w:t>
            </w:r>
          </w:p>
        </w:tc>
        <w:tc>
          <w:tcPr>
            <w:tcW w:type="dxa" w:w="2232"/>
            <w:vAlign w:val="center"/>
            <w:shd w:fill="E7E6E6"/>
            <w:tcMar>
              <w:top w:w="70" w:type="dxa"/>
              <w:bottom w:w="70" w:type="dxa"/>
              <w:left w:w="70" w:type="dxa"/>
              <w:right w:w="70" w:type="dxa"/>
            </w:tcMar>
          </w:tcPr>
          <w:p>
            <w:pPr>
              <w:keepNext/>
              <w:spacing w:line="360" w:lineRule="auto" w:before="0" w:after="0"/>
              <w:ind w:firstLine="0"/>
            </w:pPr>
            <w:r>
              <w:rPr>
                <w:rFonts w:ascii="宋体" w:hAnsi="宋体" w:eastAsia="宋体"/>
                <w:b/>
                <w:sz w:val="24"/>
              </w:rPr>
              <w:t>处理方可见信息</w:t>
            </w:r>
          </w:p>
        </w:tc>
        <w:tc>
          <w:tcPr>
            <w:tcW w:type="dxa" w:w="2880"/>
            <w:vAlign w:val="center"/>
            <w:shd w:fill="E7E6E6"/>
            <w:tcMar>
              <w:top w:w="70" w:type="dxa"/>
              <w:bottom w:w="70" w:type="dxa"/>
              <w:left w:w="70" w:type="dxa"/>
              <w:right w:w="70" w:type="dxa"/>
            </w:tcMar>
          </w:tcPr>
          <w:p>
            <w:pPr>
              <w:keepNext/>
              <w:spacing w:line="360" w:lineRule="auto" w:before="0" w:after="0"/>
              <w:ind w:firstLine="0"/>
            </w:pPr>
            <w:r>
              <w:rPr>
                <w:rFonts w:ascii="宋体" w:hAnsi="宋体" w:eastAsia="宋体"/>
                <w:b/>
                <w:sz w:val="24"/>
              </w:rPr>
              <w:t>处理与输出</w:t>
            </w:r>
          </w:p>
        </w:tc>
        <w:tc>
          <w:tcPr>
            <w:tcW w:type="dxa" w:w="1872"/>
            <w:vAlign w:val="center"/>
            <w:shd w:fill="E7E6E6"/>
            <w:tcMar>
              <w:top w:w="70" w:type="dxa"/>
              <w:bottom w:w="70" w:type="dxa"/>
              <w:left w:w="70" w:type="dxa"/>
              <w:right w:w="70" w:type="dxa"/>
            </w:tcMar>
          </w:tcPr>
          <w:p>
            <w:pPr>
              <w:keepNext/>
              <w:spacing w:line="360" w:lineRule="auto" w:before="0" w:after="0"/>
              <w:ind w:firstLine="0"/>
            </w:pPr>
            <w:r>
              <w:rPr>
                <w:rFonts w:ascii="宋体" w:hAnsi="宋体" w:eastAsia="宋体"/>
                <w:b/>
                <w:sz w:val="24"/>
              </w:rPr>
              <w:t>验证位置</w:t>
            </w:r>
          </w:p>
        </w:tc>
      </w:tr>
      <w:tr>
        <w:trPr>
          <w:cantSplit/>
        </w:trPr>
        <w:tc>
          <w:tcPr>
            <w:tcW w:type="dxa" w:w="187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伪造用户报告</w:t>
            </w:r>
          </w:p>
        </w:tc>
        <w:tc>
          <w:tcPr>
            <w:tcW w:type="dxa" w:w="223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发布端可见OLH报告</w:t>
            </w:r>
          </w:p>
        </w:tc>
        <w:tc>
          <w:tcPr>
            <w:tcW w:type="dxa" w:w="2880"/>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联合支持筛查后重新估计</w:t>
            </w:r>
          </w:p>
        </w:tc>
        <w:tc>
          <w:tcPr>
            <w:tcW w:type="dxa" w:w="187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2.5.2；3.4.2</w:t>
            </w:r>
          </w:p>
        </w:tc>
      </w:tr>
      <w:tr>
        <w:trPr>
          <w:cantSplit/>
        </w:trPr>
        <w:tc>
          <w:tcPr>
            <w:tcW w:type="dxa" w:w="187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合法密钥伪造频率或方差</w:t>
            </w:r>
          </w:p>
        </w:tc>
        <w:tc>
          <w:tcPr>
            <w:tcW w:type="dxa" w:w="223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网关仅见多源Top-m摘要</w:t>
            </w:r>
          </w:p>
        </w:tc>
        <w:tc>
          <w:tcPr>
            <w:tcW w:type="dxa" w:w="2880"/>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支持门槛、留一截尾、封顶权重</w:t>
            </w:r>
          </w:p>
        </w:tc>
        <w:tc>
          <w:tcPr>
            <w:tcW w:type="dxa" w:w="187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2.5.3；2.6.2；3.4.1</w:t>
            </w:r>
          </w:p>
        </w:tc>
      </w:tr>
      <w:tr>
        <w:trPr>
          <w:cantSplit/>
        </w:trPr>
        <w:tc>
          <w:tcPr>
            <w:tcW w:type="dxa" w:w="187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篡改、冒名、旧窗口</w:t>
            </w:r>
          </w:p>
        </w:tc>
        <w:tc>
          <w:tcPr>
            <w:tcW w:type="dxa" w:w="223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签名、角色注册与登记摘要</w:t>
            </w:r>
          </w:p>
        </w:tc>
        <w:tc>
          <w:tcPr>
            <w:tcW w:type="dxa" w:w="2880"/>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拒收不合格摘要并保留原因</w:t>
            </w:r>
          </w:p>
        </w:tc>
        <w:tc>
          <w:tcPr>
            <w:tcW w:type="dxa" w:w="187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2.5.4；3.4.4</w:t>
            </w:r>
          </w:p>
        </w:tc>
      </w:tr>
      <w:tr>
        <w:trPr>
          <w:cantSplit/>
        </w:trPr>
        <w:tc>
          <w:tcPr>
            <w:tcW w:type="dxa" w:w="187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链损坏或可用来源不足</w:t>
            </w:r>
          </w:p>
        </w:tc>
        <w:tc>
          <w:tcPr>
            <w:tcW w:type="dxa" w:w="223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账本链、准入集与候选集</w:t>
            </w:r>
          </w:p>
        </w:tc>
        <w:tc>
          <w:tcPr>
            <w:tcW w:type="dxa" w:w="2880"/>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拒答；不生成伪推荐</w:t>
            </w:r>
          </w:p>
        </w:tc>
        <w:tc>
          <w:tcPr>
            <w:tcW w:type="dxa" w:w="187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2.5.5；3.4.5</w:t>
            </w:r>
          </w:p>
        </w:tc>
      </w:tr>
      <w:tr>
        <w:trPr>
          <w:cantSplit/>
        </w:trPr>
        <w:tc>
          <w:tcPr>
            <w:tcW w:type="dxa" w:w="187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隐私与实际效用</w:t>
            </w:r>
          </w:p>
        </w:tc>
        <w:tc>
          <w:tcPr>
            <w:tcW w:type="dxa" w:w="223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固定参与集合与离线目标真值</w:t>
            </w:r>
          </w:p>
        </w:tc>
        <w:tc>
          <w:tcPr>
            <w:tcW w:type="dxa" w:w="2880"/>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ε-LDP论证；独立评价排序</w:t>
            </w:r>
          </w:p>
        </w:tc>
        <w:tc>
          <w:tcPr>
            <w:tcW w:type="dxa" w:w="187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2.6.1；3.4.3</w:t>
            </w:r>
          </w:p>
        </w:tc>
      </w:tr>
    </w:tbl>
    <w:p>
      <w:pPr>
        <w:pStyle w:val="PEHeading2"/>
        <w:keepNext/>
        <w:keepLines/>
        <w:pageBreakBefore w:val="0"/>
        <w:spacing w:line="360" w:lineRule="auto" w:after="160" w:before="240"/>
        <w:ind w:firstLine="0"/>
        <w:jc w:val="left"/>
      </w:pPr>
      <w:bookmarkStart w:id="1015" w:name="RR_016"/>
      <w:r>
        <w:rPr>
          <w:rFonts w:ascii="宋体" w:hAnsi="宋体" w:eastAsia="宋体"/>
          <w:b/>
          <w:sz w:val="28"/>
        </w:rPr>
        <w:t>2.4 系统总体框架</w:t>
      </w:r>
      <w:bookmarkEnd w:id="1015"/>
    </w:p>
    <w:p>
      <w:pPr>
        <w:keepNext/>
        <w:widowControl/>
        <w:spacing w:line="360" w:lineRule="auto"/>
        <w:jc w:val="center"/>
      </w:pPr>
      <w:r>
        <w:drawing>
          <wp:inline xmlns:a="http://schemas.openxmlformats.org/drawingml/2006/main" xmlns:pic="http://schemas.openxmlformats.org/drawingml/2006/picture">
            <wp:extent cx="5544000" cy="2926000"/>
            <wp:docPr id="1" name="Picture 1"/>
            <wp:cNvGraphicFramePr>
              <a:graphicFrameLocks noChangeAspect="1"/>
            </wp:cNvGraphicFramePr>
            <a:graphic>
              <a:graphicData uri="http://schemas.openxmlformats.org/drawingml/2006/picture">
                <pic:pic>
                  <pic:nvPicPr>
                    <pic:cNvPr id="0" name="fig_architecture_backend_20261013.png"/>
                    <pic:cNvPicPr/>
                  </pic:nvPicPr>
                  <pic:blipFill>
                    <a:blip r:embed="rId17"/>
                    <a:stretch>
                      <a:fillRect/>
                    </a:stretch>
                  </pic:blipFill>
                  <pic:spPr>
                    <a:xfrm>
                      <a:off x="0" y="0"/>
                      <a:ext cx="5544000" cy="2926000"/>
                    </a:xfrm>
                    <a:prstGeom prst="rect"/>
                  </pic:spPr>
                </pic:pic>
              </a:graphicData>
            </a:graphic>
          </wp:inline>
        </w:drawing>
      </w:r>
    </w:p>
    <w:p>
      <w:pPr>
        <w:widowControl/>
        <w:spacing w:line="360" w:lineRule="auto"/>
        <w:jc w:val="center"/>
      </w:pPr>
      <w:r>
        <w:rPr>
          <w:rFonts w:ascii="宋体" w:hAnsi="宋体" w:eastAsia="宋体" w:cs="宋体"/>
          <w:sz w:val="24"/>
          <w:szCs w:val="24"/>
        </w:rPr>
        <w:t>图2-1 多源摘要可信交换与独立离线评估流</w:t>
      </w:r>
    </w:p>
    <w:p>
      <w:pPr>
        <w:widowControl/>
        <w:spacing w:line="360" w:lineRule="auto"/>
      </w:pPr>
      <w:r>
        <w:rPr>
          <w:rFonts w:ascii="宋体" w:hAnsi="宋体" w:eastAsia="宋体" w:cs="宋体"/>
          <w:sz w:val="24"/>
          <w:szCs w:val="24"/>
        </w:rPr>
        <w:t>正常业务流从用户扰动报告开始，经发布端过滤和估计构建摘要，完成签名及登记后进入目标服务。目标服务先校验账本链，再调用网关准入；被接受的摘要交给鲁棒融合与三态决策。输入摘要值、账本链头、准入结果和决策形成带哈希的审计记录。</w:t>
      </w:r>
    </w:p>
    <w:p>
      <w:pPr>
        <w:widowControl/>
        <w:spacing w:line="360" w:lineRule="auto"/>
      </w:pPr>
      <w:r>
        <w:rPr>
          <w:rFonts w:ascii="宋体" w:hAnsi="宋体" w:eastAsia="宋体" w:cs="宋体"/>
          <w:sz w:val="24"/>
          <w:szCs w:val="24"/>
        </w:rPr>
        <w:t>REST与WebSocket调用同一演示引擎。WebSocket输出collect、release、ledger、admit/reject、decision等事件，再输出最终结果或错误。实验中心另外读取已登记运行，不把现场单次演示替代预注册实验。离线评估只接收预测结果与目标真值，评价标签不反向改变预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5896"/>
      </w:tblGrid>
      <w:tr>
        <w:trPr>
          <w:cantSplit/>
          <w:tblHeader/>
        </w:trPr>
        <w:tc>
          <w:tcPr>
            <w:tcW w:type="dxa" w:w="2835"/>
            <w:vAlign w:val="center"/>
            <w:tcMar>
              <w:top w:w="70" w:type="dxa"/>
              <w:bottom w:w="70" w:type="dxa"/>
              <w:left w:w="70" w:type="dxa"/>
              <w:right w:w="70" w:type="dxa"/>
            </w:tcMar>
            <w:shd w:fill="E7E6E6"/>
          </w:tcPr>
          <w:p>
            <w:pPr>
              <w:keepNext/>
              <w:keepLines w:val="0"/>
              <w:widowControl/>
              <w:spacing w:after="0" w:line="360" w:lineRule="auto" w:before="0"/>
              <w:ind w:firstLine="0"/>
              <w:jc w:val="left"/>
            </w:pPr>
            <w:r>
              <w:rPr>
                <w:rFonts w:ascii="宋体" w:hAnsi="宋体" w:eastAsia="宋体"/>
                <w:b/>
                <w:color w:val="000000"/>
                <w:sz w:val="24"/>
              </w:rPr>
              <w:t>模块</w:t>
            </w:r>
          </w:p>
        </w:tc>
        <w:tc>
          <w:tcPr>
            <w:tcW w:type="dxa" w:w="5896"/>
            <w:vAlign w:val="center"/>
            <w:tcMar>
              <w:top w:w="70" w:type="dxa"/>
              <w:bottom w:w="70" w:type="dxa"/>
              <w:left w:w="70" w:type="dxa"/>
              <w:right w:w="70" w:type="dxa"/>
            </w:tcMar>
            <w:shd w:fill="E7E6E6"/>
          </w:tcPr>
          <w:p>
            <w:pPr>
              <w:keepNext/>
              <w:keepLines w:val="0"/>
              <w:widowControl/>
              <w:spacing w:after="0" w:line="360" w:lineRule="auto" w:before="0"/>
              <w:ind w:firstLine="0"/>
              <w:jc w:val="left"/>
            </w:pPr>
            <w:r>
              <w:rPr>
                <w:rFonts w:ascii="宋体" w:hAnsi="宋体" w:eastAsia="宋体"/>
                <w:b/>
                <w:color w:val="000000"/>
                <w:sz w:val="24"/>
              </w:rPr>
              <w:t>实际职责</w:t>
            </w:r>
          </w:p>
        </w:tc>
      </w:tr>
      <w:tr>
        <w:trPr>
          <w:cantSplit/>
        </w:trPr>
        <w:tc>
          <w:tcPr>
            <w:tcW w:type="dxa" w:w="283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ldp / robust / pipeline</w:t>
            </w:r>
          </w:p>
        </w:tc>
        <w:tc>
          <w:tcPr>
            <w:tcW w:type="dxa" w:w="5896"/>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扰动、报告过滤、估计、摘要与角色管线。</w:t>
            </w:r>
          </w:p>
        </w:tc>
      </w:tr>
      <w:tr>
        <w:trPr>
          <w:cantSplit/>
        </w:trPr>
        <w:tc>
          <w:tcPr>
            <w:tcW w:type="dxa" w:w="283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envelope / keys</w:t>
            </w:r>
          </w:p>
        </w:tc>
        <w:tc>
          <w:tcPr>
            <w:tcW w:type="dxa" w:w="5896"/>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规范化正文、Ed25519签名、主体角色密钥注册与验证。</w:t>
            </w:r>
          </w:p>
        </w:tc>
      </w:tr>
      <w:tr>
        <w:trPr>
          <w:cantSplit/>
        </w:trPr>
        <w:tc>
          <w:tcPr>
            <w:tcW w:type="dxa" w:w="283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ledger / gateway</w:t>
            </w:r>
          </w:p>
        </w:tc>
        <w:tc>
          <w:tcPr>
            <w:tcW w:type="dxa" w:w="5896"/>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登记前验签、预算与链检查，摘要合法性和账本绑定准入。</w:t>
            </w:r>
          </w:p>
        </w:tc>
      </w:tr>
      <w:tr>
        <w:trPr>
          <w:cantSplit/>
        </w:trPr>
        <w:tc>
          <w:tcPr>
            <w:tcW w:type="dxa" w:w="283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decision / algorithms</w:t>
            </w:r>
          </w:p>
        </w:tc>
        <w:tc>
          <w:tcPr>
            <w:tcW w:type="dxa" w:w="5896"/>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支持规则、截尾、封顶后的融合与三态。</w:t>
            </w:r>
          </w:p>
        </w:tc>
      </w:tr>
      <w:tr>
        <w:trPr>
          <w:cantSplit/>
        </w:trPr>
        <w:tc>
          <w:tcPr>
            <w:tcW w:type="dxa" w:w="283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server / web</w:t>
            </w:r>
          </w:p>
        </w:tc>
        <w:tc>
          <w:tcPr>
            <w:tcW w:type="dxa" w:w="5896"/>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请求、实时事件、结果展示与演示审计；原型没有登录机制。</w:t>
            </w:r>
          </w:p>
        </w:tc>
      </w:tr>
      <w:tr>
        <w:trPr>
          <w:cantSplit/>
        </w:trPr>
        <w:tc>
          <w:tcPr>
            <w:tcW w:type="dxa" w:w="283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experiments / evidence</w:t>
            </w:r>
          </w:p>
        </w:tc>
        <w:tc>
          <w:tcPr>
            <w:tcW w:type="dxa" w:w="5896"/>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实验运行与登记证据读取；目标真值只在离线评分使用。</w:t>
            </w:r>
          </w:p>
        </w:tc>
      </w:tr>
    </w:tbl>
    <w:p>
      <w:pPr>
        <w:pStyle w:val="PEHeading2"/>
        <w:keepNext/>
        <w:keepLines/>
        <w:pageBreakBefore w:val="0"/>
        <w:spacing w:line="360" w:lineRule="auto" w:after="160" w:before="240"/>
        <w:ind w:firstLine="0"/>
        <w:jc w:val="left"/>
      </w:pPr>
      <w:bookmarkStart w:id="1016" w:name="RR_017"/>
      <w:r>
        <w:rPr>
          <w:rFonts w:ascii="宋体" w:hAnsi="宋体" w:eastAsia="宋体"/>
          <w:b/>
          <w:sz w:val="28"/>
        </w:rPr>
        <w:t>2.5 方案设计思路及原理</w:t>
      </w:r>
      <w:bookmarkEnd w:id="1016"/>
    </w:p>
    <w:p>
      <w:pPr>
        <w:widowControl/>
        <w:spacing w:line="360" w:lineRule="auto"/>
      </w:pPr>
      <w:r>
        <w:rPr>
          <w:rFonts w:ascii="宋体" w:hAnsi="宋体" w:eastAsia="宋体" w:cs="宋体"/>
          <w:sz w:val="24"/>
          <w:szCs w:val="24"/>
        </w:rPr>
        <w:t>作品按用户扰动、发布端筛查与摘要构造、网关准入与融合、结果解释分层实现。算法层只处理其可访问的报告或摘要；签名、预算与三态把这些处理接入交换流程。</w:t>
      </w:r>
    </w:p>
    <w:p>
      <w:pPr>
        <w:pStyle w:val="PEHeading3"/>
        <w:keepNext/>
        <w:keepLines/>
        <w:pageBreakBefore w:val="0"/>
        <w:spacing w:line="360" w:lineRule="auto" w:after="160" w:before="240"/>
        <w:ind w:firstLine="0"/>
        <w:jc w:val="left"/>
      </w:pPr>
      <w:bookmarkStart w:id="1017" w:name="RR_018"/>
      <w:r>
        <w:rPr>
          <w:rFonts w:ascii="宋体" w:hAnsi="宋体" w:eastAsia="宋体"/>
          <w:b/>
          <w:sz w:val="24"/>
        </w:rPr>
        <w:t>2.5.1 LDP摘要发布</w:t>
      </w:r>
      <w:bookmarkEnd w:id="1017"/>
    </w:p>
    <w:p>
      <w:pPr>
        <w:widowControl/>
        <w:spacing w:line="360" w:lineRule="auto" w:before="0" w:after="120"/>
        <w:ind w:firstLine="420"/>
        <w:jc w:val="both"/>
      </w:pPr>
      <w:r>
        <w:rPr>
          <w:rFonts w:ascii="宋体" w:hAnsi="宋体" w:eastAsia="宋体" w:cs="宋体"/>
          <w:b w:val="0"/>
          <w:i w:val="0"/>
          <w:sz w:val="24"/>
          <w:szCs w:val="24"/>
        </w:rPr>
        <w:t xml:space="preserve">设一个发布窗口保留N条OLH报告，每条报告包含随机种子a和桶值y。发布端对类别i检查报告是否支持其哈希桶，所得支持数记为</w:t>
      </w:r>
      <m:oMath>
        <m:sSub>
          <m:e>
            <m:r>
              <m:t>c</m:t>
            </m:r>
          </m:e>
          <m:sub>
            <m:r>
              <m:t>i</m:t>
            </m:r>
          </m:sub>
        </m:sSub>
      </m:oMath>
      <w:r>
        <w:rPr>
          <w:rFonts w:ascii="宋体" w:hAnsi="宋体" w:eastAsia="宋体" w:cs="宋体"/>
          <w:b w:val="0"/>
          <w:i w:val="0"/>
          <w:sz w:val="24"/>
          <w:szCs w:val="24"/>
        </w:rPr>
        <w:t xml:space="preserve">。代码根据ε计算g、p和q，并先生成原始计数估计，再生成频率和方差；这里的N是过滤后的剩余报告数。</w:t>
      </w:r>
    </w:p>
    <w:p>
      <w:pPr>
        <w:widowControl/>
        <w:spacing w:before="60" w:after="120" w:line="360" w:lineRule="auto"/>
        <w:jc w:val="center"/>
      </w:pPr>
      <m:oMathPara>
        <m:oMath>
          <m:sSub>
            <m:sSubPr/>
            <m:e>
              <m:r>
                <m:rPr>
                  <m:sty m:val="i"/>
                </m:rPr>
                <m:t>Ĉ</m:t>
              </m:r>
            </m:e>
            <m:sub>
              <m:r>
                <m:t>i</m:t>
              </m:r>
            </m:sub>
          </m:sSub>
          <m:r>
            <m:t> = </m:t>
          </m:r>
          <m:f>
            <m:fPr/>
            <m:num>
              <m:r>
                <m:t>cᵢ − Nq</m:t>
              </m:r>
            </m:num>
            <m:den>
              <m:r>
                <m:t>p − q</m:t>
              </m:r>
            </m:den>
          </m:f>
          <m:r>
            <m:t>， p=</m:t>
          </m:r>
          <m:f>
            <m:fPr/>
            <m:num>
              <m:sSup>
                <m:sSupPr/>
                <m:e>
                  <m:r>
                    <m:rPr>
                      <m:sty m:val="i"/>
                    </m:rPr>
                    <m:t>e</m:t>
                  </m:r>
                </m:e>
                <m:sup>
                  <m:r>
                    <m:t>ε</m:t>
                  </m:r>
                </m:sup>
              </m:sSup>
            </m:num>
            <m:den>
              <m:sSup>
                <m:sSupPr/>
                <m:e>
                  <m:r>
                    <m:rPr>
                      <m:sty m:val="i"/>
                    </m:rPr>
                    <m:t>e</m:t>
                  </m:r>
                </m:e>
                <m:sup>
                  <m:r>
                    <m:t>ε</m:t>
                  </m:r>
                </m:sup>
              </m:sSup>
              <m:r>
                <m:t>+g−1</m:t>
              </m:r>
            </m:den>
          </m:f>
          <m:r>
            <m:t>， r=</m:t>
          </m:r>
          <m:f>
            <m:fPr/>
            <m:num>
              <m:r>
                <m:t>1</m:t>
              </m:r>
            </m:num>
            <m:den>
              <m:sSup>
                <m:sSupPr/>
                <m:e>
                  <m:r>
                    <m:rPr>
                      <m:sty m:val="i"/>
                    </m:rPr>
                    <m:t>e</m:t>
                  </m:r>
                </m:e>
                <m:sup>
                  <m:r>
                    <m:t>ε</m:t>
                  </m:r>
                </m:sup>
              </m:sSup>
              <m:r>
                <m:t>+g−1</m:t>
              </m:r>
            </m:den>
          </m:f>
          <m:r>
            <m:t>， q=1/g</m:t>
          </m:r>
        </m:oMath>
      </m:oMathPara>
    </w:p>
    <w:p>
      <w:pPr>
        <w:widowControl/>
        <w:spacing w:before="60" w:after="120" w:line="360" w:lineRule="auto"/>
        <w:jc w:val="center"/>
      </w:pPr>
      <m:oMathPara>
        <m:oMath>
          <m:sSub>
            <m:sSubPr/>
            <m:e>
              <m:r>
                <m:rPr>
                  <m:sty m:val="i"/>
                </m:rPr>
                <m:t>f</m:t>
              </m:r>
            </m:e>
            <m:sub>
              <m:r>
                <m:t>i</m:t>
              </m:r>
            </m:sub>
          </m:sSub>
          <m:r>
            <m:t> = max(0, Ĉᵢ)/N</m:t>
          </m:r>
        </m:oMath>
      </m:oMathPara>
    </w:p>
    <w:p>
      <w:pPr>
        <w:widowControl/>
        <w:spacing w:before="60" w:after="120" w:line="360" w:lineRule="auto"/>
        <w:jc w:val="center"/>
      </w:pPr>
      <m:oMathPara>
        <m:oMath>
          <m:r>
            <m:t>Var̂(Ĉᵢ) = max{[C̃ᵢp(1−p)+(N−C̃ᵢ)q(1−q)]/(p−q)², 10⁻¹²}， C̃ᵢ=clip(Ĉᵢ,0,N)</m:t>
          </m:r>
        </m:oMath>
      </m:oMathPara>
    </w:p>
    <w:p>
      <w:pPr>
        <w:widowControl/>
        <w:spacing w:line="360" w:lineRule="auto" w:before="0" w:after="120"/>
        <w:ind w:firstLine="420"/>
        <w:jc w:val="both"/>
      </w:pPr>
      <w:r>
        <w:rPr>
          <w:rFonts w:ascii="宋体" w:hAnsi="宋体" w:eastAsia="宋体" w:cs="宋体"/>
          <w:b w:val="0"/>
          <w:i w:val="0"/>
          <w:sz w:val="24"/>
          <w:szCs w:val="24"/>
        </w:rPr>
        <w:t xml:space="preserve">方差使用插件估计：先把原始计数估计截到[0,N]得到</w:t>
      </w:r>
      <m:oMath>
        <m:sSub>
          <m:e>
            <m:acc>
              <m:accPr>
                <m:chr m:val="̃"/>
              </m:accPr>
              <m:e>
                <m:r>
                  <m:t>C</m:t>
                </m:r>
              </m:e>
            </m:acc>
          </m:e>
          <m:sub>
            <m:r>
              <m:t>i</m:t>
            </m:r>
          </m:sub>
        </m:sSub>
      </m:oMath>
      <w:r>
        <w:rPr>
          <w:rFonts w:ascii="宋体" w:hAnsi="宋体" w:eastAsia="宋体" w:cs="宋体"/>
          <w:b w:val="0"/>
          <w:i w:val="0"/>
          <w:sz w:val="24"/>
          <w:szCs w:val="24"/>
        </w:rPr>
        <w:t xml:space="preserve">，再代入随机响应方差表达式并设置数值下限</w:t>
      </w:r>
      <m:oMath>
        <m:sSup>
          <m:e>
            <m:r>
              <m:t>10</m:t>
            </m:r>
          </m:e>
          <m:sup>
            <m:r>
              <m:t>−12</m:t>
            </m:r>
          </m:sup>
        </m:sSup>
      </m:oMath>
      <w:r>
        <w:rPr>
          <w:rFonts w:ascii="宋体" w:hAnsi="宋体" w:eastAsia="宋体" w:cs="宋体"/>
          <w:b w:val="0"/>
          <w:i w:val="0"/>
          <w:sz w:val="24"/>
          <w:szCs w:val="24"/>
        </w:rPr>
        <w:t xml:space="preserve">；发布频率方差为该计数方差除以N²。它是未选择类别时的条件插件量，不是经过Top-m选择和联合筛查后的精确置信区间。实际发布只保留按原始计数排序的Top-m项，频率做非负截断但不再额外上限到1。</w:t>
      </w:r>
    </w:p>
    <w:p>
      <w:pPr>
        <w:widowControl/>
        <w:spacing w:line="360" w:lineRule="auto" w:before="80" w:after="60"/>
        <w:ind w:firstLine="0"/>
        <w:jc w:val="both"/>
      </w:pPr>
      <w:r>
        <w:rPr>
          <w:rFonts w:ascii="宋体" w:hAnsi="宋体" w:eastAsia="宋体" w:cs="宋体"/>
          <w:b/>
          <w:i w:val="0"/>
          <w:sz w:val="24"/>
          <w:szCs w:val="24"/>
        </w:rPr>
        <w:t>LDP摘要发布</w:t>
      </w:r>
    </w:p>
    <w:p>
      <w:pPr>
        <w:widowControl/>
        <w:spacing w:line="360" w:lineRule="auto" w:before="0" w:after="40"/>
        <w:ind w:left="420" w:firstLine="0"/>
        <w:jc w:val="both"/>
      </w:pPr>
      <w:r>
        <w:rPr>
          <w:rFonts w:ascii="宋体" w:hAnsi="宋体" w:eastAsia="宋体" w:cs="宋体"/>
          <w:b w:val="0"/>
          <w:i w:val="0"/>
          <w:sz w:val="24"/>
          <w:szCs w:val="24"/>
        </w:rPr>
        <w:t>输入：用户类别、ε、独立随机数、类别域哈希、Top-m和窗口元数据。</w:t>
      </w:r>
    </w:p>
    <w:p>
      <w:pPr>
        <w:widowControl/>
        <w:spacing w:line="360" w:lineRule="auto" w:before="0" w:after="40"/>
        <w:ind w:left="420" w:firstLine="0"/>
        <w:jc w:val="both"/>
      </w:pPr>
      <w:r>
        <w:rPr>
          <w:rFonts w:ascii="宋体" w:hAnsi="宋体" w:eastAsia="宋体" w:cs="宋体"/>
          <w:b w:val="0"/>
          <w:i w:val="0"/>
          <w:sz w:val="24"/>
          <w:szCs w:val="24"/>
        </w:rPr>
        <w:t>1. 在设备端为每个用户类别抽取OLH种子并生成桶值；设备端不上传原始类别。</w:t>
      </w:r>
    </w:p>
    <w:p>
      <w:pPr>
        <w:widowControl/>
        <w:spacing w:line="360" w:lineRule="auto" w:before="0" w:after="40"/>
        <w:ind w:left="420" w:firstLine="0"/>
        <w:jc w:val="both"/>
      </w:pPr>
      <w:r>
        <w:rPr>
          <w:rFonts w:ascii="宋体" w:hAnsi="宋体" w:eastAsia="宋体" w:cs="宋体"/>
          <w:b w:val="0"/>
          <w:i w:val="0"/>
          <w:sz w:val="24"/>
          <w:szCs w:val="24"/>
        </w:rPr>
        <w:t>2. 发布端按候选类别计算支持数，得到原始计数、非负频率和插件方差。</w:t>
      </w:r>
    </w:p>
    <w:p>
      <w:pPr>
        <w:widowControl/>
        <w:spacing w:line="360" w:lineRule="auto" w:before="0" w:after="40"/>
        <w:ind w:left="420" w:firstLine="0"/>
        <w:jc w:val="both"/>
      </w:pPr>
      <w:r>
        <w:rPr>
          <w:rFonts w:ascii="宋体" w:hAnsi="宋体" w:eastAsia="宋体" w:cs="宋体"/>
          <w:b w:val="0"/>
          <w:i w:val="0"/>
          <w:sz w:val="24"/>
          <w:szCs w:val="24"/>
        </w:rPr>
        <w:t>3. defense开启时先在原报告上执行初始聚合和联合支持筛查；过滤后重新聚合。</w:t>
      </w:r>
    </w:p>
    <w:p>
      <w:pPr>
        <w:widowControl/>
        <w:spacing w:line="360" w:lineRule="auto" w:before="0" w:after="40"/>
        <w:ind w:left="420" w:firstLine="0"/>
        <w:jc w:val="both"/>
      </w:pPr>
      <w:r>
        <w:rPr>
          <w:rFonts w:ascii="宋体" w:hAnsi="宋体" w:eastAsia="宋体" w:cs="宋体"/>
          <w:b w:val="0"/>
          <w:i w:val="0"/>
          <w:sz w:val="24"/>
          <w:szCs w:val="24"/>
        </w:rPr>
        <w:t>4. 按原始反偏置计数稳定排序并保留Top-m，再生成非负频率及方差/N²。</w:t>
      </w:r>
    </w:p>
    <w:p>
      <w:pPr>
        <w:widowControl/>
        <w:spacing w:line="360" w:lineRule="auto" w:before="0" w:after="40"/>
        <w:ind w:left="420" w:firstLine="0"/>
        <w:jc w:val="both"/>
      </w:pPr>
      <w:r>
        <w:rPr>
          <w:rFonts w:ascii="宋体" w:hAnsi="宋体" w:eastAsia="宋体" w:cs="宋体"/>
          <w:b w:val="0"/>
          <w:i w:val="0"/>
          <w:sz w:val="24"/>
          <w:szCs w:val="24"/>
        </w:rPr>
        <w:t>5. 写入source_id、window_id、N、ε、机制和哈希族，对规范化摘要签名并登记账本。</w:t>
      </w:r>
    </w:p>
    <w:p>
      <w:pPr>
        <w:widowControl/>
        <w:spacing w:line="360" w:lineRule="auto" w:before="0" w:after="120"/>
        <w:ind w:firstLine="420"/>
        <w:jc w:val="both"/>
      </w:pPr>
      <w:r>
        <w:rPr>
          <w:rFonts w:ascii="宋体" w:hAnsi="宋体" w:eastAsia="宋体" w:cs="宋体"/>
          <w:b w:val="0"/>
          <w:i w:val="0"/>
          <w:sz w:val="24"/>
          <w:szCs w:val="24"/>
        </w:rPr>
        <w:t>稠密化与实际融合须分开。网关统计peer截尾尺度时，对未发布频率使用半个非负已发布最小值的填充；最终加权融合时未发布项的输入是0。签名证明来源、窗口和内容未被篡改，不证明发布者没有主动作恶。</w:t>
      </w:r>
    </w:p>
    <w:p>
      <w:pPr>
        <w:widowControl/>
        <w:spacing w:line="360" w:lineRule="auto" w:before="80" w:after="40"/>
        <w:ind w:firstLine="0"/>
        <w:jc w:val="center"/>
      </w:pPr>
      <w:r>
        <w:rPr>
          <w:rFonts w:ascii="Times New Roman" w:hAnsi="宋体" w:eastAsia="宋体"/>
          <w:b w:val="0"/>
          <w:i w:val="0"/>
          <w:sz w:val="24"/>
        </w:rPr>
      </w:r>
      <w:r>
        <w:drawing>
          <wp:inline xmlns:a="http://schemas.openxmlformats.org/drawingml/2006/main" xmlns:pic="http://schemas.openxmlformats.org/drawingml/2006/picture">
            <wp:extent cx="5806440" cy="1645158"/>
            <wp:docPr id="2" name="Picture 1"/>
            <wp:cNvGraphicFramePr>
              <a:graphicFrameLocks noChangeAspect="1"/>
            </wp:cNvGraphicFramePr>
            <a:graphic>
              <a:graphicData uri="http://schemas.openxmlformats.org/drawingml/2006/picture">
                <pic:pic>
                  <pic:nvPicPr>
                    <pic:cNvPr id="0" name="fig_ldp_release.png"/>
                    <pic:cNvPicPr/>
                  </pic:nvPicPr>
                  <pic:blipFill>
                    <a:blip r:embed="rId19"/>
                    <a:stretch>
                      <a:fillRect/>
                    </a:stretch>
                  </pic:blipFill>
                  <pic:spPr>
                    <a:xfrm>
                      <a:off x="0" y="0"/>
                      <a:ext cx="5806440" cy="1645158"/>
                    </a:xfrm>
                    <a:prstGeom prst="rect"/>
                  </pic:spPr>
                </pic:pic>
              </a:graphicData>
            </a:graphic>
          </wp:inline>
        </w:drawing>
      </w:r>
    </w:p>
    <w:p>
      <w:pPr>
        <w:widowControl/>
        <w:spacing w:line="360" w:lineRule="auto" w:before="0" w:after="120"/>
        <w:ind w:firstLine="0"/>
        <w:jc w:val="center"/>
      </w:pPr>
      <w:r>
        <w:rPr>
          <w:rFonts w:ascii="宋体" w:hAnsi="宋体" w:eastAsia="宋体" w:cs="宋体"/>
          <w:sz w:val="24"/>
          <w:szCs w:val="24"/>
        </w:rPr>
        <w:t>图2-2  从设备端扰动到可审计 Top-m 摘要的发布流程</w:t>
      </w:r>
    </w:p>
    <w:p>
      <w:pPr>
        <w:pStyle w:val="PEHeading3"/>
        <w:keepNext/>
        <w:keepLines/>
        <w:pageBreakBefore w:val="0"/>
        <w:spacing w:line="360" w:lineRule="auto" w:after="160" w:before="240"/>
        <w:ind w:firstLine="0"/>
        <w:jc w:val="left"/>
      </w:pPr>
      <w:bookmarkStart w:id="1018" w:name="RR_019"/>
      <w:r>
        <w:rPr>
          <w:rFonts w:ascii="宋体" w:hAnsi="宋体" w:eastAsia="宋体"/>
          <w:b/>
          <w:sz w:val="24"/>
        </w:rPr>
        <w:t>2.5.2 发布端伪造用户检测</w:t>
      </w:r>
      <w:bookmarkEnd w:id="1018"/>
    </w:p>
    <w:p>
      <w:pPr>
        <w:widowControl/>
        <w:spacing w:line="360" w:lineRule="auto" w:before="0" w:after="120"/>
        <w:ind w:firstLine="420"/>
        <w:jc w:val="both"/>
      </w:pPr>
      <w:r>
        <w:rPr>
          <w:rFonts w:ascii="宋体" w:hAnsi="宋体" w:eastAsia="宋体" w:cs="宋体"/>
          <w:b w:val="0"/>
          <w:i w:val="0"/>
          <w:sz w:val="24"/>
          <w:szCs w:val="24"/>
        </w:rPr>
        <w:t>检测器在初始聚合后取前min(2m,d)个候选类别，并构造候选类别的逐报告支持矩阵。对项集T，J(T)表示同时支持T的报告数；a(T)把各项的非负频率估计相加后截到1，作为报告属于目标集合的插件比例。理想独立碰撞模型下的期望联合支持和标准化超额分别为：</w:t>
      </w:r>
    </w:p>
    <w:p>
      <w:pPr>
        <w:widowControl/>
        <w:spacing w:before="60" w:after="120" w:line="360" w:lineRule="auto"/>
        <w:jc w:val="center"/>
      </w:pPr>
      <m:oMathPara>
        <m:oMath>
          <m:sSub>
            <m:sSubPr/>
            <m:e>
              <m:r>
                <m:rPr>
                  <m:sty m:val="i"/>
                </m:rPr>
                <m:t>E</m:t>
              </m:r>
            </m:e>
            <m:sub>
              <m:r>
                <m:t>T</m:t>
              </m:r>
            </m:sub>
          </m:sSub>
          <m:r>
            <m:t> = N[a(T)p</m:t>
          </m:r>
          <m:sSup>
            <m:sSupPr/>
            <m:e>
              <m:r>
                <m:rPr>
                  <m:sty m:val="i"/>
                </m:rPr>
                <m:t>q</m:t>
              </m:r>
            </m:e>
            <m:sup>
              <m:r>
                <m:t>|T|−1</m:t>
              </m:r>
            </m:sup>
          </m:sSup>
          <m:r>
            <m:t> +(1−a(T))</m:t>
          </m:r>
          <m:sSup>
            <m:sSupPr/>
            <m:e>
              <m:r>
                <m:rPr>
                  <m:sty m:val="i"/>
                </m:rPr>
                <m:t>q</m:t>
              </m:r>
            </m:e>
            <m:sup>
              <m:r>
                <m:t>|T|</m:t>
              </m:r>
            </m:sup>
          </m:sSup>
          <m:r>
            <m:t>]</m:t>
          </m:r>
        </m:oMath>
      </m:oMathPara>
    </w:p>
    <w:p>
      <w:pPr>
        <w:widowControl/>
        <w:spacing w:before="60" w:after="120" w:line="360" w:lineRule="auto"/>
        <w:jc w:val="center"/>
      </w:pPr>
      <m:oMathPara>
        <m:oMath>
          <m:sSub>
            <m:sSubPr/>
            <m:e>
              <m:r>
                <m:rPr>
                  <m:sty m:val="i"/>
                </m:rPr>
                <m:t>z</m:t>
              </m:r>
            </m:e>
            <m:sub>
              <m:r>
                <m:t>T</m:t>
              </m:r>
            </m:sub>
          </m:sSub>
          <m:r>
            <m:t> = [J(T)−E(T)]/√max(E(T),1)</m:t>
          </m:r>
        </m:oMath>
      </m:oMathPara>
    </w:p>
    <w:p>
      <w:pPr>
        <w:widowControl/>
        <w:spacing w:line="360" w:lineRule="auto" w:before="0" w:after="120"/>
        <w:ind w:firstLine="420"/>
        <w:jc w:val="both"/>
      </w:pPr>
      <w:r>
        <w:rPr>
          <w:rFonts w:ascii="宋体" w:hAnsi="宋体" w:eastAsia="宋体" w:cs="宋体"/>
          <w:b w:val="0"/>
          <w:i w:val="0"/>
          <w:sz w:val="24"/>
          <w:szCs w:val="24"/>
        </w:rPr>
        <w:t>实现先枚举所有候选项对，选择z超过6且最大的项对；随后按候选原顺序逐项尝试扩展，只考虑新z仍超过6且联合支持超额至少保留当前超额0.7倍的项，并从合格扩展中选择超额最大的一个加入，最大项集长度为8。若没有合格项对，则不删除任何报告。若有最终项集，删除同时支持完整项集的报告，记录项集、z和删除数量，并在发布前重新聚合。</w:t>
      </w:r>
    </w:p>
    <w:p>
      <w:pPr>
        <w:widowControl/>
        <w:spacing w:line="360" w:lineRule="auto" w:before="80" w:after="60"/>
        <w:ind w:firstLine="0"/>
        <w:jc w:val="both"/>
      </w:pPr>
      <w:r>
        <w:rPr>
          <w:rFonts w:ascii="宋体" w:hAnsi="宋体" w:eastAsia="宋体" w:cs="宋体"/>
          <w:b/>
          <w:i w:val="0"/>
          <w:sz w:val="24"/>
          <w:szCs w:val="24"/>
        </w:rPr>
        <w:t>联合支持伪造用户检测</w:t>
      </w:r>
    </w:p>
    <w:p>
      <w:pPr>
        <w:widowControl/>
        <w:spacing w:line="360" w:lineRule="auto" w:before="0" w:after="40"/>
        <w:ind w:left="420" w:firstLine="0"/>
        <w:jc w:val="both"/>
      </w:pPr>
      <w:r>
        <w:rPr>
          <w:rFonts w:ascii="宋体" w:hAnsi="宋体" w:eastAsia="宋体" w:cs="宋体"/>
          <w:b w:val="0"/>
          <w:i w:val="0"/>
          <w:sz w:val="24"/>
          <w:szCs w:val="24"/>
        </w:rPr>
        <w:t>候选集P←初始估计中计数最高的min(2m,d)个类别；根据P建立支持矩阵。</w:t>
      </w:r>
    </w:p>
    <w:p>
      <w:pPr>
        <w:widowControl/>
        <w:spacing w:line="360" w:lineRule="auto" w:before="0" w:after="40"/>
        <w:ind w:left="420" w:firstLine="0"/>
        <w:jc w:val="both"/>
      </w:pPr>
      <w:r>
        <w:rPr>
          <w:rFonts w:ascii="宋体" w:hAnsi="宋体" w:eastAsia="宋体" w:cs="宋体"/>
          <w:b w:val="0"/>
          <w:i w:val="0"/>
          <w:sz w:val="24"/>
          <w:szCs w:val="24"/>
        </w:rPr>
        <w:t>对P中的每一对(a,b)：计算J、E和z；若z&gt;6，保留当前最大者。</w:t>
      </w:r>
    </w:p>
    <w:p>
      <w:pPr>
        <w:widowControl/>
        <w:spacing w:line="360" w:lineRule="auto" w:before="0" w:after="40"/>
        <w:ind w:left="420" w:firstLine="0"/>
        <w:jc w:val="both"/>
      </w:pPr>
      <w:r>
        <w:rPr>
          <w:rFonts w:ascii="宋体" w:hAnsi="宋体" w:eastAsia="宋体" w:cs="宋体"/>
          <w:b w:val="0"/>
          <w:i w:val="0"/>
          <w:sz w:val="24"/>
          <w:szCs w:val="24"/>
        </w:rPr>
        <w:t>令T为最佳项对；按P原序扫描i∈P\T，从z&gt;6且excess_new≥0.7·excess_old的扩展中选超额最大者；重复至无合格扩展或|T|=8。</w:t>
      </w:r>
    </w:p>
    <w:p>
      <w:pPr>
        <w:widowControl/>
        <w:spacing w:line="360" w:lineRule="auto" w:before="0" w:after="40"/>
        <w:ind w:left="420" w:firstLine="0"/>
        <w:jc w:val="both"/>
      </w:pPr>
      <w:r>
        <w:rPr>
          <w:rFonts w:ascii="宋体" w:hAnsi="宋体" w:eastAsia="宋体" w:cs="宋体"/>
          <w:b w:val="0"/>
          <w:i w:val="0"/>
          <w:sz w:val="24"/>
          <w:szCs w:val="24"/>
        </w:rPr>
        <w:t>令bad为同时支持T的报告；输出R\bad及审计记录。若无最佳项对，输出原报告。</w:t>
      </w:r>
    </w:p>
    <w:p>
      <w:pPr>
        <w:widowControl/>
        <w:spacing w:line="360" w:lineRule="auto" w:before="0" w:after="120"/>
        <w:ind w:firstLine="420"/>
        <w:jc w:val="both"/>
      </w:pPr>
      <w:r>
        <w:rPr>
          <w:rFonts w:ascii="宋体" w:hAnsi="宋体" w:eastAsia="宋体" w:cs="宋体"/>
          <w:b w:val="0"/>
          <w:i w:val="0"/>
          <w:sz w:val="24"/>
          <w:szCs w:val="24"/>
        </w:rPr>
        <w:t>该检测是针对共同支持攻击结构的局部启发式。它不是Cao等FIAD的完整复现，也不是Li等Diffstats、ASD或RSN的实现。因为候选选择、插件期望估计和多次搜索均使用同批数据，z=6不能解释为统一显著性阈值或零误报保证。MGA实现最大化的是目标类别在同一桶中的支持数，不能保证每个伪造报告同时支持全部目标项。</w:t>
      </w:r>
    </w:p>
    <w:p>
      <w:pPr>
        <w:pStyle w:val="PEHeading3"/>
        <w:keepNext/>
        <w:keepLines/>
        <w:pageBreakBefore w:val="0"/>
        <w:spacing w:line="360" w:lineRule="auto" w:after="160" w:before="240"/>
        <w:ind w:firstLine="0"/>
        <w:jc w:val="left"/>
      </w:pPr>
      <w:bookmarkStart w:id="1019" w:name="RR_020"/>
      <w:r>
        <w:rPr>
          <w:rFonts w:ascii="宋体" w:hAnsi="宋体" w:eastAsia="宋体"/>
          <w:b/>
          <w:sz w:val="24"/>
        </w:rPr>
        <w:t>2.5.3 网关抗投毒融合</w:t>
      </w:r>
      <w:bookmarkEnd w:id="1019"/>
    </w:p>
    <w:p>
      <w:pPr>
        <w:widowControl/>
        <w:spacing w:line="360" w:lineRule="auto" w:before="0" w:after="120"/>
        <w:ind w:firstLine="420"/>
        <w:jc w:val="both"/>
      </w:pPr>
      <w:r>
        <w:rPr>
          <w:rFonts w:ascii="宋体" w:hAnsi="宋体" w:eastAsia="宋体" w:cs="宋体"/>
          <w:b w:val="0"/>
          <w:i w:val="0"/>
          <w:sz w:val="24"/>
          <w:szCs w:val="24"/>
        </w:rPr>
        <w:t>网关先校验账本哈希链；链断裂时拒答。随后逐份检查签名、窗口、来源登记、预算和同源重复，拒收不合格摘要；若同一来源提交多份有效摘要，则拒收该来源全部摘要，仍使用其他已准入来源继续决策。来源s发布的Top-m项集合记为M_s，品类i的原始来源支持数为sup(i)；默认t=2。该支持数在截尾前统计，截尾不删除品类。</w:t>
      </w:r>
    </w:p>
    <w:p>
      <w:pPr>
        <w:widowControl/>
        <w:spacing w:before="60" w:after="120" w:line="360" w:lineRule="auto"/>
        <w:jc w:val="center"/>
      </w:pPr>
      <m:oMathPara>
        <m:oMath>
          <m:r>
            <m:t>Aₜ={i:sup(i)=|{s:i∈Mₛ}|≥t}</m:t>
          </m:r>
        </m:oMath>
      </m:oMathPara>
    </w:p>
    <w:p>
      <w:pPr>
        <w:widowControl/>
        <w:spacing w:line="360" w:lineRule="auto" w:before="0" w:after="120"/>
        <w:ind w:firstLine="420"/>
        <w:jc w:val="both"/>
      </w:pPr>
      <w:r>
        <w:rPr>
          <w:rFonts w:ascii="宋体" w:hAnsi="宋体" w:eastAsia="宋体" w:cs="宋体"/>
          <w:b w:val="0"/>
          <w:i w:val="0"/>
          <w:sz w:val="24"/>
          <w:szCs w:val="24"/>
        </w:rPr>
        <w:t xml:space="preserve">无上下文路径中，网关先在所有已发布品类并集上逐项执行留一统计和截尾，之后才按原始支持数构造候选集合</w:t>
      </w:r>
      <m:oMath>
        <m:sSub>
          <m:e>
            <m:r>
              <m:t>A</m:t>
            </m:r>
          </m:e>
          <m:sub>
            <m:r>
              <m:t>t</m:t>
            </m:r>
          </m:sub>
        </m:sSub>
      </m:oMath>
      <w:r>
        <w:rPr>
          <w:rFonts w:ascii="宋体" w:hAnsi="宋体" w:eastAsia="宋体" w:cs="宋体"/>
          <w:b w:val="0"/>
          <w:i w:val="0"/>
          <w:sz w:val="24"/>
          <w:szCs w:val="24"/>
        </w:rPr>
        <w:t xml:space="preserve">。令</w:t>
      </w:r>
      <m:oMath>
        <m:sSub>
          <m:e>
            <m:r>
              <m:t>m</m:t>
            </m:r>
          </m:e>
          <m:sub>
            <m:r>
              <m:t>−s,i</m:t>
            </m:r>
          </m:sub>
        </m:sSub>
      </m:oMath>
      <w:r>
        <w:rPr>
          <w:rFonts w:ascii="宋体" w:hAnsi="宋体" w:eastAsia="宋体" w:cs="宋体"/>
          <w:b w:val="0"/>
          <w:i w:val="0"/>
          <w:sz w:val="24"/>
          <w:szCs w:val="24"/>
        </w:rPr>
        <w:t xml:space="preserve">为排除来源s后的peer频率中位数，</w:t>
      </w:r>
      <m:oMath>
        <m:sSub>
          <m:e>
            <m:r>
              <m:t>d</m:t>
            </m:r>
          </m:e>
          <m:sub>
            <m:r>
              <m:t>−s,i</m:t>
            </m:r>
          </m:sub>
        </m:sSub>
      </m:oMath>
      <w:r>
        <w:rPr>
          <w:rFonts w:ascii="宋体" w:hAnsi="宋体" w:eastAsia="宋体" w:cs="宋体"/>
          <w:b w:val="0"/>
          <w:i w:val="0"/>
          <w:sz w:val="24"/>
          <w:szCs w:val="24"/>
        </w:rPr>
        <w:t xml:space="preserve">=1.4826·MAD，</w:t>
      </w:r>
      <m:oMath>
        <m:sSub>
          <m:e>
            <m:r>
              <m:t>η</m:t>
            </m:r>
          </m:e>
          <m:sub>
            <m:r>
              <m:t>−s,i</m:t>
            </m:r>
          </m:sub>
        </m:sSub>
      </m:oMath>
      <w:r>
        <w:rPr>
          <w:rFonts w:ascii="宋体" w:hAnsi="宋体" w:eastAsia="宋体" w:cs="宋体"/>
          <w:b w:val="0"/>
          <w:i w:val="0"/>
          <w:sz w:val="24"/>
          <w:szCs w:val="24"/>
        </w:rPr>
        <w:t xml:space="preserve">为peer方差中位数，</w:t>
      </w:r>
      <m:oMath>
        <m:sSub>
          <m:e>
            <m:r>
              <m:t>z</m:t>
            </m:r>
          </m:e>
          <m:sub>
            <m:r>
              <m:t>s,i</m:t>
            </m:r>
          </m:sub>
        </m:sSub>
      </m:oMath>
      <w:r>
        <w:rPr>
          <w:rFonts w:ascii="宋体" w:hAnsi="宋体" w:eastAsia="宋体" w:cs="宋体"/>
          <w:b w:val="0"/>
          <w:i w:val="0"/>
          <w:sz w:val="24"/>
          <w:szCs w:val="24"/>
        </w:rPr>
        <w:t xml:space="preserve">为截尾后的已发布频率（未发布项在实际融合时为0）。未发布项的稠密填充值只进入peer统计，不进入最终融合。截尾上界默认c=3、ρ=0.25，且下界为0。异常分数只写入告警，不自动删除来源，因为跨区域真实异质性会产生未校准的偏离。</w:t>
      </w:r>
    </w:p>
    <w:p>
      <w:pPr>
        <w:widowControl/>
        <w:spacing w:before="60" w:after="120" w:line="360" w:lineRule="auto"/>
        <w:jc w:val="center"/>
      </w:pPr>
      <m:oMathPara>
        <m:oMath>
          <m:r>
            <m:t>Bₛᵢ=m₋ₛᵢ+c√[η₋ₛᵢ+d₋ₛᵢ²+(ρm₋ₛᵢ)²+10⁻¹⁰]， x̃ₛᵢ=max{0,min(xₛᵢ,Bₛᵢ)}</m:t>
          </m:r>
        </m:oMath>
      </m:oMathPara>
    </w:p>
    <w:p>
      <w:pPr>
        <w:widowControl/>
        <w:spacing w:line="360" w:lineRule="auto" w:before="0" w:after="120"/>
        <w:ind w:firstLine="420"/>
        <w:jc w:val="both"/>
      </w:pPr>
      <w:r>
        <w:rPr>
          <w:rFonts w:ascii="宋体" w:hAnsi="宋体" w:eastAsia="宋体" w:cs="宋体"/>
          <w:b w:val="0"/>
          <w:i w:val="0"/>
          <w:sz w:val="24"/>
          <w:szCs w:val="24"/>
        </w:rPr>
        <w:t xml:space="preserve">支持筛选前，权重按每个来源已发布项的平均方差计算：先对平均方差开平方，并对所得标准不确定度设置</w:t>
      </w:r>
      <m:oMath>
        <m:sSup>
          <m:e>
            <m:r>
              <m:t>10</m:t>
            </m:r>
          </m:e>
          <m:sup>
            <m:r>
              <m:t>−12</m:t>
            </m:r>
          </m:sup>
        </m:sSup>
      </m:oMath>
      <w:r>
        <w:rPr>
          <w:rFonts w:ascii="宋体" w:hAnsi="宋体" w:eastAsia="宋体" w:cs="宋体"/>
          <w:b w:val="0"/>
          <w:i w:val="0"/>
          <w:sz w:val="24"/>
          <w:szCs w:val="24"/>
        </w:rPr>
        <w:t xml:space="preserve">下限，再取倒数。为防止来源谎报极小方差夺取全部权重，每个权重再封顶为κ倍留一peer权重中位数，默认κ=2。截尾后对完整品类并集加权排序，再保留支持数达到t的候选并取前k项；若准入来源少于min_sources=3，或支持过滤后返回不足k项，默认决策器拒答。</w:t>
      </w:r>
    </w:p>
    <w:p>
      <w:pPr>
        <w:widowControl/>
        <w:spacing w:before="60" w:after="120" w:line="360" w:lineRule="auto"/>
        <w:jc w:val="center"/>
      </w:pPr>
      <m:oMathPara>
        <m:oMath>
          <m:sSub>
            <m:sSubPr/>
            <m:e>
              <m:r>
                <m:rPr>
                  <m:sty m:val="i"/>
                </m:rPr>
                <m:t>u</m:t>
              </m:r>
            </m:e>
            <m:sub>
              <m:r>
                <m:t>s</m:t>
              </m:r>
            </m:sub>
          </m:sSub>
          <m:r>
            <m:t> = 1/max{√meanᵢσ²ₛᵢ,10</m:t>
          </m:r>
          <m:sSup>
            <m:sSupPr/>
            <m:e>
              <m:r>
                <m:rPr>
                  <m:sty m:val="i"/>
                </m:rPr>
                <m:t>−12</m:t>
              </m:r>
            </m:e>
            <m:sup>
              <m:r>
                <m:t/>
              </m:r>
            </m:sup>
          </m:sSup>
          <m:r>
            <m:t>}， </m:t>
          </m:r>
          <m:sSub>
            <m:sSubPr/>
            <m:e>
              <m:r>
                <m:rPr>
                  <m:sty m:val="i"/>
                </m:rPr>
                <m:t>ω</m:t>
              </m:r>
            </m:e>
            <m:sub>
              <m:r>
                <m:t>s</m:t>
              </m:r>
            </m:sub>
          </m:sSub>
          <m:r>
            <m:t> = min(uₛ,κ·medianᵣ≠ₛ(uᵣ))</m:t>
          </m:r>
        </m:oMath>
      </m:oMathPara>
    </w:p>
    <w:p>
      <w:pPr>
        <w:widowControl/>
        <w:spacing w:before="60" w:after="120" w:line="360" w:lineRule="auto"/>
        <w:jc w:val="center"/>
      </w:pPr>
      <m:oMathPara>
        <m:oMath>
          <m:r>
            <m:t>Sᵢ=Σₛωₛzₛᵢ/Σₛωₛ， i∈Aₜ</m:t>
          </m:r>
        </m:oMath>
      </m:oMathPara>
    </w:p>
    <w:p>
      <w:pPr>
        <w:widowControl/>
        <w:spacing w:line="360" w:lineRule="auto" w:before="80" w:after="60"/>
        <w:ind w:firstLine="0"/>
        <w:jc w:val="both"/>
      </w:pPr>
      <w:r>
        <w:rPr>
          <w:rFonts w:ascii="宋体" w:hAnsi="宋体" w:eastAsia="宋体" w:cs="宋体"/>
          <w:b/>
          <w:i w:val="0"/>
          <w:sz w:val="24"/>
          <w:szCs w:val="24"/>
        </w:rPr>
        <w:t>网关抗投毒融合</w:t>
      </w:r>
    </w:p>
    <w:p>
      <w:pPr>
        <w:widowControl/>
        <w:spacing w:line="360" w:lineRule="auto" w:before="0" w:after="40"/>
        <w:ind w:left="420" w:firstLine="0"/>
        <w:jc w:val="both"/>
      </w:pPr>
      <w:r>
        <w:rPr>
          <w:rFonts w:ascii="宋体" w:hAnsi="宋体" w:eastAsia="宋体" w:cs="宋体"/>
          <w:b w:val="0"/>
          <w:i w:val="0"/>
          <w:sz w:val="24"/>
          <w:szCs w:val="24"/>
        </w:rPr>
        <w:t>验证账本哈希链；断裂则拒答。逐份校验摘要并拒收失败项；同一来源多份有效摘要则全部拒收该来源。</w:t>
      </w:r>
    </w:p>
    <w:p>
      <w:pPr>
        <w:widowControl/>
        <w:spacing w:line="360" w:lineRule="auto" w:before="0" w:after="40"/>
        <w:ind w:left="420" w:firstLine="0"/>
        <w:jc w:val="both"/>
      </w:pPr>
      <w:r>
        <w:rPr>
          <w:rFonts w:ascii="宋体" w:hAnsi="宋体" w:eastAsia="宋体" w:cs="宋体"/>
          <w:b w:val="0"/>
          <w:i w:val="0"/>
          <w:sz w:val="24"/>
          <w:szCs w:val="24"/>
        </w:rPr>
        <w:t>统计原始摘要中各品类的来源支持数；对已准入摘要并集逐项做留一peer统计和非负截尾，不删除品类。</w:t>
      </w:r>
    </w:p>
    <w:p>
      <w:pPr>
        <w:widowControl/>
        <w:spacing w:line="360" w:lineRule="auto" w:before="0" w:after="40"/>
        <w:ind w:left="420" w:firstLine="0"/>
        <w:jc w:val="both"/>
      </w:pPr>
      <w:r>
        <w:rPr>
          <w:rFonts w:ascii="宋体" w:hAnsi="宋体" w:eastAsia="宋体" w:cs="宋体"/>
          <w:b w:val="0"/>
          <w:i w:val="0"/>
          <w:sz w:val="24"/>
          <w:szCs w:val="24"/>
        </w:rPr>
        <w:t xml:space="preserve">对已发布方差均值开平方，以</w:t>
      </w:r>
      <m:oMath>
        <m:sSup>
          <m:e>
            <m:r>
              <m:t>10</m:t>
            </m:r>
          </m:e>
          <m:sup>
            <m:r>
              <m:t>−12</m:t>
            </m:r>
          </m:sup>
        </m:sSup>
      </m:oMath>
      <w:r>
        <w:rPr>
          <w:rFonts w:ascii="宋体" w:hAnsi="宋体" w:eastAsia="宋体" w:cs="宋体"/>
          <w:b w:val="0"/>
          <w:i w:val="0"/>
          <w:sz w:val="24"/>
          <w:szCs w:val="24"/>
        </w:rPr>
        <w:t xml:space="preserve">作标准不确定度下限后取倒数；再按κ倍peer权重中位数封顶。</w:t>
      </w:r>
    </w:p>
    <w:p>
      <w:pPr>
        <w:widowControl/>
        <w:spacing w:line="360" w:lineRule="auto" w:before="0" w:after="40"/>
        <w:ind w:left="420" w:firstLine="0"/>
        <w:jc w:val="both"/>
      </w:pPr>
      <w:r>
        <w:rPr>
          <w:rFonts w:ascii="宋体" w:hAnsi="宋体" w:eastAsia="宋体" w:cs="宋体"/>
          <w:b w:val="0"/>
          <w:i w:val="0"/>
          <w:sz w:val="24"/>
          <w:szCs w:val="24"/>
        </w:rPr>
        <w:t xml:space="preserve">对截尾后的完整品类并集加权排序，再过滤sup(i)≥t的候选</w:t>
      </w:r>
      <m:oMath>
        <m:sSub>
          <m:e>
            <m:r>
              <m:t>A</m:t>
            </m:r>
          </m:e>
          <m:sub>
            <m:r>
              <m:t>t</m:t>
            </m:r>
          </m:sub>
        </m:sSub>
      </m:oMath>
      <w:r>
        <w:rPr>
          <w:rFonts w:ascii="宋体" w:hAnsi="宋体" w:eastAsia="宋体" w:cs="宋体"/>
          <w:b w:val="0"/>
          <w:i w:val="0"/>
          <w:sz w:val="24"/>
          <w:szCs w:val="24"/>
        </w:rPr>
        <w:t xml:space="preserve">并取前k项。</w:t>
      </w:r>
    </w:p>
    <w:p>
      <w:pPr>
        <w:widowControl/>
        <w:spacing w:line="360" w:lineRule="auto" w:before="0" w:after="40"/>
        <w:ind w:left="420" w:firstLine="0"/>
        <w:jc w:val="both"/>
      </w:pPr>
      <w:r>
        <w:rPr>
          <w:rFonts w:ascii="宋体" w:hAnsi="宋体" w:eastAsia="宋体" w:cs="宋体"/>
          <w:b w:val="0"/>
          <w:i w:val="0"/>
          <w:sz w:val="24"/>
          <w:szCs w:val="24"/>
        </w:rPr>
        <w:t>来源少于min_sources=3或过滤后候选少于k项则拒答；否则输出NORMAL/DEGRADED及原因码。</w:t>
      </w:r>
    </w:p>
    <w:p>
      <w:pPr>
        <w:widowControl/>
        <w:spacing w:line="360" w:lineRule="auto" w:before="80" w:after="40"/>
        <w:ind w:firstLine="0"/>
        <w:jc w:val="center"/>
      </w:pPr>
      <w:r>
        <w:rPr>
          <w:rFonts w:ascii="Times New Roman" w:hAnsi="宋体" w:eastAsia="宋体"/>
          <w:b w:val="0"/>
          <w:i w:val="0"/>
          <w:sz w:val="24"/>
        </w:rPr>
      </w:r>
      <w:r>
        <w:drawing>
          <wp:inline xmlns:a="http://schemas.openxmlformats.org/drawingml/2006/main" xmlns:pic="http://schemas.openxmlformats.org/drawingml/2006/picture">
            <wp:extent cx="5806440" cy="2161286"/>
            <wp:docPr id="3" name="Picture 2"/>
            <wp:cNvGraphicFramePr>
              <a:graphicFrameLocks noChangeAspect="1"/>
            </wp:cNvGraphicFramePr>
            <a:graphic>
              <a:graphicData uri="http://schemas.openxmlformats.org/drawingml/2006/picture">
                <pic:pic>
                  <pic:nvPicPr>
                    <pic:cNvPr id="0" name="fig_gateway_fusion.png"/>
                    <pic:cNvPicPr/>
                  </pic:nvPicPr>
                  <pic:blipFill>
                    <a:blip r:embed="rId20"/>
                    <a:stretch>
                      <a:fillRect/>
                    </a:stretch>
                  </pic:blipFill>
                  <pic:spPr>
                    <a:xfrm>
                      <a:off x="0" y="0"/>
                      <a:ext cx="5806440" cy="2161286"/>
                    </a:xfrm>
                    <a:prstGeom prst="rect"/>
                  </pic:spPr>
                </pic:pic>
              </a:graphicData>
            </a:graphic>
          </wp:inline>
        </w:drawing>
      </w:r>
    </w:p>
    <w:p>
      <w:pPr>
        <w:widowControl/>
        <w:spacing w:line="360" w:lineRule="auto" w:before="0" w:after="120"/>
        <w:ind w:firstLine="0"/>
        <w:jc w:val="center"/>
      </w:pPr>
      <w:r>
        <w:rPr>
          <w:rFonts w:ascii="宋体" w:hAnsi="宋体" w:eastAsia="宋体" w:cs="宋体"/>
          <w:sz w:val="24"/>
          <w:szCs w:val="24"/>
        </w:rPr>
        <w:t>图2-3  网关准入、支持筛选与无上下文鲁棒融合流程</w:t>
      </w:r>
    </w:p>
    <w:p>
      <w:pPr>
        <w:widowControl/>
        <w:spacing w:line="360" w:lineRule="auto" w:before="0" w:after="120"/>
        <w:ind w:firstLine="420"/>
        <w:jc w:val="both"/>
      </w:pPr>
      <w:r>
        <w:rPr>
          <w:rFonts w:ascii="宋体" w:hAnsi="宋体" w:eastAsia="宋体" w:cs="宋体"/>
          <w:b w:val="0"/>
          <w:i w:val="0"/>
          <w:sz w:val="24"/>
          <w:szCs w:val="24"/>
        </w:rPr>
        <w:t>含公开上下文的censor-aware分支使用另一套估计流程，以上步骤和后文定理不覆盖该分支。四方法对照的PrivEdge入口还直接构造摘要对象进行预测，比较的是发布端筛查、支持规则、截尾和权重封顶的端到端组合，不是只替换一个平均公式。</w:t>
      </w:r>
    </w:p>
    <w:p>
      <w:pPr>
        <w:pStyle w:val="PEHeading3"/>
        <w:keepNext/>
        <w:keepLines/>
        <w:pageBreakBefore w:val="0"/>
        <w:spacing w:line="360" w:lineRule="auto" w:after="160" w:before="240"/>
        <w:ind w:firstLine="0"/>
        <w:jc w:val="left"/>
      </w:pPr>
      <w:bookmarkStart w:id="1020" w:name="RR_021"/>
      <w:r>
        <w:rPr>
          <w:rFonts w:ascii="宋体" w:hAnsi="宋体" w:eastAsia="宋体"/>
          <w:b/>
          <w:sz w:val="24"/>
        </w:rPr>
        <w:t>2.5.4 签名发布协议与预算账本</w:t>
      </w:r>
      <w:bookmarkEnd w:id="1020"/>
    </w:p>
    <w:p>
      <w:pPr>
        <w:widowControl/>
        <w:spacing w:line="360" w:lineRule="auto"/>
      </w:pPr>
      <w:r>
        <w:rPr>
          <w:rFonts w:ascii="宋体" w:hAnsi="宋体" w:eastAsia="宋体" w:cs="宋体"/>
          <w:sz w:val="24"/>
          <w:szCs w:val="24"/>
        </w:rPr>
        <w:t>ReleaseEnvelope将发布源、窗口、类别域、机制及哈希族、隐私预算、用户数、Top-m条目、尾部界与过滤说明封装为一个信封。seal在正文中补充key_id、created_at与随机nonce，再对排序键、紧凑分隔符、UTF-8编码的规范化JSON签名；signature字段自身不属于被签正文。登记摘要值digest同时绑定正文和签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515"/>
        <w:gridCol w:w="3458"/>
      </w:tblGrid>
      <w:tr>
        <w:trPr>
          <w:cantSplit/>
          <w:tblHeader/>
        </w:trPr>
        <w:tc>
          <w:tcPr>
            <w:tcW w:type="dxa" w:w="1757"/>
            <w:vAlign w:val="center"/>
            <w:tcMar>
              <w:top w:w="70" w:type="dxa"/>
              <w:bottom w:w="70" w:type="dxa"/>
              <w:left w:w="70" w:type="dxa"/>
              <w:right w:w="70" w:type="dxa"/>
            </w:tcMar>
            <w:shd w:fill="E7E6E6"/>
          </w:tcPr>
          <w:p>
            <w:pPr>
              <w:keepNext/>
              <w:keepLines w:val="0"/>
              <w:widowControl/>
              <w:spacing w:after="0" w:line="360" w:lineRule="auto" w:before="0"/>
              <w:ind w:firstLine="0"/>
              <w:jc w:val="left"/>
            </w:pPr>
            <w:r>
              <w:rPr>
                <w:rFonts w:ascii="宋体" w:hAnsi="宋体" w:eastAsia="宋体"/>
                <w:b/>
                <w:color w:val="000000"/>
                <w:sz w:val="24"/>
              </w:rPr>
              <w:t>字段组</w:t>
            </w:r>
          </w:p>
        </w:tc>
        <w:tc>
          <w:tcPr>
            <w:tcW w:type="dxa" w:w="3515"/>
            <w:vAlign w:val="center"/>
            <w:tcMar>
              <w:top w:w="70" w:type="dxa"/>
              <w:bottom w:w="70" w:type="dxa"/>
              <w:left w:w="70" w:type="dxa"/>
              <w:right w:w="70" w:type="dxa"/>
            </w:tcMar>
            <w:shd w:fill="E7E6E6"/>
          </w:tcPr>
          <w:p>
            <w:pPr>
              <w:keepNext/>
              <w:keepLines w:val="0"/>
              <w:widowControl/>
              <w:spacing w:after="0" w:line="360" w:lineRule="auto" w:before="0"/>
              <w:ind w:firstLine="0"/>
              <w:jc w:val="left"/>
            </w:pPr>
            <w:r>
              <w:rPr>
                <w:rFonts w:ascii="宋体" w:hAnsi="宋体" w:eastAsia="宋体"/>
                <w:b/>
                <w:color w:val="000000"/>
                <w:sz w:val="24"/>
              </w:rPr>
              <w:t>包含字段</w:t>
            </w:r>
          </w:p>
        </w:tc>
        <w:tc>
          <w:tcPr>
            <w:tcW w:type="dxa" w:w="3458"/>
            <w:vAlign w:val="center"/>
            <w:tcMar>
              <w:top w:w="70" w:type="dxa"/>
              <w:bottom w:w="70" w:type="dxa"/>
              <w:left w:w="70" w:type="dxa"/>
              <w:right w:w="70" w:type="dxa"/>
            </w:tcMar>
            <w:shd w:fill="E7E6E6"/>
          </w:tcPr>
          <w:p>
            <w:pPr>
              <w:keepNext/>
              <w:keepLines w:val="0"/>
              <w:widowControl/>
              <w:spacing w:after="0" w:line="360" w:lineRule="auto" w:before="0"/>
              <w:ind w:firstLine="0"/>
              <w:jc w:val="left"/>
            </w:pPr>
            <w:r>
              <w:rPr>
                <w:rFonts w:ascii="宋体" w:hAnsi="宋体" w:eastAsia="宋体"/>
                <w:b/>
                <w:color w:val="000000"/>
                <w:sz w:val="24"/>
              </w:rPr>
              <w:t>用途</w:t>
            </w:r>
          </w:p>
        </w:tc>
      </w:tr>
      <w:tr>
        <w:trPr>
          <w:cantSplit/>
        </w:trPr>
        <w:tc>
          <w:tcPr>
            <w:tcW w:type="dxa" w:w="1757"/>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发布身份</w:t>
            </w:r>
          </w:p>
        </w:tc>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release_id、source_id、key_id、version</w:t>
            </w:r>
          </w:p>
        </w:tc>
        <w:tc>
          <w:tcPr>
            <w:tcW w:type="dxa" w:w="3458"/>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区分记录、发布主体、密钥和信封版本。</w:t>
            </w:r>
          </w:p>
        </w:tc>
      </w:tr>
      <w:tr>
        <w:trPr>
          <w:cantSplit/>
        </w:trPr>
        <w:tc>
          <w:tcPr>
            <w:tcW w:type="dxa" w:w="1757"/>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窗口与类别域</w:t>
            </w:r>
          </w:p>
        </w:tc>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window_id、domain_hash</w:t>
            </w:r>
          </w:p>
        </w:tc>
        <w:tc>
          <w:tcPr>
            <w:tcW w:type="dxa" w:w="3458"/>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限制允许窗口与同一类别编号语义。</w:t>
            </w:r>
          </w:p>
        </w:tc>
      </w:tr>
      <w:tr>
        <w:trPr>
          <w:cantSplit/>
        </w:trPr>
        <w:tc>
          <w:tcPr>
            <w:tcW w:type="dxa" w:w="1757"/>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机制与预算</w:t>
            </w:r>
          </w:p>
        </w:tc>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mechanism、hash_family、epsilon、n_users</w:t>
            </w:r>
          </w:p>
        </w:tc>
        <w:tc>
          <w:tcPr>
            <w:tcW w:type="dxa" w:w="3458"/>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标明扰动机制、预算和报告规模。</w:t>
            </w:r>
          </w:p>
        </w:tc>
      </w:tr>
      <w:tr>
        <w:trPr>
          <w:cantSplit/>
        </w:trPr>
        <w:tc>
          <w:tcPr>
            <w:tcW w:type="dxa" w:w="1757"/>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统计内容</w:t>
            </w:r>
          </w:p>
        </w:tc>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top_m、items、tail_bound、defense</w:t>
            </w:r>
          </w:p>
        </w:tc>
        <w:tc>
          <w:tcPr>
            <w:tcW w:type="dxa" w:w="3458"/>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items包含category/frequency/variance，均属于签名正文。</w:t>
            </w:r>
          </w:p>
        </w:tc>
      </w:tr>
      <w:tr>
        <w:trPr>
          <w:cantSplit/>
        </w:trPr>
        <w:tc>
          <w:tcPr>
            <w:tcW w:type="dxa" w:w="1757"/>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时间与抗重复</w:t>
            </w:r>
          </w:p>
        </w:tc>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created_at、nonce</w:t>
            </w:r>
          </w:p>
        </w:tc>
        <w:tc>
          <w:tcPr>
            <w:tcW w:type="dxa" w:w="3458"/>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标明时间并辅助重复登记检查；时间字段不替代窗口策略。</w:t>
            </w:r>
          </w:p>
        </w:tc>
      </w:tr>
      <w:tr>
        <w:trPr>
          <w:cantSplit/>
        </w:trPr>
        <w:tc>
          <w:tcPr>
            <w:tcW w:type="dxa" w:w="1757"/>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签名</w:t>
            </w:r>
          </w:p>
        </w:tc>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signature</w:t>
            </w:r>
          </w:p>
        </w:tc>
        <w:tc>
          <w:tcPr>
            <w:tcW w:type="dxa" w:w="3458"/>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Ed25519签名；登记digest另包含该签名。</w:t>
            </w:r>
          </w:p>
        </w:tc>
      </w:tr>
    </w:tbl>
    <w:p>
      <w:pPr>
        <w:widowControl/>
        <w:spacing w:line="360" w:lineRule="auto"/>
      </w:pPr>
      <w:r>
        <w:rPr>
          <w:rFonts w:ascii="宋体" w:hAnsi="宋体" w:eastAsia="宋体" w:cs="宋体"/>
          <w:sz w:val="24"/>
          <w:szCs w:val="24"/>
        </w:rPr>
        <w:t>密钥注册表按key_id查找公钥、允许主体和角色。账本登记时首先核对签名与source角色，再拒绝重复编号和nonce，检查正整数用户数及正的有限ε，并累计该源该窗口的预算。检查通过后追加包含prev_hash的条目，计算entry_hash，更新累计值。Publisher.release提前检查预算，Ledger.append在实际登记时再次检查。</w:t>
      </w:r>
    </w:p>
    <w:p>
      <w:pPr>
        <w:widowControl/>
        <w:spacing w:line="360" w:lineRule="auto"/>
      </w:pPr>
      <w:r>
        <w:rPr>
          <w:rFonts w:ascii="宋体" w:hAnsi="宋体" w:eastAsia="宋体" w:cs="宋体"/>
          <w:sz w:val="24"/>
          <w:szCs w:val="24"/>
        </w:rPr>
        <w:t>目标服务在预测前遍历账本检查链接与条目哈希；不一致时直接生成REFUSED及LEDGER_CORRUPTED，不进入正常准入。链一致时，网关依次检查签名与主体角色、类别域、允许窗口、ε和用户数边界、条目合法性，以及登记存在性和digest一致性。重复摘要不重复计入；同一源在本请求中提供多份不同的有效摘要时，这些有效摘要全部拒收，以避免一源多计。</w:t>
      </w:r>
    </w:p>
    <w:p>
      <w:pPr>
        <w:keepNext/>
        <w:widowControl/>
        <w:spacing w:line="360" w:lineRule="auto"/>
        <w:jc w:val="center"/>
      </w:pPr>
      <w:r>
        <w:drawing>
          <wp:inline xmlns:a="http://schemas.openxmlformats.org/drawingml/2006/main" xmlns:pic="http://schemas.openxmlformats.org/drawingml/2006/picture">
            <wp:extent cx="5544000" cy="3542000"/>
            <wp:docPr id="4" name="Picture 2"/>
            <wp:cNvGraphicFramePr>
              <a:graphicFrameLocks noChangeAspect="1"/>
            </wp:cNvGraphicFramePr>
            <a:graphic>
              <a:graphicData uri="http://schemas.openxmlformats.org/drawingml/2006/picture">
                <pic:pic>
                  <pic:nvPicPr>
                    <pic:cNvPr id="0" name="fig_protocol_backend_20261013.png"/>
                    <pic:cNvPicPr/>
                  </pic:nvPicPr>
                  <pic:blipFill>
                    <a:blip r:embed="rId18"/>
                    <a:stretch>
                      <a:fillRect/>
                    </a:stretch>
                  </pic:blipFill>
                  <pic:spPr>
                    <a:xfrm>
                      <a:off x="0" y="0"/>
                      <a:ext cx="5544000" cy="3542000"/>
                    </a:xfrm>
                    <a:prstGeom prst="rect"/>
                  </pic:spPr>
                </pic:pic>
              </a:graphicData>
            </a:graphic>
          </wp:inline>
        </w:drawing>
      </w:r>
    </w:p>
    <w:p>
      <w:pPr>
        <w:widowControl/>
        <w:spacing w:line="360" w:lineRule="auto"/>
        <w:jc w:val="center"/>
      </w:pPr>
      <w:r>
        <w:rPr>
          <w:rFonts w:ascii="宋体" w:hAnsi="宋体" w:eastAsia="宋体" w:cs="宋体"/>
          <w:sz w:val="24"/>
          <w:szCs w:val="24"/>
        </w:rPr>
        <w:t>图2-4 签名发布与预测前账本检查流程</w:t>
      </w:r>
    </w:p>
    <w:p>
      <w:pPr>
        <w:widowControl/>
        <w:spacing w:line="360" w:lineRule="auto"/>
      </w:pPr>
      <w:r>
        <w:rPr>
          <w:rFonts w:ascii="宋体" w:hAnsi="宋体" w:eastAsia="宋体" w:cs="宋体"/>
          <w:sz w:val="24"/>
          <w:szCs w:val="24"/>
        </w:rPr>
        <w:t>重放检查包括重复登记、同请求重复输入和旧窗口限制；协议允许在新的预测请求中再次使用仍属于允许窗口的有效摘要，不能将此说成禁止所有跨请求复用。单份摘要拒收也不自动导致整次预测拒答，是否拒答还由接受源数、候选数与其他决策条件决定。</w:t>
      </w:r>
    </w:p>
    <w:p>
      <w:pPr>
        <w:widowControl/>
        <w:spacing w:line="360" w:lineRule="auto"/>
      </w:pPr>
      <w:r>
        <w:rPr>
          <w:rFonts w:ascii="宋体" w:hAnsi="宋体" w:eastAsia="宋体" w:cs="宋体"/>
          <w:sz w:val="24"/>
          <w:szCs w:val="24"/>
        </w:rPr>
        <w:t>预算账本按“源＋窗口”核算，并不能识别不同窗口是否包含同一用户。跨窗口不累计隐私损失依赖用户集合不相交等部署假设。顺序哈希链可发现未同步重算哈希的条目改动或链链接不一致；在缺少外部可信链头或见证者时，不能据此保证防止整条日志重写或分叉。演示账本在内存中，重启后清空。</w:t>
      </w:r>
    </w:p>
    <w:p>
      <w:pPr>
        <w:pStyle w:val="PEHeading3"/>
        <w:keepNext/>
        <w:keepLines/>
        <w:pageBreakBefore w:val="0"/>
        <w:spacing w:line="360" w:lineRule="auto" w:after="160" w:before="240"/>
        <w:ind w:firstLine="0"/>
        <w:jc w:val="left"/>
      </w:pPr>
      <w:bookmarkStart w:id="1021" w:name="RR_022"/>
      <w:r>
        <w:rPr>
          <w:rFonts w:ascii="宋体" w:hAnsi="宋体" w:eastAsia="宋体"/>
          <w:b/>
          <w:sz w:val="24"/>
        </w:rPr>
        <w:t>2.5.5 三态输出与解释</w:t>
      </w:r>
      <w:bookmarkEnd w:id="1021"/>
    </w:p>
    <w:p>
      <w:pPr>
        <w:keepNext w:val="0"/>
        <w:spacing w:line="360" w:lineRule="auto" w:after="120" w:before="0"/>
        <w:ind w:firstLine="480"/>
      </w:pPr>
      <w:r>
        <w:rPr>
          <w:rFonts w:ascii="宋体" w:hAnsi="宋体" w:eastAsia="宋体"/>
          <w:b w:val="0"/>
          <w:sz w:val="24"/>
        </w:rPr>
        <w:t>控制台沿用后端NORMAL、DEGRADED、REFUSED三态，以“检查通过、降级、拒答”为主标签并保留原因码。三态表达来源准入、支持及一致性检查的结论，不构成准确度等级；Recall、NDCG等离线效用另区展示。</w:t>
      </w:r>
    </w:p>
    <w:p>
      <w:pPr>
        <w:keepNext w:val="0"/>
        <w:spacing w:line="360" w:lineRule="auto" w:after="120" w:before="0"/>
        <w:ind w:firstLine="480"/>
      </w:pPr>
      <w:r>
        <w:rPr>
          <w:rFonts w:ascii="宋体" w:hAnsi="宋体" w:eastAsia="宋体"/>
          <w:b w:val="0"/>
          <w:sz w:val="24"/>
        </w:rPr>
        <w:t>检查通过或降级时展示后端实际返回的候选及告警。拒答保留原因；如后端附带部分候选，页面如实标明其不是可用推荐，不补造结果。拒收一份摘要与整次拒答分开显示，网络失败也不标为算法拒答。真实零值、未提供和不适用分别表达。</w:t>
      </w:r>
    </w:p>
    <w:p>
      <w:pPr>
        <w:keepNext w:val="0"/>
        <w:spacing w:line="360" w:lineRule="auto" w:after="120" w:before="0"/>
        <w:ind w:firstLine="480"/>
      </w:pPr>
      <w:r>
        <w:rPr>
          <w:rFonts w:ascii="宋体" w:hAnsi="宋体" w:eastAsia="宋体"/>
          <w:b w:val="0"/>
          <w:sz w:val="24"/>
        </w:rPr>
        <w:t>已完成结果绑定数据集、目标、参数、种子、窗口与运行编号，在同一浏览器会话中可返回查看。修改参数后旧结果标为已完成快照，运行中的旧响应不能归入新数据集。固定种子复现数值计算，窗口、时间、签名和审计编号可以变化；取消只停止后续客户端请求，不承诺终止已开始的服务计算。</w:t>
      </w:r>
    </w:p>
    <w:p>
      <w:pPr>
        <w:pStyle w:val="PEHeading2"/>
        <w:keepNext/>
        <w:keepLines/>
        <w:pageBreakBefore w:val="0"/>
        <w:spacing w:line="360" w:lineRule="auto" w:after="160" w:before="240"/>
        <w:ind w:firstLine="0"/>
        <w:jc w:val="left"/>
      </w:pPr>
      <w:bookmarkStart w:id="1022" w:name="RR_023"/>
      <w:r>
        <w:rPr>
          <w:rFonts w:ascii="宋体" w:hAnsi="宋体" w:eastAsia="宋体"/>
          <w:b/>
          <w:sz w:val="28"/>
        </w:rPr>
        <w:t>2.6 安全性分析</w:t>
      </w:r>
      <w:bookmarkEnd w:id="1022"/>
    </w:p>
    <w:p>
      <w:pPr>
        <w:widowControl/>
        <w:spacing w:line="360" w:lineRule="auto"/>
      </w:pPr>
      <w:r>
        <w:rPr>
          <w:rFonts w:ascii="宋体" w:hAnsi="宋体" w:eastAsia="宋体" w:cs="宋体"/>
          <w:sz w:val="24"/>
          <w:szCs w:val="24"/>
        </w:rPr>
        <w:t>本节分别说明固定参与集合下的LDP与后处理条件、无上下文融合的条件性影响界、符号协议性质及程序回归证据。不同证据覆盖不同层次，统计实验或性质检查不替代数学证明和真实协议实现测试。</w:t>
      </w:r>
    </w:p>
    <w:p>
      <w:pPr>
        <w:pStyle w:val="PEHeading3"/>
        <w:keepNext/>
        <w:keepLines/>
        <w:pageBreakBefore w:val="0"/>
        <w:spacing w:line="360" w:lineRule="auto" w:after="160" w:before="240"/>
        <w:ind w:firstLine="0"/>
        <w:jc w:val="left"/>
      </w:pPr>
      <w:bookmarkStart w:id="1023" w:name="RR_024"/>
      <w:r>
        <w:rPr>
          <w:rFonts w:ascii="宋体" w:hAnsi="宋体" w:eastAsia="宋体"/>
          <w:b/>
          <w:sz w:val="24"/>
        </w:rPr>
        <w:t>2.6.1 隐私性分析</w:t>
      </w:r>
      <w:bookmarkEnd w:id="1023"/>
    </w:p>
    <w:p>
      <w:pPr>
        <w:widowControl/>
        <w:spacing w:line="360" w:lineRule="auto" w:before="0" w:after="120"/>
        <w:ind w:firstLine="420"/>
        <w:jc w:val="both"/>
      </w:pPr>
      <w:r>
        <w:rPr>
          <w:rFonts w:ascii="宋体" w:hAnsi="宋体" w:eastAsia="宋体" w:cs="宋体"/>
          <w:b w:val="0"/>
          <w:i w:val="0"/>
          <w:sz w:val="24"/>
          <w:szCs w:val="24"/>
        </w:rPr>
        <w:t xml:space="preserve">隐私分析采用固定参与集合和替换一个用户类别的邻接关系。对固定、与输入无关的哈希种子a，若两个类别在该种子下碰撞，输出分布完全相同；若不碰撞，任一桶输出概率只可能在p、r之间切换，最大比值为</w:t>
      </w:r>
      <m:oMath>
        <m:sSup>
          <m:e>
            <m:r>
              <m:t>e</m:t>
            </m:r>
          </m:e>
          <m:sup>
            <m:r>
              <m:t>ε</m:t>
            </m:r>
          </m:sup>
        </m:sSup>
      </m:oMath>
      <w:r>
        <w:rPr>
          <w:rFonts w:ascii="宋体" w:hAnsi="宋体" w:eastAsia="宋体" w:cs="宋体"/>
          <w:b w:val="0"/>
          <w:i w:val="0"/>
          <w:sz w:val="24"/>
          <w:szCs w:val="24"/>
        </w:rPr>
        <w:t xml:space="preserve">。因此对联合报告(a,y)也有：</w:t>
      </w:r>
    </w:p>
    <w:p>
      <w:pPr>
        <w:widowControl/>
        <w:spacing w:before="60" w:after="120" w:line="360" w:lineRule="auto"/>
        <w:jc w:val="center"/>
      </w:pPr>
      <m:oMathPara>
        <m:oMath>
          <m:r>
            <m:t>Pr[M(x)=(a,y)] / Pr[M(x′)=(a,y)] ≤ </m:t>
          </m:r>
          <m:sSup>
            <m:sSupPr/>
            <m:e>
              <m:r>
                <m:rPr>
                  <m:sty m:val="i"/>
                </m:rPr>
                <m:t>e</m:t>
              </m:r>
            </m:e>
            <m:sup>
              <m:r>
                <m:t>ε</m:t>
              </m:r>
            </m:sup>
          </m:sSup>
        </m:oMath>
      </m:oMathPara>
    </w:p>
    <w:p>
      <w:pPr>
        <w:widowControl/>
        <w:spacing w:line="360" w:lineRule="auto" w:before="0" w:after="120"/>
        <w:ind w:firstLine="420"/>
        <w:jc w:val="both"/>
      </w:pPr>
      <w:r>
        <w:rPr>
          <w:rFonts w:ascii="宋体" w:hAnsi="宋体" w:eastAsia="宋体" w:cs="宋体"/>
          <w:b w:val="0"/>
          <w:i w:val="0"/>
          <w:sz w:val="24"/>
          <w:szCs w:val="24"/>
        </w:rPr>
        <w:t>该证明不需要哈希族碰撞均匀；均匀碰撞只用于把非目标桶概率近似写成q，并推导频率估计的无偏性和方差口径。独立用户的报告集合在替换一名用户时仍满足同一个ε界。</w:t>
      </w:r>
    </w:p>
    <w:p>
      <w:pPr>
        <w:widowControl/>
        <w:spacing w:line="360" w:lineRule="auto" w:before="0" w:after="120"/>
        <w:ind w:firstLine="420"/>
        <w:jc w:val="both"/>
      </w:pPr>
      <w:r>
        <w:rPr>
          <w:rFonts w:ascii="宋体" w:hAnsi="宋体" w:eastAsia="宋体" w:cs="宋体"/>
          <w:b w:val="0"/>
          <w:i w:val="0"/>
          <w:sz w:val="24"/>
          <w:szCs w:val="24"/>
        </w:rPr>
        <w:t>依据差分隐私后处理与基本组合结论</w:t>
      </w:r>
      <w:r>
        <w:rPr>
          <w:rFonts w:ascii="宋体" w:hAnsi="宋体" w:eastAsia="宋体" w:cs="宋体"/>
          <w:b w:val="0"/>
          <w:i w:val="0"/>
          <w:sz w:val="24"/>
          <w:szCs w:val="24"/>
        </w:rPr>
        <w:t>[</w:t>
      </w:r>
      <w:r>
        <w:rPr>
          <w:rFonts w:ascii="宋体" w:hAnsi="宋体" w:eastAsia="宋体" w:cs="宋体"/>
          <w:b w:val="0"/>
          <w:i w:val="0"/>
          <w:sz w:val="24"/>
          <w:vertAlign w:val="superscript"/>
          <w:szCs w:val="24"/>
        </w:rPr>
        <w:fldChar w:fldCharType="begin"/>
        <w:instrText xml:space="preserve"> REF ref8 \h </w:instrText>
        <w:fldChar w:fldCharType="separate"/>
        <w:t>8</w:t>
        <w:fldChar w:fldCharType="end"/>
      </w:r>
      <w:r>
        <w:rPr>
          <w:rFonts w:ascii="宋体" w:hAnsi="宋体" w:eastAsia="宋体" w:cs="宋体"/>
          <w:b w:val="0"/>
          <w:i w:val="0"/>
          <w:sz w:val="24"/>
          <w:szCs w:val="24"/>
        </w:rPr>
        <w:t>]</w:t>
      </w:r>
      <w:r>
        <w:rPr>
          <w:rFonts w:ascii="宋体" w:hAnsi="宋体" w:eastAsia="宋体" w:cs="宋体"/>
          <w:b w:val="0"/>
          <w:i w:val="0"/>
          <w:sz w:val="24"/>
          <w:szCs w:val="24"/>
        </w:rPr>
        <w:t>，聚合、联合支持筛查、Top-m选择、负频率截断、插件方差、序列化、签名、账本登记和网关融合都只处理已随机化报告及独立公开元数据，属于后处理，不增加该批报告的LDP参数。若同一用户重新随机化并发布L次，则按顺序组合预算至多为各次ε之和；跨来源或跨窗口只有在自然人集合确实不相交时才可使用并行组合。</w:t>
      </w:r>
    </w:p>
    <w:p>
      <w:pPr>
        <w:widowControl/>
        <w:spacing w:line="360" w:lineRule="auto" w:before="0" w:after="120"/>
        <w:ind w:firstLine="420"/>
        <w:jc w:val="both"/>
      </w:pPr>
      <w:r>
        <w:rPr>
          <w:rFonts w:ascii="宋体" w:hAnsi="宋体" w:eastAsia="宋体" w:cs="宋体"/>
          <w:b w:val="0"/>
          <w:i w:val="0"/>
          <w:sz w:val="24"/>
          <w:szCs w:val="24"/>
        </w:rPr>
        <w:t>部署条件必须单独写明：每名用户在每个计费窗口只贡献一条报告，参与集合在计费时固定，公开上下文不含未记账私有值。当前Publisher.collect没有自然人身份字段，n_users只是报告条数，source_id和window_id也不能发现同一用户跨组重复，因此跨组去重和预算归属属于系统治理假设，不能由代码本身证明。复用同一批已扰动报告是后处理，不应再次消耗新的用户隐私预算。</w:t>
      </w:r>
    </w:p>
    <w:p>
      <w:pPr>
        <w:pStyle w:val="PEHeading3"/>
        <w:keepNext/>
        <w:keepLines/>
        <w:pageBreakBefore w:val="0"/>
        <w:spacing w:line="360" w:lineRule="auto" w:after="160" w:before="240"/>
        <w:ind w:firstLine="0"/>
        <w:jc w:val="left"/>
      </w:pPr>
      <w:bookmarkStart w:id="1024" w:name="RR_025"/>
      <w:r>
        <w:rPr>
          <w:rFonts w:ascii="宋体" w:hAnsi="宋体" w:eastAsia="宋体"/>
          <w:b/>
          <w:sz w:val="24"/>
        </w:rPr>
        <w:t>2.6.2 容错定理与适用条件</w:t>
      </w:r>
      <w:bookmarkEnd w:id="1024"/>
    </w:p>
    <w:p>
      <w:pPr>
        <w:widowControl/>
        <w:spacing w:line="360" w:lineRule="auto" w:before="0" w:after="120"/>
        <w:ind w:firstLine="0"/>
        <w:jc w:val="both"/>
      </w:pPr>
      <w:r>
        <w:rPr>
          <w:rFonts w:ascii="宋体" w:hAnsi="宋体" w:eastAsia="宋体" w:cs="宋体"/>
          <w:b/>
          <w:i w:val="0"/>
          <w:sz w:val="24"/>
          <w:szCs w:val="24"/>
        </w:rPr>
        <w:t>定理1  多源支持门槛</w:t>
      </w:r>
    </w:p>
    <w:p>
      <w:pPr>
        <w:widowControl/>
        <w:spacing w:line="360" w:lineRule="auto" w:before="0" w:after="120"/>
        <w:ind w:firstLine="420"/>
        <w:jc w:val="both"/>
      </w:pPr>
      <w:r>
        <w:rPr>
          <w:rFonts w:ascii="宋体" w:hAnsi="宋体" w:eastAsia="宋体" w:cs="宋体"/>
          <w:b w:val="0"/>
          <w:i w:val="0"/>
          <w:sz w:val="24"/>
          <w:szCs w:val="24"/>
        </w:rPr>
        <w:t>设n个不同来源通过网关准入，每个候选项至少由t个来源发布，至多f个来源被攻破。候选的诚实支持数至少为：</w:t>
      </w:r>
    </w:p>
    <w:p>
      <w:pPr>
        <w:widowControl/>
        <w:spacing w:before="60" w:after="120" w:line="360" w:lineRule="auto"/>
        <w:jc w:val="center"/>
      </w:pPr>
      <m:oMathPara>
        <m:oMath>
          <m:r>
            <m:t>honest_sup(i)≥t−f</m:t>
          </m:r>
        </m:oMath>
      </m:oMathPara>
    </w:p>
    <w:p>
      <w:pPr>
        <w:widowControl/>
        <w:spacing w:line="360" w:lineRule="auto" w:before="0" w:after="120"/>
        <w:ind w:firstLine="420"/>
        <w:jc w:val="both"/>
      </w:pPr>
      <w:r>
        <w:rPr>
          <w:rFonts w:ascii="宋体" w:hAnsi="宋体" w:eastAsia="宋体" w:cs="宋体"/>
          <w:b w:val="0"/>
          <w:i w:val="0"/>
          <w:sz w:val="24"/>
          <w:szCs w:val="24"/>
        </w:rPr>
        <w:t>因此当f&lt;t时，任何从未被诚实来源发布的项不能通过候选准入；当f≥t时，攻击者可以影响候选准入，但不代表该项一定进入最终Top-k。签名只认证来源身份和内容完整性，不把恶意来源的数值变成诚实数值。</w:t>
      </w:r>
    </w:p>
    <w:p>
      <w:pPr>
        <w:widowControl/>
        <w:spacing w:line="360" w:lineRule="auto" w:before="0" w:after="120"/>
        <w:ind w:firstLine="0"/>
        <w:jc w:val="both"/>
      </w:pPr>
      <w:r>
        <w:rPr>
          <w:rFonts w:ascii="宋体" w:hAnsi="宋体" w:eastAsia="宋体" w:cs="宋体"/>
          <w:b/>
          <w:i w:val="0"/>
          <w:sz w:val="24"/>
          <w:szCs w:val="24"/>
        </w:rPr>
        <w:t>定理2  无上下文路径的有界影响</w:t>
      </w:r>
    </w:p>
    <w:p>
      <w:pPr>
        <w:widowControl/>
        <w:spacing w:line="360" w:lineRule="auto" w:before="0" w:after="120"/>
        <w:ind w:firstLine="420"/>
        <w:jc w:val="both"/>
      </w:pPr>
      <w:r>
        <w:rPr>
          <w:rFonts w:ascii="宋体" w:hAnsi="宋体" w:eastAsia="宋体" w:cs="宋体"/>
          <w:b w:val="0"/>
          <w:i w:val="0"/>
          <w:sz w:val="24"/>
          <w:szCs w:val="24"/>
        </w:rPr>
        <w:t xml:space="preserve">在context=None、winsorize=True、clip_floor=0、κ≥1、c≥0、ρ≥0且n≥3、f&lt;(n−1)/2时，假设每个摘要非空、类别不重复，频率有限，方差为有限正值，诚实稠密频率非负，且来源ID互异。令诚实来源的最大稠密频率、频率极差、最大稠密方差分别为</w:t>
      </w:r>
      <m:oMath>
        <m:sSub>
          <m:e>
            <m:r>
              <m:t>M</m:t>
            </m:r>
          </m:e>
          <m:sub>
            <m:r>
              <m:t>i</m:t>
            </m:r>
          </m:sub>
        </m:sSub>
      </m:oMath>
      <w:r>
        <w:rPr>
          <w:rFonts w:ascii="宋体" w:hAnsi="宋体" w:eastAsia="宋体" w:cs="宋体"/>
          <w:b w:val="0"/>
          <w:i w:val="0"/>
          <w:sz w:val="24"/>
          <w:szCs w:val="24"/>
        </w:rPr>
        <w:t xml:space="preserve">、</w:t>
      </w:r>
      <m:oMath>
        <m:sSub>
          <m:e>
            <m:r>
              <m:t>R</m:t>
            </m:r>
          </m:e>
          <m:sub>
            <m:r>
              <m:t>i</m:t>
            </m:r>
          </m:sub>
        </m:sSub>
      </m:oMath>
      <w:r>
        <w:rPr>
          <w:rFonts w:ascii="宋体" w:hAnsi="宋体" w:eastAsia="宋体" w:cs="宋体"/>
          <w:b w:val="0"/>
          <w:i w:val="0"/>
          <w:sz w:val="24"/>
          <w:szCs w:val="24"/>
        </w:rPr>
        <w:t xml:space="preserve">、</w:t>
      </w:r>
      <m:oMath>
        <m:sSub>
          <m:e>
            <m:r>
              <m:t>V</m:t>
            </m:r>
          </m:e>
          <m:sub>
            <m:r>
              <m:t>i</m:t>
            </m:r>
          </m:sub>
        </m:sSub>
      </m:oMath>
      <w:r>
        <w:rPr>
          <w:rFonts w:ascii="宋体" w:hAnsi="宋体" w:eastAsia="宋体" w:cs="宋体"/>
          <w:b w:val="0"/>
          <w:i w:val="0"/>
          <w:sz w:val="24"/>
          <w:szCs w:val="24"/>
        </w:rPr>
        <w:t xml:space="preserve">；令诚实原始权重最小值和最大值为w、W。定义上界和恶意权重份额上界：</w:t>
      </w:r>
    </w:p>
    <w:p>
      <w:pPr>
        <w:widowControl/>
        <w:spacing w:before="60" w:after="120" w:line="360" w:lineRule="auto"/>
        <w:jc w:val="center"/>
      </w:pPr>
      <m:oMathPara>
        <m:oMath>
          <m:r>
            <m:t>Uᵢ=Mᵢ+c√[Vᵢ+(1.4826Rᵢ)²+(ρMᵢ)²+10⁻¹⁰]， ᾱ=fκW/[(n−f)w+fκW]</m:t>
          </m:r>
        </m:oMath>
      </m:oMathPara>
    </w:p>
    <w:p>
      <w:pPr>
        <w:widowControl/>
        <w:spacing w:line="360" w:lineRule="auto" w:before="0" w:after="120"/>
        <w:ind w:firstLine="420"/>
        <w:jc w:val="both"/>
      </w:pPr>
      <w:r>
        <w:rPr>
          <w:rFonts w:ascii="宋体" w:hAnsi="宋体" w:eastAsia="宋体" w:cs="宋体"/>
          <w:b w:val="0"/>
          <w:i w:val="0"/>
          <w:sz w:val="24"/>
          <w:szCs w:val="24"/>
        </w:rPr>
        <w:t>则当前批次的融合分数满足：</w:t>
      </w:r>
    </w:p>
    <w:p>
      <w:pPr>
        <w:widowControl/>
        <w:spacing w:before="60" w:after="120" w:line="360" w:lineRule="auto"/>
        <w:jc w:val="center"/>
      </w:pPr>
      <m:oMathPara>
        <m:oMath>
          <m:r>
            <m:t>(1−ᾱ)Sᵢᴴ≤Sᵢ≤(1−ᾱ)Sᵢᴴ+ᾱUᵢ</m:t>
          </m:r>
        </m:oMath>
      </m:oMathPara>
    </w:p>
    <w:p>
      <w:pPr>
        <w:widowControl/>
        <w:spacing w:line="360" w:lineRule="auto" w:before="0" w:after="120"/>
        <w:ind w:firstLine="420"/>
        <w:jc w:val="both"/>
      </w:pPr>
      <w:r>
        <w:rPr>
          <w:rFonts w:ascii="宋体" w:hAnsi="宋体" w:eastAsia="宋体" w:cs="宋体"/>
          <w:b w:val="0"/>
          <w:i w:val="0"/>
          <w:sz w:val="24"/>
          <w:szCs w:val="24"/>
        </w:rPr>
        <w:t xml:space="preserve">其中</w:t>
      </w:r>
      <m:oMath>
        <m:sSubSup>
          <m:e>
            <m:r>
              <m:t>S</m:t>
            </m:r>
          </m:e>
          <m:sub>
            <m:r>
              <m:t>i</m:t>
            </m:r>
          </m:sub>
          <m:sup>
            <m:r>
              <m:t>H</m:t>
            </m:r>
          </m:sup>
        </m:sSubSup>
      </m:oMath>
      <w:r>
        <w:rPr>
          <w:rFonts w:ascii="宋体" w:hAnsi="宋体" w:eastAsia="宋体" w:cs="宋体"/>
          <w:b w:val="0"/>
          <w:i w:val="0"/>
          <w:sz w:val="24"/>
          <w:szCs w:val="24"/>
        </w:rPr>
        <w:t xml:space="preserve">=</w:t>
      </w:r>
      <m:oMath>
        <m:sSub>
          <m:e>
            <m:r>
              <m:t>Σ</m:t>
            </m:r>
          </m:e>
          <m:sub>
            <m:r>
              <m:t>h∈H</m:t>
            </m:r>
          </m:sub>
        </m:sSub>
      </m:oMath>
      <m:oMath>
        <m:sSub>
          <m:e>
            <m:r>
              <m:t>ω</m:t>
            </m:r>
          </m:e>
          <m:sub>
            <m:r>
              <m:t>h</m:t>
            </m:r>
          </m:sub>
        </m:sSub>
      </m:oMath>
      <w:r>
        <w:rPr>
          <w:rFonts w:ascii="宋体" w:hAnsi="宋体" w:eastAsia="宋体" w:cs="宋体"/>
          <w:b w:val="0"/>
          <w:i w:val="0"/>
          <w:sz w:val="24"/>
          <w:szCs w:val="24"/>
        </w:rPr>
        <w:t xml:space="preserve"> </w:t>
      </w:r>
      <m:oMath>
        <m:sSub>
          <m:e>
            <m:r>
              <m:t>z</m:t>
            </m:r>
          </m:e>
          <m:sub>
            <m:r>
              <m:t>h,i</m:t>
            </m:r>
          </m:sub>
        </m:sSub>
      </m:oMath>
      <w:r>
        <w:rPr>
          <w:rFonts w:ascii="宋体" w:hAnsi="宋体" w:eastAsia="宋体" w:cs="宋体"/>
          <w:b w:val="0"/>
          <w:i w:val="0"/>
          <w:sz w:val="24"/>
          <w:szCs w:val="24"/>
        </w:rPr>
        <w:t xml:space="preserve">/</w:t>
      </w:r>
      <m:oMath>
        <m:sSub>
          <m:e>
            <m:r>
              <m:t>Σ</m:t>
            </m:r>
          </m:e>
          <m:sub>
            <m:r>
              <m:t>h∈H</m:t>
            </m:r>
          </m:sub>
        </m:sSub>
      </m:oMath>
      <m:oMath>
        <m:sSub>
          <m:e>
            <m:r>
              <m:t>ω</m:t>
            </m:r>
          </m:e>
          <m:sub>
            <m:r>
              <m:t>h</m:t>
            </m:r>
          </m:sub>
        </m:sSub>
      </m:oMath>
      <w:r>
        <w:rPr>
          <w:rFonts w:ascii="宋体" w:hAnsi="宋体" w:eastAsia="宋体" w:cs="宋体"/>
          <w:b w:val="0"/>
          <w:i w:val="0"/>
          <w:sz w:val="24"/>
          <w:szCs w:val="24"/>
        </w:rPr>
        <w:t xml:space="preserve">，表示当前输入下诚实来源截尾值按实际封顶权重归一化的均值；留一peer统计仍受当前恶意输入影响，因此</w:t>
      </w:r>
      <m:oMath>
        <m:sSubSup>
          <m:e>
            <m:r>
              <m:t>S</m:t>
            </m:r>
          </m:e>
          <m:sub>
            <m:r>
              <m:t>i</m:t>
            </m:r>
          </m:sub>
          <m:sup>
            <m:r>
              <m:t>H</m:t>
            </m:r>
          </m:sup>
        </m:sSubSup>
      </m:oMath>
      <w:r>
        <w:rPr>
          <w:rFonts w:ascii="宋体" w:hAnsi="宋体" w:eastAsia="宋体" w:cs="宋体"/>
          <w:b w:val="0"/>
          <w:i w:val="0"/>
          <w:sz w:val="24"/>
          <w:szCs w:val="24"/>
        </w:rPr>
        <w:t xml:space="preserve">不是无攻击反事实分数。</w:t>
      </w:r>
    </w:p>
    <w:p>
      <w:pPr>
        <w:widowControl/>
        <w:spacing w:line="360" w:lineRule="auto" w:before="0" w:after="120"/>
        <w:ind w:firstLine="420"/>
        <w:jc w:val="both"/>
      </w:pPr>
      <w:r>
        <w:rPr>
          <w:rFonts w:ascii="宋体" w:hAnsi="宋体" w:eastAsia="宋体" w:cs="宋体"/>
          <w:b w:val="0"/>
          <w:i w:val="0"/>
          <w:sz w:val="24"/>
          <w:szCs w:val="24"/>
        </w:rPr>
        <w:t xml:space="preserve">证明的关键是留一peer仍有诚实严格多数：对任意被留出的来源，peer数为n−1，而f&lt;(n−1)/2保证中位数落在诚实值区间；同理peer MAD不超过诚实频率极差，peer方差中位数不超过诚实最大方差。于是恶意来源经截尾后不超过</w:t>
      </w:r>
      <m:oMath>
        <m:sSub>
          <m:e>
            <m:r>
              <m:t>U</m:t>
            </m:r>
          </m:e>
          <m:sub>
            <m:r>
              <m:t>i</m:t>
            </m:r>
          </m:sub>
        </m:sSub>
      </m:oMath>
      <w:r>
        <w:rPr>
          <w:rFonts w:ascii="宋体" w:hAnsi="宋体" w:eastAsia="宋体" w:cs="宋体"/>
          <w:b w:val="0"/>
          <w:i w:val="0"/>
          <w:sz w:val="24"/>
          <w:szCs w:val="24"/>
        </w:rPr>
        <w:t xml:space="preserve">，诚实来源的非负截尾值不超过</w:t>
      </w:r>
      <m:oMath>
        <m:sSub>
          <m:e>
            <m:r>
              <m:t>M</m:t>
            </m:r>
          </m:e>
          <m:sub>
            <m:r>
              <m:t>i</m:t>
            </m:r>
          </m:sub>
        </m:sSub>
      </m:oMath>
      <w:r>
        <w:rPr>
          <w:rFonts w:ascii="宋体" w:hAnsi="宋体" w:eastAsia="宋体" w:cs="宋体"/>
          <w:b w:val="0"/>
          <w:i w:val="0"/>
          <w:sz w:val="24"/>
          <w:szCs w:val="24"/>
        </w:rPr>
        <w:t xml:space="preserve">。诚实来源封顶权重至少为w，恶意来源封顶权重至多为κW，恶意总权重份额至多为</w:t>
      </w:r>
      <m:oMath>
        <m:acc>
          <m:accPr>
            <m:chr m:val="̄"/>
          </m:accPr>
          <m:e>
            <m:r>
              <m:t>α</m:t>
            </m:r>
          </m:e>
        </m:acc>
      </m:oMath>
      <w:r>
        <w:rPr>
          <w:rFonts w:ascii="宋体" w:hAnsi="宋体" w:eastAsia="宋体" w:cs="宋体"/>
          <w:b w:val="0"/>
          <w:i w:val="0"/>
          <w:sz w:val="24"/>
          <w:szCs w:val="24"/>
        </w:rPr>
        <w:t xml:space="preserve">，分解融合均值得到结论。</w:t>
      </w:r>
    </w:p>
    <w:p>
      <w:pPr>
        <w:widowControl/>
        <w:spacing w:line="360" w:lineRule="auto" w:before="0" w:after="120"/>
        <w:ind w:firstLine="420"/>
        <w:jc w:val="both"/>
      </w:pPr>
      <w:r>
        <w:rPr>
          <w:rFonts w:ascii="宋体" w:hAnsi="宋体" w:eastAsia="宋体" w:cs="宋体"/>
          <w:b w:val="0"/>
          <w:i w:val="0"/>
          <w:sz w:val="24"/>
          <w:szCs w:val="24"/>
        </w:rPr>
        <w:t xml:space="preserve">该定理只约束当前分数的影响，不推出Top-k稳定性、Recall或NDCG下界，也不适用于public-context分支、来源数不足3、重复来源、非零截断下界、κ&lt;1或非有限方差。COMPARE_V1的TRD和Massive满足n≥3并可覆盖f=1、2；Olist在n=5时只满足f=1。</w:t>
      </w:r>
      <m:oMath>
        <m:acc>
          <m:accPr>
            <m:chr m:val="̄"/>
          </m:accPr>
          <m:e>
            <m:r>
              <m:t>α</m:t>
            </m:r>
          </m:e>
        </m:acc>
      </m:oMath>
      <w:r>
        <w:rPr>
          <w:rFonts w:ascii="宋体" w:hAnsi="宋体" w:eastAsia="宋体" w:cs="宋体"/>
          <w:b w:val="0"/>
          <w:i w:val="0"/>
          <w:sz w:val="24"/>
          <w:szCs w:val="24"/>
        </w:rPr>
        <w:t xml:space="preserve">取2/11的示例还需要W=w，仅有各源样本数相同并不足以推出该条件。</w:t>
      </w:r>
    </w:p>
    <w:p>
      <w:pPr>
        <w:keepNext/>
        <w:keepLines/>
        <w:widowControl/>
        <w:spacing w:line="360" w:lineRule="auto"/>
        <w:jc w:val="center"/>
      </w:pPr>
      <w:r>
        <w:rPr>
          <w:rFonts w:ascii="宋体" w:hAnsi="宋体" w:eastAsia="宋体" w:cs="宋体"/>
          <w:b w:val="0"/>
          <w:i w:val="0"/>
          <w:sz w:val="24"/>
          <w:szCs w:val="24"/>
        </w:rPr>
        <w:t>表2-2  容错定理的条件与不覆盖情形</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8"/>
        <w:gridCol w:w="3048"/>
        <w:gridCol w:w="3048"/>
      </w:tblGrid>
      <w:tr>
        <w:trPr>
          <w:tblHeader/>
          <w:cantSplit/>
        </w:trPr>
        <w:tc>
          <w:tcPr>
            <w:tcW w:type="dxa" w:w="3048"/>
            <w:vAlign w:val="center"/>
            <w:shd w:fill="E7E6E6"/>
            <w:tcMar>
              <w:top w:w="70" w:type="dxa"/>
              <w:bottom w:w="70" w:type="dxa"/>
              <w:left w:w="70" w:type="dxa"/>
              <w:right w:w="70" w:type="dxa"/>
            </w:tcMar>
          </w:tcPr>
          <w:p>
            <w:pPr>
              <w:keepNext/>
              <w:keepLines w:val="0"/>
              <w:widowControl/>
              <w:spacing w:line="360" w:lineRule="auto" w:before="0" w:after="0"/>
              <w:ind w:firstLine="0"/>
              <w:jc w:val="center"/>
            </w:pPr>
            <w:r>
              <w:rPr>
                <w:rFonts w:ascii="宋体" w:hAnsi="宋体" w:eastAsia="宋体"/>
                <w:b/>
                <w:i w:val="0"/>
                <w:color w:val="000000"/>
                <w:sz w:val="24"/>
              </w:rPr>
              <w:t>条件</w:t>
            </w:r>
          </w:p>
        </w:tc>
        <w:tc>
          <w:tcPr>
            <w:tcW w:type="dxa" w:w="3048"/>
            <w:vAlign w:val="center"/>
            <w:shd w:fill="E7E6E6"/>
            <w:tcMar>
              <w:top w:w="70" w:type="dxa"/>
              <w:bottom w:w="70" w:type="dxa"/>
              <w:left w:w="70" w:type="dxa"/>
              <w:right w:w="70" w:type="dxa"/>
            </w:tcMar>
          </w:tcPr>
          <w:p>
            <w:pPr>
              <w:keepNext/>
              <w:keepLines w:val="0"/>
              <w:widowControl/>
              <w:spacing w:line="360" w:lineRule="auto" w:before="0" w:after="0"/>
              <w:ind w:firstLine="0"/>
              <w:jc w:val="center"/>
            </w:pPr>
            <w:r>
              <w:rPr>
                <w:rFonts w:ascii="宋体" w:hAnsi="宋体" w:eastAsia="宋体"/>
                <w:b/>
                <w:i w:val="0"/>
                <w:color w:val="000000"/>
                <w:sz w:val="24"/>
              </w:rPr>
              <w:t>作用</w:t>
            </w:r>
          </w:p>
        </w:tc>
        <w:tc>
          <w:tcPr>
            <w:tcW w:type="dxa" w:w="3048"/>
            <w:vAlign w:val="center"/>
            <w:shd w:fill="E7E6E6"/>
            <w:tcMar>
              <w:top w:w="70" w:type="dxa"/>
              <w:bottom w:w="70" w:type="dxa"/>
              <w:left w:w="70" w:type="dxa"/>
              <w:right w:w="70" w:type="dxa"/>
            </w:tcMar>
          </w:tcPr>
          <w:p>
            <w:pPr>
              <w:keepNext/>
              <w:keepLines w:val="0"/>
              <w:widowControl/>
              <w:spacing w:line="360" w:lineRule="auto" w:before="0" w:after="0"/>
              <w:ind w:firstLine="0"/>
              <w:jc w:val="center"/>
            </w:pPr>
            <w:r>
              <w:rPr>
                <w:rFonts w:ascii="宋体" w:hAnsi="宋体" w:eastAsia="宋体"/>
                <w:b/>
                <w:i w:val="0"/>
                <w:color w:val="000000"/>
                <w:sz w:val="24"/>
              </w:rPr>
              <w:t>不满足时</w:t>
            </w:r>
          </w:p>
        </w:tc>
      </w:tr>
      <w:tr>
        <w:trPr>
          <w:cantSplit/>
        </w:trPr>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n≥3，f&lt;(n−1)/2</w:t>
            </w:r>
          </w:p>
        </w:tc>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保证任一留一peer诚实严格多数</w:t>
            </w:r>
          </w:p>
        </w:tc>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中位数/MAD上界不能直接使用</w:t>
            </w:r>
          </w:p>
        </w:tc>
      </w:tr>
      <w:tr>
        <w:trPr>
          <w:cantSplit/>
        </w:trPr>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context=None</w:t>
            </w:r>
          </w:p>
        </w:tc>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对应方差加权封顶路径</w:t>
            </w:r>
          </w:p>
        </w:tc>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public-context分支需另证</w:t>
            </w:r>
          </w:p>
        </w:tc>
      </w:tr>
      <w:tr>
        <w:trPr>
          <w:cantSplit/>
        </w:trPr>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clip_floor=0，诚实值非负</w:t>
            </w:r>
          </w:p>
        </w:tc>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保持诚实截尾值不增加</w:t>
            </w:r>
          </w:p>
        </w:tc>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无法使用当前区间证明</w:t>
            </w:r>
          </w:p>
        </w:tc>
      </w:tr>
      <w:tr>
        <w:trPr>
          <w:cantSplit/>
        </w:trPr>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κ≥1，w&gt;0，方差有限正值</w:t>
            </w:r>
          </w:p>
        </w:tc>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建立权重份额界</w:t>
            </w:r>
          </w:p>
        </w:tc>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m:oMath>
              <m:acc>
                <m:accPr>
                  <m:chr m:val="̄"/>
                </m:accPr>
                <m:e>
                  <m:r>
                    <m:t>α</m:t>
                  </m:r>
                </m:e>
              </m:acc>
            </m:oMath>
            <w:r>
              <w:rPr>
                <w:rFonts w:ascii="宋体" w:hAnsi="宋体" w:eastAsia="宋体"/>
                <w:b w:val="0"/>
                <w:i w:val="0"/>
                <w:color w:val="000000"/>
                <w:sz w:val="24"/>
              </w:rPr>
              <w:t xml:space="preserve">推导不适用</w:t>
            </w:r>
          </w:p>
        </w:tc>
      </w:tr>
    </w:tbl>
    <w:p>
      <w:pPr>
        <w:pStyle w:val="PEHeading3"/>
        <w:keepNext/>
        <w:keepLines/>
        <w:pageBreakBefore w:val="0"/>
        <w:spacing w:line="360" w:lineRule="auto" w:after="160" w:before="240"/>
        <w:ind w:firstLine="0"/>
        <w:jc w:val="left"/>
      </w:pPr>
      <w:bookmarkStart w:id="1025" w:name="RR_026"/>
      <w:r>
        <w:rPr>
          <w:rFonts w:ascii="宋体" w:hAnsi="宋体" w:eastAsia="宋体"/>
          <w:b/>
          <w:sz w:val="24"/>
        </w:rPr>
        <w:t>2.6.3 ProVerif形式化验证</w:t>
      </w:r>
      <w:bookmarkEnd w:id="1025"/>
    </w:p>
    <w:p>
      <w:pPr>
        <w:widowControl/>
        <w:spacing w:line="360" w:lineRule="auto"/>
      </w:pPr>
      <w:r>
        <w:rPr>
          <w:rFonts w:ascii="宋体" w:hAnsi="宋体" w:eastAsia="宋体" w:cs="宋体"/>
          <w:sz w:val="24"/>
          <w:szCs w:val="24"/>
        </w:rPr>
        <w:t>作品使用ProVerif 2.05分析签名发布协议的符号模型，登记结果为E16。攻击者可操作公开网络消息，模型同时允许一个数据源角色密钥泄露；网关、注册表与账本按协议执行。模型中的Publish、LoggedRel和Accept分别对应发布、验签登记和准入事件，表示语义抽象对应，不声称模型与Python程序逐行等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6236"/>
      </w:tblGrid>
      <w:tr>
        <w:trPr>
          <w:cantSplit/>
          <w:tblHeader/>
        </w:trPr>
        <w:tc>
          <w:tcPr>
            <w:tcW w:type="dxa" w:w="2494"/>
            <w:vAlign w:val="center"/>
            <w:tcMar>
              <w:top w:w="70" w:type="dxa"/>
              <w:bottom w:w="70" w:type="dxa"/>
              <w:left w:w="70" w:type="dxa"/>
              <w:right w:w="70" w:type="dxa"/>
            </w:tcMar>
            <w:shd w:fill="E7E6E6"/>
          </w:tcPr>
          <w:p>
            <w:pPr>
              <w:keepNext/>
              <w:keepLines w:val="0"/>
              <w:widowControl/>
              <w:spacing w:after="0" w:line="360" w:lineRule="auto" w:before="0"/>
              <w:ind w:firstLine="0"/>
              <w:jc w:val="left"/>
            </w:pPr>
            <w:r>
              <w:rPr>
                <w:rFonts w:ascii="宋体" w:hAnsi="宋体" w:eastAsia="宋体"/>
                <w:b/>
                <w:color w:val="000000"/>
                <w:sz w:val="24"/>
              </w:rPr>
              <w:t>性质</w:t>
            </w:r>
          </w:p>
        </w:tc>
        <w:tc>
          <w:tcPr>
            <w:tcW w:type="dxa" w:w="6236"/>
            <w:vAlign w:val="center"/>
            <w:tcMar>
              <w:top w:w="70" w:type="dxa"/>
              <w:bottom w:w="70" w:type="dxa"/>
              <w:left w:w="70" w:type="dxa"/>
              <w:right w:w="70" w:type="dxa"/>
            </w:tcMar>
            <w:shd w:fill="E7E6E6"/>
          </w:tcPr>
          <w:p>
            <w:pPr>
              <w:keepNext/>
              <w:keepLines w:val="0"/>
              <w:widowControl/>
              <w:spacing w:after="0" w:line="360" w:lineRule="auto" w:before="0"/>
              <w:ind w:firstLine="0"/>
              <w:jc w:val="left"/>
            </w:pPr>
            <w:r>
              <w:rPr>
                <w:rFonts w:ascii="宋体" w:hAnsi="宋体" w:eastAsia="宋体"/>
                <w:b/>
                <w:color w:val="000000"/>
                <w:sz w:val="24"/>
              </w:rPr>
              <w:t>验证内容与实现对应</w:t>
            </w:r>
          </w:p>
        </w:tc>
      </w:tr>
      <w:tr>
        <w:trPr>
          <w:cantSplit/>
        </w:trPr>
        <w:tc>
          <w:tcPr>
            <w:tcW w:type="dxa" w:w="2494"/>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Q1 认证、完整性和窗口绑定</w:t>
            </w:r>
          </w:p>
        </w:tc>
        <w:tc>
          <w:tcPr>
            <w:tcW w:type="dxa" w:w="6236"/>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接受事件对应同源同窗口发布，或该源密钥泄露；对应seal、check_signed及网关窗口检查。</w:t>
            </w:r>
          </w:p>
        </w:tc>
      </w:tr>
      <w:tr>
        <w:trPr>
          <w:cantSplit/>
        </w:trPr>
        <w:tc>
          <w:tcPr>
            <w:tcW w:type="dxa" w:w="2494"/>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Q2 账本绑定</w:t>
            </w:r>
          </w:p>
        </w:tc>
        <w:tc>
          <w:tcPr>
            <w:tcW w:type="dxa" w:w="6236"/>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实际接受内容对应已登记摘要值，即使发布者被攻破也受该绑定约束；对应digest、find与LEDGER_MISMATCH。</w:t>
            </w:r>
          </w:p>
        </w:tc>
      </w:tr>
      <w:tr>
        <w:trPr>
          <w:cantSplit/>
        </w:trPr>
        <w:tc>
          <w:tcPr>
            <w:tcW w:type="dxa" w:w="2494"/>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Q5 不可代扣预算</w:t>
            </w:r>
          </w:p>
        </w:tc>
        <w:tc>
          <w:tcPr>
            <w:tcW w:type="dxa" w:w="6236"/>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记在某源名下的登记来自该源，保留密钥泄露例外；对应Ledger.append登记前验签。</w:t>
            </w:r>
          </w:p>
        </w:tc>
      </w:tr>
      <w:tr>
        <w:trPr>
          <w:cantSplit/>
        </w:trPr>
        <w:tc>
          <w:tcPr>
            <w:tcW w:type="dxa" w:w="2494"/>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Q3 上下文角色隔离</w:t>
            </w:r>
          </w:p>
        </w:tc>
        <w:tc>
          <w:tcPr>
            <w:tcW w:type="dxa" w:w="6236"/>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数据源密钥泄露不等于上下文角色密钥泄露；对应主体角色注册检查，属附带协议性质。</w:t>
            </w:r>
          </w:p>
        </w:tc>
      </w:tr>
      <w:tr>
        <w:trPr>
          <w:cantSplit/>
        </w:trPr>
        <w:tc>
          <w:tcPr>
            <w:tcW w:type="dxa" w:w="2494"/>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Q4 原始数据保密</w:t>
            </w:r>
          </w:p>
        </w:tc>
        <w:tc>
          <w:tcPr>
            <w:tcW w:type="dxa" w:w="6236"/>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在LDP摘要抽象为单向函数的模型中成立；不是ε-LDP证明，也不度量统计推断风险。</w:t>
            </w:r>
          </w:p>
        </w:tc>
      </w:tr>
    </w:tbl>
    <w:p>
      <w:pPr>
        <w:widowControl/>
        <w:spacing w:line="360" w:lineRule="auto"/>
      </w:pPr>
      <w:r>
        <w:rPr>
          <w:rFonts w:ascii="宋体" w:hAnsi="宋体" w:eastAsia="宋体" w:cs="宋体"/>
          <w:sz w:val="24"/>
          <w:szCs w:val="24"/>
        </w:rPr>
        <w:t>E16中上述性质成立，并通过S1、S2可达性检查排除“协议永不接受”的空模型。可达性查询的false表示接受事件能够发生，与安全查询成立的true具有不同含义。去掉窗口签名、角色绑定、账本核对、登记前验签的四个负对照分别破坏预期性质，说明这些检查在该模型中发挥作用。</w:t>
      </w:r>
    </w:p>
    <w:p>
      <w:pPr>
        <w:widowControl/>
        <w:spacing w:line="360" w:lineRule="auto"/>
      </w:pPr>
      <w:r>
        <w:rPr>
          <w:rFonts w:ascii="宋体" w:hAnsi="宋体" w:eastAsia="宋体" w:cs="宋体"/>
          <w:sz w:val="24"/>
          <w:szCs w:val="24"/>
        </w:rPr>
        <w:t>模型没有覆盖预算数值、输入数值合法性、同源多摘要拒收、哈希链宿主重写、统计防御及性能。这些分别由代码检查、回归测试与算法论证支撑，不能用Q1—Q5代替。E34在便携包内使用ProVerif 2.05重新求解主模型、可达性查询及四个负对照，结果符合登记预期；复验记录与原模型证据分别保留。</w:t>
      </w:r>
    </w:p>
    <w:p>
      <w:pPr>
        <w:pStyle w:val="PEHeading3"/>
        <w:keepNext/>
        <w:keepLines/>
        <w:pageBreakBefore w:val="0"/>
        <w:spacing w:line="360" w:lineRule="auto" w:after="160" w:before="240"/>
        <w:ind w:firstLine="0"/>
        <w:jc w:val="left"/>
      </w:pPr>
      <w:bookmarkStart w:id="1026" w:name="RR_027"/>
      <w:r>
        <w:rPr>
          <w:rFonts w:ascii="宋体" w:hAnsi="宋体" w:eastAsia="宋体"/>
          <w:b/>
          <w:sz w:val="24"/>
        </w:rPr>
        <w:t>2.6.4 设计约束与实现验证</w:t>
      </w:r>
      <w:bookmarkEnd w:id="1026"/>
    </w:p>
    <w:p>
      <w:pPr>
        <w:keepNext w:val="0"/>
        <w:spacing w:line="360" w:lineRule="auto" w:after="120" w:before="0"/>
        <w:ind w:firstLine="480"/>
      </w:pPr>
      <w:r>
        <w:rPr>
          <w:rFonts w:ascii="宋体" w:hAnsi="宋体" w:eastAsia="宋体"/>
          <w:b w:val="0"/>
          <w:sz w:val="24"/>
        </w:rPr>
        <w:t>安全论证与实现检查采用不同证据。隐私性依赖固定参与集合和随机化机制；支持及影响界依赖来源身份与留一诚实多数；ProVerif只讨论抽象协议事件。程序测试再检查模型未覆盖的数值输入、消息解析、重复来源、账本链和资源路径，避免用任一层的通过代替另一层保证。</w:t>
      </w:r>
    </w:p>
    <w:p>
      <w:pPr>
        <w:keepNext w:val="0"/>
        <w:spacing w:line="360" w:lineRule="auto" w:after="120" w:before="0"/>
        <w:ind w:firstLine="480"/>
      </w:pPr>
      <w:r>
        <w:rPr>
          <w:rFonts w:ascii="宋体" w:hAnsi="宋体" w:eastAsia="宋体"/>
          <w:b w:val="0"/>
          <w:sz w:val="24"/>
        </w:rPr>
        <w:t>当前实现对非法ε、非有限数值及结构错误返回可解释错误，拒绝无效登记；预测前先验证账本，链损坏时直接拒答。WebSocket字段错误不会启动计算，并允许连接继续接收后续合法请求。静态资源限制在构建目录内。上述约束均有保留的回归用例，当前版本执行结果见3.4.5。</w:t>
      </w:r>
    </w:p>
    <w:p>
      <w:pPr>
        <w:keepNext w:val="0"/>
        <w:spacing w:line="360" w:lineRule="auto" w:after="120" w:before="0"/>
        <w:ind w:firstLine="480"/>
      </w:pPr>
      <w:r>
        <w:rPr>
          <w:rFonts w:ascii="宋体" w:hAnsi="宋体" w:eastAsia="宋体"/>
          <w:b w:val="0"/>
          <w:sz w:val="24"/>
        </w:rPr>
        <w:t>历史缺陷、修复前失败现场及历次候选验证另存《工程验证与历史记录附件》。这些记录用于追溯检查如何形成；本报告不把历史电脑的通过记录继承为当前程序的异机验收，也不将软件测试数量视为算法安全强度。</w:t>
      </w:r>
    </w:p>
    <w:p>
      <w:pPr>
        <w:pStyle w:val="PEHeading2"/>
        <w:keepNext/>
        <w:keepLines/>
        <w:pageBreakBefore w:val="0"/>
        <w:spacing w:line="360" w:lineRule="auto" w:after="160" w:before="240"/>
        <w:ind w:firstLine="0"/>
        <w:jc w:val="left"/>
      </w:pPr>
      <w:bookmarkStart w:id="1027" w:name="RR_028"/>
      <w:r>
        <w:rPr>
          <w:rFonts w:ascii="宋体" w:hAnsi="宋体" w:eastAsia="宋体"/>
          <w:b/>
          <w:sz w:val="28"/>
        </w:rPr>
        <w:t>2.7 前端设计与实现</w:t>
      </w:r>
      <w:bookmarkEnd w:id="1027"/>
    </w:p>
    <w:p>
      <w:pPr>
        <w:keepNext w:val="0"/>
        <w:spacing w:line="360" w:lineRule="auto" w:after="120" w:before="0"/>
        <w:ind w:firstLine="480"/>
      </w:pPr>
      <w:r>
        <w:rPr>
          <w:rFonts w:ascii="宋体" w:hAnsi="宋体" w:eastAsia="宋体"/>
          <w:b w:val="0"/>
          <w:sz w:val="24"/>
        </w:rPr>
        <w:t>五个页面围绕同一条使用路径组织：先理解交换架构，再运行预测，观察攻击影响，核对账本，最后查看统计证据。前端只显示后端返回的决策与已登记统计，不在浏览器重算算法均值、区间或隐私预算。</w:t>
      </w:r>
    </w:p>
    <w:p>
      <w:pPr>
        <w:keepLines w:val="0"/>
        <w:widowControl/>
        <w:spacing w:line="360" w:lineRule="auto" w:before="0" w:after="100"/>
        <w:ind w:firstLine="0"/>
      </w:pPr>
      <w:r>
        <w:rPr>
          <w:rFonts w:ascii="宋体" w:hAnsi="宋体" w:eastAsia="宋体" w:cs="宋体"/>
          <w:color w:val="000000"/>
          <w:sz w:val="24"/>
          <w:szCs w:val="24"/>
        </w:rPr>
        <w:t>全局数据集选择与各业务页面同步；加载中、空数据、失败和已完成结果分别呈现。长表与拓扑在局部区域滚动，窄窗口按顺序纵向排列；操作期间保留运行状态和可解释的错误信息，避免将旧请求结果归属于新参数。</w:t>
      </w:r>
    </w:p>
    <w:p>
      <w:pPr>
        <w:pStyle w:val="PEHeading3"/>
        <w:keepNext/>
        <w:keepLines/>
        <w:pageBreakBefore w:val="0"/>
        <w:spacing w:line="360" w:lineRule="auto" w:after="160" w:before="240"/>
        <w:ind w:firstLine="0"/>
        <w:jc w:val="left"/>
      </w:pPr>
      <w:bookmarkStart w:id="1028" w:name="RR_029"/>
      <w:r>
        <w:rPr>
          <w:rFonts w:ascii="宋体" w:hAnsi="宋体" w:eastAsia="宋体"/>
          <w:b/>
          <w:sz w:val="24"/>
        </w:rPr>
        <w:t>2.7.1 总览与冷启动预测</w:t>
      </w:r>
      <w:bookmarkEnd w:id="1028"/>
    </w:p>
    <w:p>
      <w:pPr>
        <w:keepNext w:val="0"/>
        <w:spacing w:line="360" w:lineRule="auto" w:after="120" w:before="0"/>
        <w:ind w:firstLine="480"/>
      </w:pPr>
      <w:r>
        <w:rPr>
          <w:rFonts w:ascii="宋体" w:hAnsi="宋体" w:eastAsia="宋体"/>
          <w:b w:val="0"/>
          <w:sz w:val="24"/>
        </w:rPr>
        <w:t>总览先给出数据交换关系和三项防线，再提供“运行无攻击预测、带入攻击对照、核对账本、查看历史证据”的引导。预设填入数据集和参数后仍需用户点击运行，避免进入页面即产生账本记录。</w:t>
      </w:r>
    </w:p>
    <w:p>
      <w:pPr>
        <w:keepNext/>
        <w:spacing w:line="360" w:lineRule="auto" w:after="120" w:before="0"/>
        <w:ind w:firstLine="0"/>
        <w:jc w:val="center"/>
      </w:pPr>
      <w:r>
        <w:drawing>
          <wp:inline xmlns:a="http://schemas.openxmlformats.org/drawingml/2006/main" xmlns:pic="http://schemas.openxmlformats.org/drawingml/2006/picture">
            <wp:extent cx="5577840" cy="4083034"/>
            <wp:docPr id="5" name="Picture 5"/>
            <wp:cNvGraphicFramePr>
              <a:graphicFrameLocks noChangeAspect="1"/>
            </wp:cNvGraphicFramePr>
            <a:graphic>
              <a:graphicData uri="http://schemas.openxmlformats.org/drawingml/2006/picture">
                <pic:pic>
                  <pic:nvPicPr>
                    <pic:cNvPr id="0" name="overview.png"/>
                    <pic:cNvPicPr/>
                  </pic:nvPicPr>
                  <pic:blipFill>
                    <a:blip r:embed="rId26"/>
                    <a:stretch>
                      <a:fillRect/>
                    </a:stretch>
                  </pic:blipFill>
                  <pic:spPr>
                    <a:xfrm>
                      <a:off x="0" y="0"/>
                      <a:ext cx="5577840" cy="4083034"/>
                    </a:xfrm>
                    <a:prstGeom prst="rect"/>
                  </pic:spPr>
                </pic:pic>
              </a:graphicData>
            </a:graphic>
          </wp:inline>
        </w:drawing>
      </w:r>
    </w:p>
    <w:p>
      <w:pPr>
        <w:keepNext/>
        <w:spacing w:line="360" w:lineRule="auto" w:after="120" w:before="0"/>
        <w:ind w:firstLine="0"/>
        <w:jc w:val="center"/>
      </w:pPr>
      <w:r>
        <w:rPr>
          <w:rFonts w:ascii="宋体" w:hAnsi="宋体" w:eastAsia="宋体"/>
          <w:b w:val="0"/>
          <w:sz w:val="24"/>
        </w:rPr>
        <w:t>图2-5 总览与多源摘要可信交换架构</w:t>
      </w:r>
    </w:p>
    <w:p>
      <w:pPr>
        <w:keepNext w:val="0"/>
        <w:spacing w:line="360" w:lineRule="auto" w:after="120" w:before="0"/>
        <w:ind w:firstLine="480"/>
      </w:pPr>
      <w:r>
        <w:rPr>
          <w:rFonts w:ascii="宋体" w:hAnsi="宋体" w:eastAsia="宋体"/>
          <w:b w:val="0"/>
          <w:sz w:val="24"/>
        </w:rPr>
        <w:t>来源关系图说明发布端、网关、目标服务及登记核验的连接方式；原型在同一宿主进程模拟这些角色。总览还提供分步引导，选择预设只填入参数，运行需用户确认启动。</w:t>
      </w:r>
    </w:p>
    <w:p>
      <w:pPr>
        <w:keepNext w:val="0"/>
        <w:spacing w:line="360" w:lineRule="auto" w:after="120" w:before="0"/>
        <w:ind w:firstLine="480"/>
      </w:pPr>
      <w:r>
        <w:rPr>
          <w:rFonts w:ascii="宋体" w:hAnsi="宋体" w:eastAsia="宋体"/>
          <w:b w:val="0"/>
          <w:sz w:val="24"/>
        </w:rPr>
        <w:t>预测页校验数据集、目标、ε、发布长度、每源报告数及随机种子，并将同一已完成请求的参数带入攻防页。结果同时显示真实榜单、三态原因、离线评价与审计编号。重放按钮沿用数值输入；JSON导出保留请求快照、结果、程序源文件指纹和数据指纹，便于对照两次运行。</w:t>
      </w:r>
    </w:p>
    <w:p>
      <w:pPr>
        <w:keepNext/>
        <w:spacing w:line="360" w:lineRule="auto" w:after="120" w:before="0"/>
        <w:ind w:firstLine="0"/>
        <w:jc w:val="center"/>
      </w:pPr>
      <w:r>
        <w:drawing>
          <wp:inline xmlns:a="http://schemas.openxmlformats.org/drawingml/2006/main" xmlns:pic="http://schemas.openxmlformats.org/drawingml/2006/picture">
            <wp:extent cx="5577840" cy="2809681"/>
            <wp:docPr id="6" name="Picture 6"/>
            <wp:cNvGraphicFramePr>
              <a:graphicFrameLocks noChangeAspect="1"/>
            </wp:cNvGraphicFramePr>
            <a:graphic>
              <a:graphicData uri="http://schemas.openxmlformats.org/drawingml/2006/picture">
                <pic:pic>
                  <pic:nvPicPr>
                    <pic:cNvPr id="0" name="prediction.png"/>
                    <pic:cNvPicPr/>
                  </pic:nvPicPr>
                  <pic:blipFill>
                    <a:blip r:embed="rId27"/>
                    <a:stretch>
                      <a:fillRect/>
                    </a:stretch>
                  </pic:blipFill>
                  <pic:spPr>
                    <a:xfrm>
                      <a:off x="0" y="0"/>
                      <a:ext cx="5577840" cy="2809681"/>
                    </a:xfrm>
                    <a:prstGeom prst="rect"/>
                  </pic:spPr>
                </pic:pic>
              </a:graphicData>
            </a:graphic>
          </wp:inline>
        </w:drawing>
      </w:r>
    </w:p>
    <w:p>
      <w:pPr>
        <w:keepNext/>
        <w:spacing w:line="360" w:lineRule="auto" w:after="120" w:before="0"/>
        <w:ind w:firstLine="0"/>
        <w:jc w:val="center"/>
      </w:pPr>
      <w:r>
        <w:rPr>
          <w:rFonts w:ascii="宋体" w:hAnsi="宋体" w:eastAsia="宋体"/>
          <w:b w:val="0"/>
          <w:sz w:val="24"/>
        </w:rPr>
        <w:t>图2-6 冷启动预测结果与检查结论</w:t>
      </w:r>
    </w:p>
    <w:p>
      <w:pPr>
        <w:keepNext w:val="0"/>
        <w:spacing w:line="360" w:lineRule="auto" w:after="120" w:before="0"/>
        <w:ind w:firstLine="480"/>
      </w:pPr>
      <w:r>
        <w:rPr>
          <w:rFonts w:ascii="宋体" w:hAnsi="宋体" w:eastAsia="宋体"/>
          <w:b w:val="0"/>
          <w:sz w:val="24"/>
        </w:rPr>
        <w:t>TRD商圈10；ε=2，m=40，每源1,000条，seed=1，无攻击。运行run-86bfaeeee2、窗口W001输出NORMAL，Recall=0.800、NDCG=0.9574。无防御方差加权在此单次运行得到相同离线指标；该图用于说明检查通过的完整流程，不支持无攻击精度优势。</w:t>
      </w:r>
    </w:p>
    <w:p>
      <w:pPr>
        <w:keepLines w:val="0"/>
        <w:widowControl/>
        <w:spacing w:line="360" w:lineRule="auto" w:before="0" w:after="100"/>
        <w:ind w:firstLine="0"/>
      </w:pPr>
      <w:r>
        <w:rPr>
          <w:rFonts w:ascii="宋体" w:hAnsi="宋体" w:eastAsia="宋体" w:cs="宋体"/>
          <w:color w:val="000000"/>
          <w:sz w:val="24"/>
          <w:szCs w:val="24"/>
        </w:rPr>
        <w:t>日志向上阅读时停止自动跟随；界面显示后端真实事件的顺序回放，回放节奏不代表网络传输或分布式系统时延。结果绑定已完成响应，目标真值只用于离线评分，不进入摘要发布、网关准入或融合。单次预测截图用于说明功能与数据流，不纳入历史算法统计。</w:t>
      </w:r>
    </w:p>
    <w:p>
      <w:pPr>
        <w:pStyle w:val="PEHeading3"/>
        <w:keepNext/>
        <w:keepLines/>
        <w:pageBreakBefore w:val="0"/>
        <w:spacing w:line="360" w:lineRule="auto" w:after="160" w:before="240"/>
        <w:ind w:firstLine="0"/>
        <w:jc w:val="left"/>
      </w:pPr>
      <w:bookmarkStart w:id="1029" w:name="RR_030"/>
      <w:r>
        <w:rPr>
          <w:rFonts w:ascii="宋体" w:hAnsi="宋体" w:eastAsia="宋体"/>
          <w:b/>
          <w:sz w:val="24"/>
        </w:rPr>
        <w:t>2.7.2 攻防实验室与账本审计</w:t>
      </w:r>
      <w:bookmarkEnd w:id="1029"/>
    </w:p>
    <w:p>
      <w:pPr>
        <w:keepNext w:val="0"/>
        <w:spacing w:line="360" w:lineRule="auto" w:after="120" w:before="0"/>
        <w:ind w:firstLine="480"/>
      </w:pPr>
      <w:r>
        <w:rPr>
          <w:rFonts w:ascii="宋体" w:hAnsi="宋体" w:eastAsia="宋体"/>
          <w:b w:val="0"/>
          <w:sz w:val="24"/>
        </w:rPr>
        <w:t>攻防页按发布端报告筛查、网关协议准入、整体融合三层呈现处理结果。攻击成功率同时列出入榜目标数和攻击目标总数，防止把0、缺失或拒答混作防御成功。合法来源伪造数值可以通过签名核验，仍需观察摘要级防御及残余攻击。</w:t>
      </w:r>
    </w:p>
    <w:p>
      <w:pPr>
        <w:keepNext w:val="0"/>
        <w:spacing w:line="360" w:lineRule="auto" w:after="120" w:before="0"/>
        <w:ind w:firstLine="480"/>
      </w:pPr>
      <w:r>
        <w:rPr>
          <w:rFonts w:ascii="宋体" w:hAnsi="宋体" w:eastAsia="宋体"/>
          <w:b w:val="0"/>
          <w:sz w:val="24"/>
        </w:rPr>
        <w:t>用户可单次运行或顺序遍历十种攻击，逐行保留参数、种子与运行编号。中断后标明未完成项，不把已运行切片当作完整实验。界面导出来自已完成快照；历史结果、单次演示和批量功能遍历均不混入已登记统计。</w:t>
      </w:r>
    </w:p>
    <w:p>
      <w:pPr>
        <w:keepNext/>
        <w:spacing w:line="360" w:lineRule="auto" w:after="120" w:before="0"/>
        <w:ind w:firstLine="0"/>
        <w:jc w:val="center"/>
      </w:pPr>
      <w:r>
        <w:drawing>
          <wp:inline xmlns:a="http://schemas.openxmlformats.org/drawingml/2006/main" xmlns:pic="http://schemas.openxmlformats.org/drawingml/2006/picture">
            <wp:extent cx="5577840" cy="1356398"/>
            <wp:docPr id="7" name="Picture 7"/>
            <wp:cNvGraphicFramePr>
              <a:graphicFrameLocks noChangeAspect="1"/>
            </wp:cNvGraphicFramePr>
            <a:graphic>
              <a:graphicData uri="http://schemas.openxmlformats.org/drawingml/2006/picture">
                <pic:pic>
                  <pic:nvPicPr>
                    <pic:cNvPr id="0" name="attack.png"/>
                    <pic:cNvPicPr/>
                  </pic:nvPicPr>
                  <pic:blipFill>
                    <a:blip r:embed="rId28"/>
                    <a:stretch>
                      <a:fillRect/>
                    </a:stretch>
                  </pic:blipFill>
                  <pic:spPr>
                    <a:xfrm>
                      <a:off x="0" y="0"/>
                      <a:ext cx="5577840" cy="1356398"/>
                    </a:xfrm>
                    <a:prstGeom prst="rect"/>
                  </pic:spPr>
                </pic:pic>
              </a:graphicData>
            </a:graphic>
          </wp:inline>
        </w:drawing>
      </w:r>
    </w:p>
    <w:p>
      <w:pPr>
        <w:keepNext/>
        <w:spacing w:line="360" w:lineRule="auto" w:after="120" w:before="0"/>
        <w:ind w:firstLine="0"/>
        <w:jc w:val="center"/>
      </w:pPr>
      <w:r>
        <w:rPr>
          <w:rFonts w:ascii="宋体" w:hAnsi="宋体" w:eastAsia="宋体"/>
          <w:b w:val="0"/>
          <w:sz w:val="24"/>
        </w:rPr>
        <w:t>图2-7(a) 发布端 网关与融合三层处理</w:t>
      </w:r>
    </w:p>
    <w:p>
      <w:pPr>
        <w:keepNext w:val="0"/>
        <w:spacing w:line="360" w:lineRule="auto" w:after="120" w:before="0"/>
        <w:ind w:firstLine="480"/>
      </w:pPr>
      <w:r>
        <w:rPr>
          <w:rFonts w:ascii="宋体" w:hAnsi="宋体" w:eastAsia="宋体"/>
          <w:b w:val="0"/>
          <w:sz w:val="24"/>
        </w:rPr>
        <w:t>TRD商圈3；ε=1，m=20，每源5,000条，seed=20260929；一名来源实施权重劫持；运行run-cf85a32766、窗口W003。10份摘要通过准入，报告级筛查移除0条，最终DEGRADED并提示LOW_AGREEMENT和SOURCE_ANOMALY。合法签名不能保证数值诚实，准入通过不表示没有攻击。单次演示注入3个目标；全部11个留一目标、5个种子的55次统计见3.4.1：PrivEdge的AS为0.218（95%区间0.139–0.297），无防御方差加权为1.000。</w:t>
      </w:r>
    </w:p>
    <w:p>
      <w:pPr>
        <w:keepNext/>
        <w:spacing w:line="360" w:lineRule="auto" w:after="120" w:before="0"/>
        <w:ind w:firstLine="0"/>
        <w:jc w:val="center"/>
      </w:pPr>
      <w:r>
        <w:drawing>
          <wp:inline xmlns:a="http://schemas.openxmlformats.org/drawingml/2006/main" xmlns:pic="http://schemas.openxmlformats.org/drawingml/2006/picture">
            <wp:extent cx="5577840" cy="2754318"/>
            <wp:docPr id="8" name="Picture 8"/>
            <wp:cNvGraphicFramePr>
              <a:graphicFrameLocks noChangeAspect="1"/>
            </wp:cNvGraphicFramePr>
            <a:graphic>
              <a:graphicData uri="http://schemas.openxmlformats.org/drawingml/2006/picture">
                <pic:pic>
                  <pic:nvPicPr>
                    <pic:cNvPr id="0" name="attack_metrics.png"/>
                    <pic:cNvPicPr/>
                  </pic:nvPicPr>
                  <pic:blipFill>
                    <a:blip r:embed="rId29"/>
                    <a:stretch>
                      <a:fillRect/>
                    </a:stretch>
                  </pic:blipFill>
                  <pic:spPr>
                    <a:xfrm>
                      <a:off x="0" y="0"/>
                      <a:ext cx="5577840" cy="2754318"/>
                    </a:xfrm>
                    <a:prstGeom prst="rect"/>
                  </pic:spPr>
                </pic:pic>
              </a:graphicData>
            </a:graphic>
          </wp:inline>
        </w:drawing>
      </w:r>
    </w:p>
    <w:p>
      <w:pPr>
        <w:keepNext/>
        <w:spacing w:line="360" w:lineRule="auto" w:after="120" w:before="0"/>
        <w:ind w:firstLine="0"/>
        <w:jc w:val="center"/>
      </w:pPr>
      <w:r>
        <w:rPr>
          <w:rFonts w:ascii="宋体" w:hAnsi="宋体" w:eastAsia="宋体"/>
          <w:b w:val="0"/>
          <w:sz w:val="24"/>
        </w:rPr>
        <w:t>图2-7(b) 同一次攻击的指标与分子分母</w:t>
      </w:r>
    </w:p>
    <w:p>
      <w:pPr>
        <w:keepNext w:val="0"/>
        <w:spacing w:line="360" w:lineRule="auto" w:after="120" w:before="0"/>
        <w:ind w:firstLine="480"/>
      </w:pPr>
      <w:r>
        <w:rPr>
          <w:rFonts w:ascii="宋体" w:hAnsi="宋体" w:eastAsia="宋体"/>
          <w:b w:val="0"/>
          <w:sz w:val="24"/>
        </w:rPr>
        <w:t>同一次run-cf85a32766：无防御方差加权的3个攻击目标全部入榜（3/3），PrivEdge为1/3；Recall分别为0.400与0.600，NDCG分别为0.616与0.864。分子分母来自本次返回的目标集合及榜单，不由四舍五入的比例倒推。此单次演示不并入第三章五种子统计。</w:t>
      </w:r>
    </w:p>
    <w:p>
      <w:pPr>
        <w:keepLines w:val="0"/>
        <w:widowControl/>
        <w:spacing w:line="360" w:lineRule="auto" w:before="0" w:after="100"/>
        <w:ind w:firstLine="0"/>
      </w:pPr>
      <w:r>
        <w:rPr>
          <w:rFonts w:ascii="宋体" w:hAnsi="宋体" w:eastAsia="宋体" w:cs="宋体"/>
          <w:color w:val="000000"/>
          <w:sz w:val="24"/>
          <w:szCs w:val="24"/>
        </w:rPr>
        <w:t>账本页突出完整性结论、当前条目数、注册密钥数及链头。逐来源预算图读取latest_budget的已用量与各自上限；空账本说明尚无业务记录，不能将空链校验解释为已有交易通过审计。审计详情保留拒收原因、请求编号、输入摘要和哈希。</w:t>
      </w:r>
    </w:p>
    <w:p>
      <w:pPr>
        <w:keepNext/>
        <w:spacing w:line="360" w:lineRule="auto" w:after="120" w:before="0"/>
        <w:ind w:firstLine="0"/>
        <w:jc w:val="center"/>
      </w:pPr>
      <w:r>
        <w:drawing>
          <wp:inline xmlns:a="http://schemas.openxmlformats.org/drawingml/2006/main" xmlns:pic="http://schemas.openxmlformats.org/drawingml/2006/picture">
            <wp:extent cx="5577840" cy="3515562"/>
            <wp:docPr id="9" name="Picture 9"/>
            <wp:cNvGraphicFramePr>
              <a:graphicFrameLocks noChangeAspect="1"/>
            </wp:cNvGraphicFramePr>
            <a:graphic>
              <a:graphicData uri="http://schemas.openxmlformats.org/drawingml/2006/picture">
                <pic:pic>
                  <pic:nvPicPr>
                    <pic:cNvPr id="0" name="ledger.png"/>
                    <pic:cNvPicPr/>
                  </pic:nvPicPr>
                  <pic:blipFill>
                    <a:blip r:embed="rId30"/>
                    <a:stretch>
                      <a:fillRect/>
                    </a:stretch>
                  </pic:blipFill>
                  <pic:spPr>
                    <a:xfrm>
                      <a:off x="0" y="0"/>
                      <a:ext cx="5577840" cy="3515562"/>
                    </a:xfrm>
                    <a:prstGeom prst="rect"/>
                  </pic:spPr>
                </pic:pic>
              </a:graphicData>
            </a:graphic>
          </wp:inline>
        </w:drawing>
      </w:r>
    </w:p>
    <w:p>
      <w:pPr>
        <w:keepNext/>
        <w:spacing w:line="360" w:lineRule="auto" w:after="120" w:before="0"/>
        <w:ind w:firstLine="0"/>
        <w:jc w:val="center"/>
      </w:pPr>
      <w:r>
        <w:rPr>
          <w:rFonts w:ascii="宋体" w:hAnsi="宋体" w:eastAsia="宋体"/>
          <w:b w:val="0"/>
          <w:sz w:val="24"/>
        </w:rPr>
        <w:t>图2-8 账本副本篡改演练与拒答</w:t>
      </w:r>
    </w:p>
    <w:p>
      <w:pPr>
        <w:keepNext w:val="0"/>
        <w:spacing w:line="360" w:lineRule="auto" w:after="120" w:before="0"/>
        <w:ind w:firstLine="480"/>
      </w:pPr>
      <w:r>
        <w:rPr>
          <w:rFonts w:ascii="宋体" w:hAnsi="宋体" w:eastAsia="宋体"/>
          <w:b w:val="0"/>
          <w:sz w:val="24"/>
        </w:rPr>
        <w:t>W001后的副本演练将第0条ε由2改为0，检测首个断点并返回REFUSED及LEDGER_CORRUPTED。原账本演练前后均为20条、链头一致、完整性通过。逐来源预算显示当前窗口，不表示跨窗口已累计同一用户的隐私消耗。</w:t>
      </w:r>
    </w:p>
    <w:p>
      <w:pPr>
        <w:keepLines w:val="0"/>
        <w:widowControl/>
        <w:spacing w:line="360" w:lineRule="auto" w:before="0" w:after="100"/>
        <w:ind w:firstLine="0"/>
      </w:pPr>
      <w:r>
        <w:rPr>
          <w:rFonts w:ascii="宋体" w:hAnsi="宋体" w:eastAsia="宋体" w:cs="宋体"/>
          <w:color w:val="000000"/>
          <w:sz w:val="24"/>
          <w:szCs w:val="24"/>
        </w:rPr>
        <w:t>副本篡改演练只修改复制的账本，并显示修改项、断点和REFUSED及LEDGER_CORRUPTED原因。演练结束后重新读取原账本，比较条目数、链头和完整性；读取失败可独立重试。若并行业务使原快照变化，界面不宣称原账本与演练前逐字节不变。</w:t>
      </w:r>
    </w:p>
    <w:p>
      <w:pPr>
        <w:pStyle w:val="PEHeading3"/>
        <w:keepNext/>
        <w:keepLines/>
        <w:pageBreakBefore w:val="0"/>
        <w:spacing w:line="360" w:lineRule="auto" w:after="160" w:before="240"/>
        <w:ind w:firstLine="0"/>
        <w:jc w:val="left"/>
      </w:pPr>
      <w:bookmarkStart w:id="1030" w:name="RR_031"/>
      <w:r>
        <w:rPr>
          <w:rFonts w:ascii="宋体" w:hAnsi="宋体" w:eastAsia="宋体"/>
          <w:b/>
          <w:sz w:val="24"/>
        </w:rPr>
        <w:t>2.7.3 实验中心与证据展示</w:t>
      </w:r>
      <w:bookmarkEnd w:id="1030"/>
    </w:p>
    <w:p>
      <w:pPr>
        <w:keepNext w:val="0"/>
        <w:spacing w:line="360" w:lineRule="auto" w:after="120" w:before="0"/>
        <w:ind w:firstLine="480"/>
      </w:pPr>
      <w:r>
        <w:rPr>
          <w:rFonts w:ascii="宋体" w:hAnsi="宋体" w:eastAsia="宋体"/>
          <w:b w:val="0"/>
          <w:sz w:val="24"/>
        </w:rPr>
        <w:t>实验中心按数据集、ε和场景查看四方法的Recall、NDCG、攻击成功率与拒答率，表格和图均读取后端规范摘要。它提供结果快照导出以及运行、种子、区间和原件指纹入口；不在浏览器重新生成随机报告或重算均值。</w:t>
      </w:r>
    </w:p>
    <w:p>
      <w:pPr>
        <w:keepNext/>
        <w:spacing w:line="360" w:lineRule="auto" w:after="120" w:before="0"/>
        <w:ind w:firstLine="0"/>
        <w:jc w:val="center"/>
      </w:pPr>
      <w:r>
        <w:drawing>
          <wp:inline xmlns:a="http://schemas.openxmlformats.org/drawingml/2006/main" xmlns:pic="http://schemas.openxmlformats.org/drawingml/2006/picture">
            <wp:extent cx="5577840" cy="2837363"/>
            <wp:docPr id="10" name="Picture 10"/>
            <wp:cNvGraphicFramePr>
              <a:graphicFrameLocks noChangeAspect="1"/>
            </wp:cNvGraphicFramePr>
            <a:graphic>
              <a:graphicData uri="http://schemas.openxmlformats.org/drawingml/2006/picture">
                <pic:pic>
                  <pic:nvPicPr>
                    <pic:cNvPr id="0" name="experiments.png"/>
                    <pic:cNvPicPr/>
                  </pic:nvPicPr>
                  <pic:blipFill>
                    <a:blip r:embed="rId31"/>
                    <a:stretch>
                      <a:fillRect/>
                    </a:stretch>
                  </pic:blipFill>
                  <pic:spPr>
                    <a:xfrm>
                      <a:off x="0" y="0"/>
                      <a:ext cx="5577840" cy="2837363"/>
                    </a:xfrm>
                    <a:prstGeom prst="rect"/>
                  </pic:spPr>
                </pic:pic>
              </a:graphicData>
            </a:graphic>
          </wp:inline>
        </w:drawing>
      </w:r>
    </w:p>
    <w:p>
      <w:pPr>
        <w:keepNext/>
        <w:spacing w:line="360" w:lineRule="auto" w:after="120" w:before="0"/>
        <w:ind w:firstLine="0"/>
        <w:jc w:val="center"/>
      </w:pPr>
      <w:r>
        <w:rPr>
          <w:rFonts w:ascii="宋体" w:hAnsi="宋体" w:eastAsia="宋体"/>
          <w:b w:val="0"/>
          <w:sz w:val="24"/>
        </w:rPr>
        <w:t>图2-9 四方法历史对照与结果导出</w:t>
      </w:r>
    </w:p>
    <w:p>
      <w:pPr>
        <w:keepNext w:val="0"/>
        <w:spacing w:line="360" w:lineRule="auto" w:after="120" w:before="0"/>
        <w:ind w:firstLine="480"/>
      </w:pPr>
      <w:r>
        <w:rPr>
          <w:rFonts w:ascii="宋体" w:hAnsi="宋体" w:eastAsia="宋体"/>
          <w:b w:val="0"/>
          <w:sz w:val="24"/>
        </w:rPr>
        <w:t>TRD、ε=2、无攻击，读取E28四方法描述性比较并显示均值、经验区间及导出入口。该截图展示既有证据，不是重新执行统计实验。</w:t>
      </w:r>
    </w:p>
    <w:p>
      <w:pPr>
        <w:keepLines w:val="0"/>
        <w:widowControl/>
        <w:spacing w:line="360" w:lineRule="auto" w:before="0" w:after="100"/>
        <w:ind w:firstLine="0"/>
      </w:pPr>
      <w:r>
        <w:rPr>
          <w:rFonts w:ascii="宋体" w:hAnsi="宋体" w:eastAsia="宋体" w:cs="宋体"/>
          <w:color w:val="000000"/>
          <w:sz w:val="24"/>
          <w:szCs w:val="24"/>
        </w:rPr>
        <w:t>描述性、既有实验及文档三类资源分别加载和重试，单类数据缺失不隐藏其他资源。描述性证据核验失败时不显示已核验文案；零值、缺失值、缺失区间和基线拒答率不适用分别表达。完整运行编号、种子、样本量和文件指纹可展开核对。</w:t>
      </w:r>
    </w:p>
    <w:p>
      <w:pPr>
        <w:keepNext w:val="0"/>
        <w:spacing w:line="360" w:lineRule="auto" w:after="120" w:before="0"/>
        <w:ind w:firstLine="480"/>
      </w:pPr>
      <w:r>
        <w:rPr>
          <w:rFonts w:ascii="宋体" w:hAnsi="宋体" w:eastAsia="宋体"/>
          <w:b w:val="0"/>
          <w:sz w:val="24"/>
        </w:rPr>
        <w:t>四方法结果属于描述性比较。界面展示其冻结时序和种子复用限制，统计文件核验通过只表示读取产物与登记一致。单次演示、页面核对与工程回归均不会把描述性证据升级为确认性结论。</w:t>
      </w:r>
    </w:p>
    <w:p>
      <w:pPr>
        <w:pStyle w:val="PEHeading2"/>
        <w:keepNext/>
        <w:keepLines/>
        <w:pageBreakBefore w:val="0"/>
        <w:spacing w:line="360" w:lineRule="auto" w:after="160" w:before="240"/>
        <w:ind w:firstLine="0"/>
        <w:jc w:val="left"/>
      </w:pPr>
      <w:bookmarkStart w:id="1031" w:name="RR_032"/>
      <w:r>
        <w:rPr>
          <w:rFonts w:ascii="宋体" w:hAnsi="宋体" w:eastAsia="宋体"/>
          <w:b/>
          <w:sz w:val="28"/>
        </w:rPr>
        <w:t>2.8 后端设计与实现</w:t>
      </w:r>
      <w:bookmarkEnd w:id="1031"/>
    </w:p>
    <w:p>
      <w:pPr>
        <w:widowControl/>
        <w:spacing w:line="360" w:lineRule="auto"/>
      </w:pPr>
      <w:r>
        <w:rPr>
          <w:rFonts w:ascii="宋体" w:hAnsi="宋体" w:eastAsia="宋体" w:cs="宋体"/>
          <w:sz w:val="24"/>
          <w:szCs w:val="24"/>
        </w:rPr>
        <w:t>后端由FastAPI服务、DemoEngine、核心可信交换管线及登记证据读取模块构成。服务将请求解析为RunRequest，按dataset选择引擎；演示引擎组织采样与攻击场景，并调用Publisher.release和ColdStartService.predict。接口返回业务决策、审计摘要、事件和独立的离线评价。</w:t>
      </w:r>
    </w:p>
    <w:p>
      <w:pPr>
        <w:pStyle w:val="PEHeading3"/>
        <w:keepNext/>
        <w:keepLines/>
        <w:pageBreakBefore w:val="0"/>
        <w:spacing w:line="360" w:lineRule="auto" w:after="160" w:before="240"/>
        <w:ind w:firstLine="0"/>
        <w:jc w:val="left"/>
      </w:pPr>
      <w:bookmarkStart w:id="1032" w:name="RR_033"/>
      <w:r>
        <w:rPr>
          <w:rFonts w:ascii="宋体" w:hAnsi="宋体" w:eastAsia="宋体"/>
          <w:b/>
          <w:sz w:val="24"/>
        </w:rPr>
        <w:t>2.8.1 服务接口与模块实现</w:t>
      </w:r>
      <w:bookmarkEnd w:id="103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2835"/>
        <w:gridCol w:w="2381"/>
      </w:tblGrid>
      <w:tr>
        <w:trPr>
          <w:cantSplit/>
          <w:tblHeader/>
        </w:trPr>
        <w:tc>
          <w:tcPr>
            <w:tcW w:type="dxa" w:w="3515"/>
            <w:vAlign w:val="center"/>
            <w:tcMar>
              <w:top w:w="70" w:type="dxa"/>
              <w:bottom w:w="70" w:type="dxa"/>
              <w:left w:w="70" w:type="dxa"/>
              <w:right w:w="70" w:type="dxa"/>
            </w:tcMar>
            <w:shd w:fill="E7E6E6"/>
          </w:tcPr>
          <w:p>
            <w:pPr>
              <w:keepNext/>
              <w:keepLines w:val="0"/>
              <w:widowControl/>
              <w:spacing w:after="0" w:line="360" w:lineRule="auto" w:before="0"/>
              <w:ind w:firstLine="0"/>
              <w:jc w:val="left"/>
            </w:pPr>
            <w:r>
              <w:rPr>
                <w:rFonts w:ascii="宋体" w:hAnsi="宋体" w:eastAsia="宋体"/>
                <w:b/>
                <w:color w:val="000000"/>
                <w:sz w:val="24"/>
              </w:rPr>
              <w:t>接口</w:t>
            </w:r>
          </w:p>
        </w:tc>
        <w:tc>
          <w:tcPr>
            <w:tcW w:type="dxa" w:w="2835"/>
            <w:vAlign w:val="center"/>
            <w:tcMar>
              <w:top w:w="70" w:type="dxa"/>
              <w:bottom w:w="70" w:type="dxa"/>
              <w:left w:w="70" w:type="dxa"/>
              <w:right w:w="70" w:type="dxa"/>
            </w:tcMar>
            <w:shd w:fill="E7E6E6"/>
          </w:tcPr>
          <w:p>
            <w:pPr>
              <w:keepNext/>
              <w:keepLines w:val="0"/>
              <w:widowControl/>
              <w:spacing w:after="0" w:line="360" w:lineRule="auto" w:before="0"/>
              <w:ind w:firstLine="0"/>
              <w:jc w:val="left"/>
            </w:pPr>
            <w:r>
              <w:rPr>
                <w:rFonts w:ascii="宋体" w:hAnsi="宋体" w:eastAsia="宋体"/>
                <w:b/>
                <w:color w:val="000000"/>
                <w:sz w:val="24"/>
              </w:rPr>
              <w:t>返回或操作</w:t>
            </w:r>
          </w:p>
        </w:tc>
        <w:tc>
          <w:tcPr>
            <w:tcW w:type="dxa" w:w="2381"/>
            <w:vAlign w:val="center"/>
            <w:tcMar>
              <w:top w:w="70" w:type="dxa"/>
              <w:bottom w:w="70" w:type="dxa"/>
              <w:left w:w="70" w:type="dxa"/>
              <w:right w:w="70" w:type="dxa"/>
            </w:tcMar>
            <w:shd w:fill="E7E6E6"/>
          </w:tcPr>
          <w:p>
            <w:pPr>
              <w:keepNext/>
              <w:keepLines w:val="0"/>
              <w:widowControl/>
              <w:spacing w:after="0" w:line="360" w:lineRule="auto" w:before="0"/>
              <w:ind w:firstLine="0"/>
              <w:jc w:val="left"/>
            </w:pPr>
            <w:r>
              <w:rPr>
                <w:rFonts w:ascii="宋体" w:hAnsi="宋体" w:eastAsia="宋体"/>
                <w:b/>
                <w:color w:val="000000"/>
                <w:sz w:val="24"/>
              </w:rPr>
              <w:t>错误与来源</w:t>
            </w:r>
          </w:p>
        </w:tc>
      </w:tr>
      <w:tr>
        <w:trPr>
          <w:cantSplit/>
        </w:trPr>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GET /api/datasets</w:t>
            </w:r>
          </w:p>
        </w:tc>
        <w:tc>
          <w:tcPr>
            <w:tcW w:type="dxa" w:w="283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数据集、源ID、类别域和攻击选项。</w:t>
            </w:r>
          </w:p>
        </w:tc>
        <w:tc>
          <w:tcPr>
            <w:tcW w:type="dxa" w:w="2381"/>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未知数据集不使用猜测的源ID。</w:t>
            </w:r>
          </w:p>
        </w:tc>
      </w:tr>
      <w:tr>
        <w:trPr>
          <w:cantSplit/>
        </w:trPr>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POST /api/run</w:t>
            </w:r>
          </w:p>
        </w:tc>
        <w:tc>
          <w:tcPr>
            <w:tcW w:type="dxa" w:w="283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同步运行并返回decision/events/audit/evaluation。</w:t>
            </w:r>
          </w:p>
        </w:tc>
        <w:tc>
          <w:tcPr>
            <w:tcW w:type="dxa" w:w="2381"/>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未知数据集404；未知目标/攻击400；字段校验422。</w:t>
            </w:r>
          </w:p>
        </w:tc>
      </w:tr>
      <w:tr>
        <w:trPr>
          <w:cantSplit/>
        </w:trPr>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WS /ws/run</w:t>
            </w:r>
          </w:p>
        </w:tc>
        <w:tc>
          <w:tcPr>
            <w:tcW w:type="dxa" w:w="283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kind=event实时步骤，最终kind=result或error。</w:t>
            </w:r>
          </w:p>
        </w:tc>
        <w:tc>
          <w:tcPr>
            <w:tcW w:type="dxa" w:w="2381"/>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解析错误给error且可继续；引擎异常也给error。</w:t>
            </w:r>
          </w:p>
        </w:tc>
      </w:tr>
      <w:tr>
        <w:trPr>
          <w:cantSplit/>
        </w:trPr>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GET /api/ledger/{dataset}</w:t>
            </w:r>
          </w:p>
        </w:tc>
        <w:tc>
          <w:tcPr>
            <w:tcW w:type="dxa" w:w="283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账本链状态、断点、条目、预算和注册表。</w:t>
            </w:r>
          </w:p>
        </w:tc>
        <w:tc>
          <w:tcPr>
            <w:tcW w:type="dxa" w:w="2381"/>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记录范围受展示限额约束。</w:t>
            </w:r>
          </w:p>
        </w:tc>
      </w:tr>
      <w:tr>
        <w:trPr>
          <w:cantSplit/>
        </w:trPr>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POST /api/ledger/{dataset}/tamper-drill</w:t>
            </w:r>
          </w:p>
        </w:tc>
        <w:tc>
          <w:tcPr>
            <w:tcW w:type="dxa" w:w="283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修改副本并验证链损坏与预测拒答。</w:t>
            </w:r>
          </w:p>
        </w:tc>
        <w:tc>
          <w:tcPr>
            <w:tcW w:type="dxa" w:w="2381"/>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不修改原账本；空账本返回提示。</w:t>
            </w:r>
          </w:p>
        </w:tc>
      </w:tr>
      <w:tr>
        <w:trPr>
          <w:cantSplit/>
        </w:trPr>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GET /api/audit/{dataset}</w:t>
            </w:r>
          </w:p>
        </w:tc>
        <w:tc>
          <w:tcPr>
            <w:tcW w:type="dxa" w:w="283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最近的审计记录。</w:t>
            </w:r>
          </w:p>
        </w:tc>
        <w:tc>
          <w:tcPr>
            <w:tcW w:type="dxa" w:w="2381"/>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是原型内记录，不是独立审计服务。</w:t>
            </w:r>
          </w:p>
        </w:tc>
      </w:tr>
      <w:tr>
        <w:trPr>
          <w:cantSplit/>
        </w:trPr>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GET /api/evidence</w:t>
            </w:r>
          </w:p>
        </w:tc>
        <w:tc>
          <w:tcPr>
            <w:tcW w:type="dxa" w:w="283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utility/security/hijack/formal/overhead。</w:t>
            </w:r>
          </w:p>
        </w:tc>
        <w:tc>
          <w:tcPr>
            <w:tcW w:type="dxa" w:w="2381"/>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读取代码中REGISTERED指定的登记运行。</w:t>
            </w:r>
          </w:p>
        </w:tc>
      </w:tr>
      <w:tr>
        <w:trPr>
          <w:cantSplit/>
        </w:trPr>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GET /api/evidence/a8</w:t>
            </w:r>
          </w:p>
        </w:tc>
        <w:tc>
          <w:tcPr>
            <w:tcW w:type="dxa" w:w="283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独立的A8登记状态、方法、结果及来源。</w:t>
            </w:r>
          </w:p>
        </w:tc>
        <w:tc>
          <w:tcPr>
            <w:tcW w:type="dxa" w:w="2381"/>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未运行或证据不合法时不返回统计数值。</w:t>
            </w:r>
          </w:p>
        </w:tc>
      </w:tr>
      <w:tr>
        <w:trPr>
          <w:cantSplit/>
        </w:trPr>
        <w:tc>
          <w:tcPr>
            <w:tcW w:type="dxa" w:w="351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GET /api/prereg</w:t>
            </w:r>
          </w:p>
        </w:tc>
        <w:tc>
          <w:tcPr>
            <w:tcW w:type="dxa" w:w="2835"/>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预注册及结果说明文本。</w:t>
            </w:r>
          </w:p>
        </w:tc>
        <w:tc>
          <w:tcPr>
            <w:tcW w:type="dxa" w:w="2381"/>
            <w:vAlign w:val="center"/>
            <w:tcMar>
              <w:top w:w="70" w:type="dxa"/>
              <w:bottom w:w="70" w:type="dxa"/>
              <w:left w:w="70" w:type="dxa"/>
              <w:right w:w="70" w:type="dxa"/>
            </w:tcMar>
          </w:tcPr>
          <w:p>
            <w:pPr>
              <w:keepNext w:val="0"/>
              <w:keepLines w:val="0"/>
              <w:widowControl/>
              <w:spacing w:after="0" w:line="360" w:lineRule="auto" w:before="0"/>
              <w:ind w:firstLine="0"/>
              <w:jc w:val="left"/>
            </w:pPr>
            <w:r>
              <w:rPr>
                <w:rFonts w:ascii="宋体" w:hAnsi="宋体" w:eastAsia="宋体"/>
                <w:b w:val="0"/>
                <w:color w:val="000000"/>
                <w:sz w:val="24"/>
              </w:rPr>
              <w:t>不是触发新统计实验的入口。</w:t>
            </w:r>
          </w:p>
        </w:tc>
      </w:tr>
      <w:tr>
        <w:trPr>
          <w:cantSplit/>
        </w:trPr>
        <w:tc>
          <w:tcPr>
            <w:tcW w:type="dxa" w:w="3515"/>
            <w:vAlign w:val="center"/>
            <w:tcMar>
              <w:top w:w="70" w:type="dxa"/>
              <w:bottom w:w="70" w:type="dxa"/>
              <w:left w:w="70" w:type="dxa"/>
              <w:right w:w="70" w:type="dxa"/>
            </w:tcMar>
          </w:tcPr>
          <w:p>
            <w:pPr>
              <w:keepNext w:val="0"/>
              <w:keepLines w:val="0"/>
              <w:widowControl/>
              <w:spacing w:line="360" w:lineRule="auto" w:before="0" w:after="0"/>
              <w:ind w:firstLine="0"/>
            </w:pPr>
            <w:r>
              <w:rPr>
                <w:rFonts w:ascii="宋体" w:hAnsi="宋体" w:eastAsia="宋体"/>
                <w:b w:val="0"/>
                <w:color w:val="000000"/>
                <w:sz w:val="24"/>
              </w:rPr>
              <w:t>GET /api/evidence/a8/descriptive</w:t>
            </w:r>
          </w:p>
        </w:tc>
        <w:tc>
          <w:tcPr>
            <w:tcW w:type="dxa" w:w="2835"/>
            <w:vAlign w:val="center"/>
            <w:tcMar>
              <w:top w:w="70" w:type="dxa"/>
              <w:bottom w:w="70" w:type="dxa"/>
              <w:left w:w="70" w:type="dxa"/>
              <w:right w:w="70" w:type="dxa"/>
            </w:tcMar>
          </w:tcPr>
          <w:p>
            <w:pPr>
              <w:keepNext w:val="0"/>
              <w:keepLines w:val="0"/>
              <w:widowControl/>
              <w:spacing w:line="360" w:lineRule="auto" w:before="0" w:after="0"/>
              <w:ind w:firstLine="0"/>
            </w:pPr>
            <w:r>
              <w:rPr>
                <w:rFonts w:ascii="宋体" w:hAnsi="宋体" w:eastAsia="宋体"/>
                <w:b w:val="0"/>
                <w:color w:val="000000"/>
                <w:sz w:val="24"/>
              </w:rPr>
              <w:t>E28描述性四方法、条件、区间、拒答率及来源。</w:t>
            </w:r>
          </w:p>
        </w:tc>
        <w:tc>
          <w:tcPr>
            <w:tcW w:type="dxa" w:w="2381"/>
            <w:vAlign w:val="center"/>
            <w:tcMar>
              <w:top w:w="70" w:type="dxa"/>
              <w:bottom w:w="70" w:type="dxa"/>
              <w:left w:w="70" w:type="dxa"/>
              <w:right w:w="70" w:type="dxa"/>
            </w:tcMar>
          </w:tcPr>
          <w:p>
            <w:pPr>
              <w:keepNext w:val="0"/>
              <w:keepLines w:val="0"/>
              <w:widowControl/>
              <w:spacing w:line="360" w:lineRule="auto" w:before="0" w:after="0"/>
              <w:ind w:firstLine="0"/>
            </w:pPr>
            <w:r>
              <w:rPr>
                <w:rFonts w:ascii="宋体" w:hAnsi="宋体" w:eastAsia="宋体"/>
                <w:b w:val="0"/>
                <w:color w:val="000000"/>
                <w:sz w:val="24"/>
              </w:rPr>
              <w:t>损坏不显示数值；不升级历史预注册资格。</w:t>
            </w:r>
          </w:p>
        </w:tc>
      </w:tr>
      <w:tr>
        <w:trPr>
          <w:cantSplit/>
        </w:trPr>
        <w:tc>
          <w:tcPr>
            <w:tcW w:type="dxa" w:w="3515"/>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GET /api/version</w:t>
            </w:r>
          </w:p>
        </w:tc>
        <w:tc>
          <w:tcPr>
            <w:tcW w:type="dxa" w:w="2835"/>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版本与源文件身份</w:t>
            </w:r>
          </w:p>
        </w:tc>
        <w:tc>
          <w:tcPr>
            <w:tcW w:type="dxa" w:w="2381"/>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读取版本号、程序文件指纹及三套标准数据哈希，供导出记录绑定。</w:t>
            </w:r>
          </w:p>
        </w:tc>
      </w:tr>
    </w:tbl>
    <w:p>
      <w:pPr>
        <w:widowControl/>
        <w:spacing w:line="360" w:lineRule="auto"/>
      </w:pPr>
      <w:r>
        <w:rPr>
          <w:rFonts w:ascii="宋体" w:hAnsi="宋体" w:eastAsia="宋体" w:cs="宋体"/>
          <w:sz w:val="24"/>
          <w:szCs w:val="24"/>
        </w:rPr>
        <w:t>RunRequest约束ε大于0且不超过4，top_m为10至80，users为1000至20000，attackers为1至3，β为0至0.3。seed用于可复现演示；负值由运行时校验产生明确错误。REST与WebSocket调用同一引擎，但字段错误的表达分别是HTTP校验响应与WebSocket错误帧。</w:t>
      </w:r>
    </w:p>
    <w:p>
      <w:pPr>
        <w:widowControl/>
        <w:spacing w:line="360" w:lineRule="auto"/>
      </w:pPr>
      <w:r>
        <w:rPr>
          <w:rFonts w:ascii="宋体" w:hAnsi="宋体" w:eastAsia="宋体" w:cs="宋体"/>
          <w:sz w:val="24"/>
          <w:szCs w:val="24"/>
        </w:rPr>
        <w:t>流式执行使用工作线程将事件投递给异步队列，主协程依序发送；当前连接逐次处理请求，正常请求以result终结，引擎异常以error终结。WebSocket请求解析失败不会启动工作线程。该行为不表示已经实现任务取消、服务级超时、配额或连接鉴权。</w:t>
      </w:r>
    </w:p>
    <w:p>
      <w:pPr>
        <w:keepNext w:val="0"/>
        <w:spacing w:line="360" w:lineRule="auto" w:after="120" w:before="0"/>
        <w:ind w:firstLine="480"/>
      </w:pPr>
      <w:r>
        <w:rPr>
          <w:rFonts w:ascii="宋体" w:hAnsi="宋体" w:eastAsia="宋体"/>
          <w:b w:val="0"/>
          <w:sz w:val="24"/>
        </w:rPr>
        <w:t>版本接口按相对路径对Python源码、已构建前端、pyproject.toml及requirements.lock计算文件指纹；数据哈希单列。它记录实际服务文件的身份，不覆盖程序包全部载荷，也不是签名或作者权利证明。导出请求版本失败时明确表示未取得身份，不能沿用无关旧值。</w:t>
      </w:r>
    </w:p>
    <w:p>
      <w:pPr>
        <w:keepNext w:val="0"/>
        <w:spacing w:line="360" w:lineRule="auto" w:after="120" w:before="0"/>
        <w:ind w:firstLine="480"/>
      </w:pPr>
      <w:r>
        <w:rPr>
          <w:rFonts w:ascii="宋体" w:hAnsi="宋体" w:eastAsia="宋体"/>
          <w:b w:val="0"/>
          <w:sz w:val="24"/>
        </w:rPr>
        <w:t>后端分别保留合法请求的数值重放、签名与准入事件、决策与离线评价；目标真值只用于评价。账本按当前窗口记录发布预算，演示运行会建立新窗口。跨窗口重复用户的组合预算需要参与管理，当前原型不能仅凭报告数自动确认用户集合不重叠。</w:t>
      </w:r>
    </w:p>
    <w:p>
      <w:pPr>
        <w:pStyle w:val="PEHeading3"/>
        <w:keepNext/>
        <w:keepLines/>
        <w:pageBreakBefore w:val="0"/>
        <w:spacing w:line="360" w:lineRule="auto" w:after="160" w:before="240"/>
        <w:ind w:firstLine="0"/>
        <w:jc w:val="left"/>
      </w:pPr>
      <w:bookmarkStart w:id="1033" w:name="RR_034"/>
      <w:r>
        <w:rPr>
          <w:rFonts w:ascii="宋体" w:hAnsi="宋体" w:eastAsia="宋体"/>
          <w:b/>
          <w:sz w:val="24"/>
        </w:rPr>
        <w:t>2.8.2 运行流程与实现边界</w:t>
      </w:r>
      <w:bookmarkEnd w:id="1033"/>
    </w:p>
    <w:p>
      <w:pPr>
        <w:widowControl/>
        <w:spacing w:line="360" w:lineRule="auto"/>
      </w:pPr>
      <w:r>
        <w:rPr>
          <w:rFonts w:ascii="宋体" w:hAnsi="宋体" w:eastAsia="宋体" w:cs="宋体"/>
          <w:sz w:val="24"/>
          <w:szCs w:val="24"/>
        </w:rPr>
        <w:t>描述性导出保留三组原manifest/results/summary和完整review字节，另存规范摘要，统一simple_average→average、trimmed_frequency→robust_baseline。每次读取核对原始产物、复核产物、独立复算记录和导出摘要指纹，并核方法配对、种子、目标×种子样本数及条件覆盖。导出时间不是实验时间，复核时方案快照不冒充预先冻结。</w:t>
      </w:r>
    </w:p>
    <w:p>
      <w:pPr>
        <w:widowControl/>
        <w:spacing w:line="360" w:lineRule="auto"/>
      </w:pPr>
      <w:r>
        <w:rPr>
          <w:rFonts w:ascii="宋体" w:hAnsi="宋体" w:eastAsia="宋体" w:cs="宋体"/>
          <w:sz w:val="24"/>
          <w:szCs w:val="24"/>
        </w:rPr>
        <w:t>四方法离线工具compare_v1直接构造AdmissionResult并调用decide，只比较统计方案，不经过真实签名、准入和预算登记。描述性结果通过独立入口接入；保留严格预注册绑定入口的空登记，不从历史结果补造预注册哈希。</w:t>
      </w:r>
    </w:p>
    <w:p>
      <w:pPr>
        <w:widowControl/>
        <w:spacing w:line="360" w:lineRule="auto"/>
      </w:pPr>
      <w:r>
        <w:rPr>
          <w:rFonts w:ascii="宋体" w:hAnsi="宋体" w:eastAsia="宋体" w:cs="宋体"/>
          <w:sz w:val="24"/>
          <w:szCs w:val="24"/>
        </w:rPr>
        <w:t>演示引擎按数据集在进程中缓存，并使用同数据集运行锁保护共享状态。账本、源密钥和历史窗口摘要驻留内存，重启会重新建立状态。既有证据接口使用单进程缓存，更新后需要重新加载或重启；独立A8接口每次请求重新读取当前登记，不使用该缓存。</w:t>
      </w:r>
    </w:p>
    <w:p>
      <w:pPr>
        <w:widowControl/>
        <w:spacing w:line="360" w:lineRule="auto"/>
      </w:pPr>
      <w:r>
        <w:rPr>
          <w:rFonts w:ascii="宋体" w:hAnsi="宋体" w:eastAsia="宋体" w:cs="宋体"/>
          <w:sz w:val="24"/>
          <w:szCs w:val="24"/>
        </w:rPr>
        <w:t>前端构建文件由后端同端口托管，修改源码后需要重新生成dist。当前服务是本地演示原型，无登录和生产鉴权；部署使用的TLS、持久化及独立审计没有作为已完成能力报告。静态文件路由限制在dist范围内，已关闭的越界问题由回归测试继续覆盖。</w:t>
      </w:r>
    </w:p>
    <w:p>
      <w:pPr>
        <w:widowControl/>
        <w:spacing w:line="360" w:lineRule="auto"/>
      </w:pPr>
      <w:r>
        <w:rPr>
          <w:rFonts w:ascii="宋体" w:hAnsi="宋体" w:eastAsia="宋体" w:cs="宋体"/>
          <w:sz w:val="24"/>
          <w:szCs w:val="24"/>
        </w:rPr>
        <w:t>实验中心分别展示既有E9/E10/E13/E16/E6运行和E28描述性四方法结果。现场run_id只标识单次演示；描述性结果保留其冻结/种子限制，旧严格绑定入口无登记不代表没有描述性结果。数值与页面均从相同规范摘要读取，前端不重算均值或区间。</w:t>
      </w:r>
    </w:p>
    <w:p>
      <w:pPr>
        <w:widowControl/>
        <w:spacing w:line="360" w:lineRule="auto"/>
      </w:pPr>
      <w:r>
        <w:rPr>
          <w:rFonts w:ascii="宋体" w:hAnsi="宋体" w:eastAsia="宋体" w:cs="宋体"/>
          <w:sz w:val="24"/>
          <w:szCs w:val="24"/>
        </w:rPr>
        <w:t>A8登记表通过哈希绑定预注册与manifest，适配器校验运行完成状态、数据集和种子一致性，并核对原始结果与summary输出哈希。同条件下要求各已完成方法的覆盖、种子和样本数一致；缺失指标为null并附原因，外部鲁棒方法不适配必须给书面说明。登记缺失、证据损坏和部分完成分别显示状态，不用零值掩盖缺口。文件完整性和格式检查不能代替实验方法或统计结论复核。</w:t>
      </w:r>
    </w:p>
    <w:p>
      <w:pPr>
        <w:pStyle w:val="2"/>
        <w:keepNext/>
        <w:keepLines/>
        <w:pageBreakBefore/>
        <w:spacing w:line="360" w:lineRule="auto" w:after="160" w:before="0"/>
        <w:ind w:firstLine="0"/>
        <w:jc w:val="center"/>
      </w:pPr>
      <w:bookmarkStart w:id="1034" w:name="RR_035"/>
      <w:r>
        <w:rPr>
          <w:rFonts w:ascii="宋体" w:hAnsi="宋体" w:eastAsia="宋体"/>
          <w:b/>
          <w:sz w:val="32"/>
        </w:rPr>
        <w:t>第三章 作品测试与分析</w:t>
      </w:r>
      <w:bookmarkEnd w:id="1034"/>
    </w:p>
    <w:p>
      <w:pPr>
        <w:keepNext w:val="0"/>
        <w:spacing w:line="360" w:lineRule="auto" w:after="120" w:before="0"/>
        <w:ind w:firstLine="480"/>
      </w:pPr>
      <w:r>
        <w:rPr>
          <w:rFonts w:ascii="宋体" w:hAnsi="宋体" w:eastAsia="宋体"/>
          <w:b w:val="0"/>
          <w:sz w:val="24"/>
        </w:rPr>
        <w:t>本章回答三个问题：防御相对简单平均及鲁棒适配基线有何收益和代价；支持与权重设计在什么条件下失效；协议和程序是否执行了设计规定的检查。统计结果来自既有登记运行及独立复算，当前程序验证单独报告。单次界面运行不并入五种子统计。</w:t>
      </w:r>
    </w:p>
    <w:p>
      <w:pPr>
        <w:pStyle w:val="PEHeading2"/>
        <w:keepNext/>
        <w:keepLines/>
        <w:pageBreakBefore w:val="0"/>
        <w:spacing w:line="360" w:lineRule="auto" w:after="160" w:before="240"/>
        <w:ind w:firstLine="0"/>
        <w:jc w:val="left"/>
      </w:pPr>
      <w:bookmarkStart w:id="1035" w:name="RR_036"/>
      <w:r>
        <w:rPr>
          <w:rFonts w:ascii="宋体" w:hAnsi="宋体" w:eastAsia="宋体"/>
          <w:b/>
          <w:sz w:val="28"/>
        </w:rPr>
        <w:t>3.1 测试方案</w:t>
      </w:r>
      <w:bookmarkEnd w:id="1035"/>
    </w:p>
    <w:p>
      <w:pPr>
        <w:pStyle w:val="PEHeading3"/>
        <w:keepNext/>
        <w:keepLines/>
        <w:pageBreakBefore w:val="0"/>
        <w:spacing w:line="360" w:lineRule="auto" w:after="160" w:before="240"/>
        <w:ind w:firstLine="0"/>
        <w:jc w:val="left"/>
      </w:pPr>
      <w:bookmarkStart w:id="1036" w:name="RR_037"/>
      <w:r>
        <w:rPr>
          <w:rFonts w:ascii="宋体" w:hAnsi="宋体" w:eastAsia="宋体"/>
          <w:b/>
          <w:sz w:val="24"/>
        </w:rPr>
        <w:t>3.1.1 系统功能与接口测试</w:t>
      </w:r>
      <w:bookmarkEnd w:id="1036"/>
    </w:p>
    <w:p>
      <w:pPr>
        <w:keepNext w:val="0"/>
        <w:widowControl/>
        <w:spacing w:before="0" w:after="100" w:line="360" w:lineRule="auto"/>
        <w:jc w:val="left"/>
        <w:snapToGrid w:val="0"/>
      </w:pPr>
      <w:r>
        <w:rPr>
          <w:rFonts w:ascii="宋体" w:hAnsi="宋体" w:eastAsia="宋体" w:cs="宋体"/>
          <w:b w:val="0"/>
          <w:color w:val="000000"/>
          <w:sz w:val="24"/>
          <w:szCs w:val="24"/>
        </w:rPr>
        <w:t>功能测试覆盖总览、冷启动、攻防实验室、账本审计和实验中心五个页面，检查完整操作流程、三态输出、结果解释、异常提示及恢复能力。接口和核心测试覆盖三套数据与11种运行模式的组合、非法参数、WebSocket 错误处理、账本首条/中间/末条篡改及正常、降级、拒答状态。有效输入应完成对应流程；非法输入应返回可理解的客户端错误或应用错误消息；账本损坏应被发现并触发拒答。</w:t>
      </w:r>
    </w:p>
    <w:p>
      <w:pPr>
        <w:keepNext/>
        <w:spacing w:line="360" w:lineRule="auto" w:after="120" w:before="0"/>
        <w:ind w:firstLine="0"/>
        <w:jc w:val="center"/>
      </w:pPr>
      <w:r>
        <w:rPr>
          <w:rFonts w:ascii="宋体" w:hAnsi="宋体" w:eastAsia="宋体"/>
          <w:b w:val="0"/>
          <w:sz w:val="24"/>
        </w:rPr>
        <w:t>表3-1 系统测试层次与预期行为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572"/>
        <w:gridCol w:w="3260"/>
      </w:tblGrid>
      <w:tr>
        <w:trPr>
          <w:cantSplit/>
          <w:tblHeader/>
        </w:trPr>
        <w:tc>
          <w:tcPr>
            <w:tcW w:type="dxa" w:w="1984"/>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测试层次</w:t>
            </w:r>
          </w:p>
        </w:tc>
        <w:tc>
          <w:tcPr>
            <w:tcW w:type="dxa" w:w="3572"/>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核查内容</w:t>
            </w:r>
          </w:p>
        </w:tc>
        <w:tc>
          <w:tcPr>
            <w:tcW w:type="dxa" w:w="3260"/>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预期行为</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原有回归</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原有核心与接口用例</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已有功能保持通过</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新增接口与核心验收</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三数据集×11模式、非法参数、三态与账本边界</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合法输入完成；非法输入可解释；状态与拒绝原因一致</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五页浏览器操作</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结果展示、空状态、服务不可用、连接中断</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数据与结果身份一致；失败后可恢复或重试</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快速切换</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切换数据集后立即调整目标、用户数并开始</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请求中的数据集和目标属于同一数据集</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证据核对</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数据哈希、CSV统计、跨版本记录、图表口径</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数字可追溯到运行记录，比较口径一致</w:t>
            </w:r>
          </w:p>
        </w:tc>
      </w:tr>
    </w:tbl>
    <w:p>
      <w:pPr>
        <w:pStyle w:val="PEHeading3"/>
        <w:keepNext/>
        <w:keepLines/>
        <w:pageBreakBefore w:val="0"/>
        <w:spacing w:line="360" w:lineRule="auto" w:after="160" w:before="240"/>
        <w:ind w:firstLine="0"/>
        <w:jc w:val="left"/>
      </w:pPr>
      <w:bookmarkStart w:id="1037" w:name="RR_038"/>
      <w:r>
        <w:rPr>
          <w:rFonts w:ascii="宋体" w:hAnsi="宋体" w:eastAsia="宋体"/>
          <w:b/>
          <w:sz w:val="24"/>
        </w:rPr>
        <w:t>3.1.2 算法实验与对照设计</w:t>
      </w:r>
      <w:bookmarkEnd w:id="1037"/>
    </w:p>
    <w:p>
      <w:pPr>
        <w:keepNext w:val="0"/>
        <w:widowControl/>
        <w:spacing w:before="0" w:after="100" w:line="360" w:lineRule="auto"/>
        <w:jc w:val="left"/>
        <w:snapToGrid w:val="0"/>
      </w:pPr>
      <w:r>
        <w:rPr>
          <w:rFonts w:ascii="宋体" w:hAnsi="宋体" w:eastAsia="宋体" w:cs="宋体"/>
          <w:b w:val="0"/>
          <w:color w:val="000000"/>
          <w:sz w:val="24"/>
          <w:szCs w:val="24"/>
        </w:rPr>
        <w:t>正文统计结果采用已有算法实验，经来源核验与独立统计复算保留。E34另执行小规模离线重跑以检查复现入口，不代替原完整算法网格，也不并入下列统计。效用实验采用留一目标设计，每轮只用其他区域的摘要预测目标区域，再用目标真实频率离线评分。安全实验比较不同防御配置下的攻击影响，并保留不满足预注册判定的结果。</w:t>
      </w:r>
    </w:p>
    <w:p>
      <w:pPr>
        <w:keepNext w:val="0"/>
        <w:widowControl/>
        <w:spacing w:before="0" w:after="100" w:line="360" w:lineRule="auto"/>
        <w:jc w:val="left"/>
        <w:snapToGrid w:val="0"/>
      </w:pPr>
      <w:r>
        <w:rPr>
          <w:rFonts w:ascii="宋体" w:hAnsi="宋体" w:eastAsia="宋体" w:cs="宋体"/>
          <w:b w:val="0"/>
          <w:color w:val="000000"/>
          <w:sz w:val="24"/>
          <w:szCs w:val="24"/>
        </w:rPr>
        <w:t>效用主网格为 ε∈{0.5,1,2,4}、发布长度 m∈{10,20,40}，评价 Top-10；源数量实验固定 m=20、ε∈{1,2}，比较3、5与全部源。安全主实验固定每源5,000条、m=20、ε∈{1,2}，覆盖伪造用户与1/2个被攻破发布者。D0 为团队原方差加权方法，D3 为发布端过滤及网关截尾、支持阈值 t=2，D4 在此基础上增加权重封顶 κ=2。当前默认 D4 与旧主线记录的对应关系由证据 E14、E19 的全字段比较验证。非隐私源平均作为参照方法；它使用源分布，不是目标任务准确率的数学上界。</w:t>
      </w:r>
    </w:p>
    <w:p>
      <w:pPr>
        <w:widowControl/>
        <w:spacing w:line="360" w:lineRule="auto" w:before="0" w:after="120"/>
        <w:ind w:firstLine="420"/>
        <w:jc w:val="both"/>
      </w:pPr>
      <w:r>
        <w:rPr>
          <w:rFonts w:ascii="宋体" w:hAnsi="宋体" w:eastAsia="宋体" w:cs="宋体"/>
          <w:b w:val="0"/>
          <w:i w:val="0"/>
          <w:sz w:val="24"/>
          <w:szCs w:val="24"/>
        </w:rPr>
        <w:t>本项目的攻击器对每份伪造报告抽取256个候选哈希种子，统计每个种子的各桶包含多少目标类别，选择目标类别同桶数最多的种子和桶值直接报告，再将伪造报告并入诚实报告。它是MGA风格的有界随机搜索，面向目标集合而非单一指定项，也不保证报告支持全部目标。搜索预算、目标项处理和哈希实现由本项目代码确定，因而不具有全局最优保证，也不是论文代码的逐行复现。实验中的β定义为伪造报告数与诚实报告数之比；若改写成总报告占比，应使用β/(1+β)。</w:t>
      </w:r>
    </w:p>
    <w:p>
      <w:pPr>
        <w:keepNext w:val="0"/>
        <w:spacing w:line="360" w:lineRule="auto" w:after="120" w:before="0"/>
        <w:ind w:firstLine="480"/>
      </w:pPr>
      <w:r>
        <w:rPr>
          <w:rFonts w:ascii="宋体" w:hAnsi="宋体" w:eastAsia="宋体"/>
          <w:b w:val="0"/>
          <w:sz w:val="24"/>
        </w:rPr>
        <w:t>四方法比较把简单平均、无防御方差加权、缺失补零的坐标截尾适配和PrivEdge置于相同数据与攻击条件下。前三种方法共享未筛查摘要；PrivEdge包含发布端筛查与摘要级防御，是整套统计方案比较。对照的完整配置与解释边界见3.4.1。</w:t>
      </w:r>
    </w:p>
    <w:p>
      <w:pPr>
        <w:keepNext w:val="0"/>
        <w:widowControl/>
        <w:spacing w:before="0" w:after="100" w:line="360" w:lineRule="auto"/>
        <w:jc w:val="left"/>
        <w:snapToGrid w:val="0"/>
      </w:pPr>
      <w:r>
        <w:rPr>
          <w:rFonts w:ascii="宋体" w:hAnsi="宋体" w:eastAsia="宋体" w:cs="宋体"/>
          <w:sz w:val="24"/>
          <w:szCs w:val="24"/>
        </w:rPr>
        <w:t>UTILITY_V1 和 SECURITY_V2 使用种子101、211、307、401、503；SECURITY_V4 改用601、709、811、907、1009。后者是在同一数据集、同一攻击族上使用新种子的确认性复验，不能视为新增独立数据集验证。四方法原始运行与复核记录登记为E28，3.4.1报告描述性切片和限制；不称为新种子独立确认性复验。</w:t>
      </w:r>
    </w:p>
    <w:p>
      <w:pPr>
        <w:pStyle w:val="PEHeading3"/>
        <w:keepNext/>
        <w:keepLines/>
        <w:pageBreakBefore w:val="0"/>
        <w:spacing w:line="360" w:lineRule="auto" w:after="160" w:before="240"/>
        <w:ind w:firstLine="0"/>
        <w:jc w:val="left"/>
      </w:pPr>
      <w:bookmarkStart w:id="1038" w:name="RR_039"/>
      <w:r>
        <w:rPr>
          <w:rFonts w:ascii="宋体" w:hAnsi="宋体" w:eastAsia="宋体"/>
          <w:b/>
          <w:sz w:val="24"/>
        </w:rPr>
        <w:t>3.1.3 程序验收与复现范围</w:t>
      </w:r>
      <w:bookmarkEnd w:id="1038"/>
    </w:p>
    <w:p>
      <w:pPr>
        <w:keepNext w:val="0"/>
        <w:spacing w:line="360" w:lineRule="auto" w:after="120" w:before="0"/>
        <w:ind w:firstLine="480"/>
      </w:pPr>
      <w:r>
        <w:rPr>
          <w:rFonts w:ascii="宋体" w:hAnsi="宋体" w:eastAsia="宋体"/>
          <w:b w:val="0"/>
          <w:sz w:val="24"/>
        </w:rPr>
        <w:t>程序验收检查解压完整性、服务启动、五页交互、错误恢复及自动回归。当前程序从新解压目录启动，运行时、依赖和源码路径均须位于程序包内。该检查证明本机解压运行的可行性；最终冻结程序仍需第二台实体电脑验收。历史B候选的macOS与Windows记录保存在工程附件，不能自动转移为新版本结论。</w:t>
      </w:r>
    </w:p>
    <w:p>
      <w:pPr>
        <w:pStyle w:val="PEHeading2"/>
        <w:keepNext/>
        <w:keepLines/>
        <w:pageBreakBefore w:val="0"/>
        <w:spacing w:line="360" w:lineRule="auto" w:after="160" w:before="240"/>
        <w:ind w:firstLine="0"/>
        <w:jc w:val="left"/>
      </w:pPr>
      <w:bookmarkStart w:id="1039" w:name="RR_040"/>
      <w:r>
        <w:rPr>
          <w:rFonts w:ascii="宋体" w:hAnsi="宋体" w:eastAsia="宋体"/>
          <w:b/>
          <w:sz w:val="28"/>
        </w:rPr>
        <w:t>3.2 测试环境</w:t>
      </w:r>
      <w:bookmarkEnd w:id="1039"/>
    </w:p>
    <w:p>
      <w:pPr>
        <w:keepNext w:val="0"/>
        <w:spacing w:line="360" w:lineRule="auto" w:after="120" w:before="0"/>
        <w:ind w:firstLine="480"/>
      </w:pPr>
      <w:r>
        <w:rPr>
          <w:rFonts w:ascii="宋体" w:hAnsi="宋体" w:eastAsia="宋体"/>
          <w:b w:val="0"/>
          <w:sz w:val="24"/>
        </w:rPr>
        <w:t>既有算法运行的manifest记录Windows 11（10.0.26200）、Python 3.12.14与NumPy 2.3.5。原执行者报告处理器为AMD Ryzen 7 9800X3D、内存32 GB；manifest未独立验证物理型号与容量。当前E34在本机Windows x64的新解压目录验收，使用随包隔离Python、锁定依赖和ProVerif 2.05，不调用已安装的Python或Node.js；这一检查仍属于同机验证。</w:t>
      </w:r>
    </w:p>
    <w:p>
      <w:pPr>
        <w:keepNext/>
        <w:spacing w:line="360" w:lineRule="auto" w:after="120" w:before="0"/>
        <w:ind w:firstLine="0"/>
        <w:jc w:val="center"/>
      </w:pPr>
      <w:r>
        <w:rPr>
          <w:rFonts w:ascii="宋体" w:hAnsi="宋体" w:eastAsia="宋体"/>
          <w:b w:val="0"/>
          <w:sz w:val="24"/>
        </w:rPr>
        <w:t>表3-2 统计与当前程序验证环境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464"/>
        <w:gridCol w:w="2664"/>
      </w:tblGrid>
      <w:tr>
        <w:trPr>
          <w:cantSplit/>
          <w:tblHeader/>
        </w:trPr>
        <w:tc>
          <w:tcPr>
            <w:tcW w:type="dxa" w:w="1728"/>
            <w:vAlign w:val="center"/>
            <w:shd w:fill="E7E6E6"/>
            <w:tcMar>
              <w:top w:w="70" w:type="dxa"/>
              <w:bottom w:w="70" w:type="dxa"/>
              <w:left w:w="70" w:type="dxa"/>
              <w:right w:w="70" w:type="dxa"/>
            </w:tcMar>
          </w:tcPr>
          <w:p>
            <w:pPr>
              <w:keepNext/>
              <w:spacing w:line="360" w:lineRule="auto" w:before="0" w:after="0"/>
              <w:ind w:firstLine="0"/>
            </w:pPr>
            <w:r>
              <w:rPr>
                <w:rFonts w:ascii="宋体" w:hAnsi="宋体" w:eastAsia="宋体"/>
                <w:b/>
                <w:sz w:val="24"/>
              </w:rPr>
              <w:t>验证对象</w:t>
            </w:r>
          </w:p>
        </w:tc>
        <w:tc>
          <w:tcPr>
            <w:tcW w:type="dxa" w:w="4464"/>
            <w:vAlign w:val="center"/>
            <w:shd w:fill="E7E6E6"/>
            <w:tcMar>
              <w:top w:w="70" w:type="dxa"/>
              <w:bottom w:w="70" w:type="dxa"/>
              <w:left w:w="70" w:type="dxa"/>
              <w:right w:w="70" w:type="dxa"/>
            </w:tcMar>
          </w:tcPr>
          <w:p>
            <w:pPr>
              <w:keepNext/>
              <w:spacing w:line="360" w:lineRule="auto" w:before="0" w:after="0"/>
              <w:ind w:firstLine="0"/>
            </w:pPr>
            <w:r>
              <w:rPr>
                <w:rFonts w:ascii="宋体" w:hAnsi="宋体" w:eastAsia="宋体"/>
                <w:b/>
                <w:sz w:val="24"/>
              </w:rPr>
              <w:t>环境与范围</w:t>
            </w:r>
          </w:p>
        </w:tc>
        <w:tc>
          <w:tcPr>
            <w:tcW w:type="dxa" w:w="2664"/>
            <w:vAlign w:val="center"/>
            <w:shd w:fill="E7E6E6"/>
            <w:tcMar>
              <w:top w:w="70" w:type="dxa"/>
              <w:bottom w:w="70" w:type="dxa"/>
              <w:left w:w="70" w:type="dxa"/>
              <w:right w:w="70" w:type="dxa"/>
            </w:tcMar>
          </w:tcPr>
          <w:p>
            <w:pPr>
              <w:keepNext/>
              <w:spacing w:line="360" w:lineRule="auto" w:before="0" w:after="0"/>
              <w:ind w:firstLine="0"/>
            </w:pPr>
            <w:r>
              <w:rPr>
                <w:rFonts w:ascii="宋体" w:hAnsi="宋体" w:eastAsia="宋体"/>
                <w:b/>
                <w:sz w:val="24"/>
              </w:rPr>
              <w:t>结论边界</w:t>
            </w:r>
          </w:p>
        </w:tc>
      </w:tr>
      <w:tr>
        <w:trPr>
          <w:cantSplit/>
        </w:trPr>
        <w:tc>
          <w:tcPr>
            <w:tcW w:type="dxa" w:w="1728"/>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登记算法运行</w:t>
            </w:r>
          </w:p>
        </w:tc>
        <w:tc>
          <w:tcPr>
            <w:tcW w:type="dxa" w:w="4464"/>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Windows 11；Python 3.12.14；NumPy 2.3.5。数据、种子、代码指纹由运行manifest记录。</w:t>
            </w:r>
          </w:p>
        </w:tc>
        <w:tc>
          <w:tcPr>
            <w:tcW w:type="dxa" w:w="2664"/>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对应既有数据与攻击网格；本次复算不重新生成报告。</w:t>
            </w:r>
          </w:p>
        </w:tc>
      </w:tr>
      <w:tr>
        <w:trPr>
          <w:cantSplit/>
        </w:trPr>
        <w:tc>
          <w:tcPr>
            <w:tcW w:type="dxa" w:w="1728"/>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当前整合程序</w:t>
            </w:r>
          </w:p>
        </w:tc>
        <w:tc>
          <w:tcPr>
            <w:tcW w:type="dxa" w:w="4464"/>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本机Windows x64；隔离CPython及锁定依赖；现成前端由本地服务托管。</w:t>
            </w:r>
          </w:p>
        </w:tc>
        <w:tc>
          <w:tcPr>
            <w:tcW w:type="dxa" w:w="2664"/>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同机新解压与自动检查；不代表所有设备兼容或真实分布式部署。</w:t>
            </w:r>
          </w:p>
        </w:tc>
      </w:tr>
    </w:tbl>
    <w:p>
      <w:pPr>
        <w:pStyle w:val="PEHeading2"/>
        <w:keepNext/>
        <w:keepLines/>
        <w:pageBreakBefore w:val="0"/>
        <w:spacing w:line="360" w:lineRule="auto" w:after="160" w:before="240"/>
        <w:ind w:firstLine="0"/>
        <w:jc w:val="left"/>
      </w:pPr>
      <w:bookmarkStart w:id="1040" w:name="RR_041"/>
      <w:r>
        <w:rPr>
          <w:rFonts w:ascii="宋体" w:hAnsi="宋体" w:eastAsia="宋体"/>
          <w:b/>
          <w:sz w:val="28"/>
        </w:rPr>
        <w:t>3.3 数据集与评价标准</w:t>
      </w:r>
      <w:bookmarkEnd w:id="1040"/>
    </w:p>
    <w:p>
      <w:pPr>
        <w:keepNext w:val="0"/>
        <w:widowControl/>
        <w:spacing w:before="0" w:after="100" w:line="360" w:lineRule="auto"/>
        <w:jc w:val="left"/>
        <w:snapToGrid w:val="0"/>
      </w:pPr>
      <w:r>
        <w:rPr>
          <w:rFonts w:ascii="宋体" w:hAnsi="宋体" w:eastAsia="宋体" w:cs="宋体"/>
          <w:b w:val="0"/>
          <w:color w:val="000000"/>
          <w:sz w:val="24"/>
          <w:szCs w:val="24"/>
        </w:rPr>
        <w:t>三套数据分别承担主场景、跨域对照与异质性压力测试。本节将数据规模、预处理边界和评价口径分开说明，数据来源及许可记录见附录D。</w:t>
      </w:r>
    </w:p>
    <w:p>
      <w:pPr>
        <w:pStyle w:val="PEHeading3"/>
        <w:keepNext/>
        <w:keepLines/>
        <w:pageBreakBefore w:val="0"/>
        <w:spacing w:line="360" w:lineRule="auto" w:after="160" w:before="240"/>
        <w:ind w:firstLine="0"/>
        <w:jc w:val="left"/>
      </w:pPr>
      <w:bookmarkStart w:id="1041" w:name="RR_042"/>
      <w:r>
        <w:rPr>
          <w:rFonts w:ascii="宋体" w:hAnsi="宋体" w:eastAsia="宋体"/>
          <w:b/>
          <w:sz w:val="24"/>
        </w:rPr>
        <w:t>3.3.1 数据集与预处理</w:t>
      </w:r>
      <w:bookmarkEnd w:id="1041"/>
    </w:p>
    <w:p>
      <w:pPr>
        <w:keepNext/>
        <w:spacing w:line="360" w:lineRule="auto" w:after="120" w:before="0"/>
        <w:ind w:firstLine="0"/>
        <w:jc w:val="center"/>
      </w:pPr>
      <w:r>
        <w:rPr>
          <w:rFonts w:ascii="宋体" w:hAnsi="宋体" w:eastAsia="宋体"/>
          <w:b w:val="0"/>
          <w:sz w:val="24"/>
        </w:rPr>
        <w:t>表3-3 三套标准数据规模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1871"/>
        <w:gridCol w:w="1701"/>
        <w:gridCol w:w="1757"/>
        <w:gridCol w:w="2069"/>
      </w:tblGrid>
      <w:tr>
        <w:trPr>
          <w:cantSplit/>
          <w:tblHeader/>
        </w:trPr>
        <w:tc>
          <w:tcPr>
            <w:tcW w:type="dxa" w:w="1417"/>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数据集</w:t>
            </w:r>
          </w:p>
        </w:tc>
        <w:tc>
          <w:tcPr>
            <w:tcW w:type="dxa" w:w="1871"/>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用途</w:t>
            </w:r>
          </w:p>
        </w:tc>
        <w:tc>
          <w:tcPr>
            <w:tcW w:type="dxa" w:w="1701"/>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目标区域数 / 每轮全部源数</w:t>
            </w:r>
          </w:p>
        </w:tc>
        <w:tc>
          <w:tcPr>
            <w:tcW w:type="dxa" w:w="1757"/>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定义域类别数 / 标准表观察类别数</w:t>
            </w:r>
          </w:p>
        </w:tc>
        <w:tc>
          <w:tcPr>
            <w:tcW w:type="dxa" w:w="2069"/>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标准记录数</w:t>
            </w:r>
          </w:p>
        </w:tc>
      </w:tr>
      <w:tr>
        <w:trPr>
          <w:cantSplit/>
        </w:trPr>
        <w:tc>
          <w:tcPr>
            <w:tcW w:type="dxa" w:w="1417"/>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美团 TRD</w:t>
            </w:r>
          </w:p>
        </w:tc>
        <w:tc>
          <w:tcPr>
            <w:tcW w:type="dxa" w:w="1871"/>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外卖首单代理任务，主场景</w:t>
            </w:r>
          </w:p>
        </w:tc>
        <w:tc>
          <w:tcPr>
            <w:tcW w:type="dxa" w:w="1701"/>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11 / 10</w:t>
            </w:r>
          </w:p>
        </w:tc>
        <w:tc>
          <w:tcPr>
            <w:tcW w:type="dxa" w:w="175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122 / 106</w:t>
            </w:r>
          </w:p>
        </w:tc>
        <w:tc>
          <w:tcPr>
            <w:tcW w:type="dxa" w:w="2069"/>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183,346</w:t>
            </w:r>
          </w:p>
        </w:tc>
      </w:tr>
      <w:tr>
        <w:trPr>
          <w:cantSplit/>
        </w:trPr>
        <w:tc>
          <w:tcPr>
            <w:tcW w:type="dxa" w:w="1417"/>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Olist</w:t>
            </w:r>
          </w:p>
        </w:tc>
        <w:tc>
          <w:tcPr>
            <w:tcW w:type="dxa" w:w="1871"/>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巴西电商跨域对照</w:t>
            </w:r>
          </w:p>
        </w:tc>
        <w:tc>
          <w:tcPr>
            <w:tcW w:type="dxa" w:w="1701"/>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6 / 5</w:t>
            </w:r>
          </w:p>
        </w:tc>
        <w:tc>
          <w:tcPr>
            <w:tcW w:type="dxa" w:w="175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71 / 70</w:t>
            </w:r>
          </w:p>
        </w:tc>
        <w:tc>
          <w:tcPr>
            <w:tcW w:type="dxa" w:w="2069"/>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62,491</w:t>
            </w:r>
          </w:p>
        </w:tc>
      </w:tr>
      <w:tr>
        <w:trPr>
          <w:cantSplit/>
        </w:trPr>
        <w:tc>
          <w:tcPr>
            <w:tcW w:type="dxa" w:w="1417"/>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Massive-STEPS</w:t>
            </w:r>
          </w:p>
        </w:tc>
        <w:tc>
          <w:tcPr>
            <w:tcW w:type="dxa" w:w="1871"/>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城市签到异质性压力测试</w:t>
            </w:r>
          </w:p>
        </w:tc>
        <w:tc>
          <w:tcPr>
            <w:tcW w:type="dxa" w:w="1701"/>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7 / 6</w:t>
            </w:r>
          </w:p>
        </w:tc>
        <w:tc>
          <w:tcPr>
            <w:tcW w:type="dxa" w:w="175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156 / 147</w:t>
            </w:r>
          </w:p>
        </w:tc>
        <w:tc>
          <w:tcPr>
            <w:tcW w:type="dxa" w:w="2069"/>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62,053</w:t>
            </w:r>
          </w:p>
        </w:tc>
      </w:tr>
    </w:tbl>
    <w:p>
      <w:pPr>
        <w:keepNext w:val="0"/>
        <w:widowControl/>
        <w:spacing w:before="0" w:after="100" w:line="360" w:lineRule="auto"/>
        <w:jc w:val="left"/>
        <w:snapToGrid w:val="0"/>
      </w:pPr>
      <w:r>
        <w:rPr>
          <w:rFonts w:ascii="宋体" w:hAnsi="宋体" w:eastAsia="宋体" w:cs="宋体"/>
          <w:b w:val="0"/>
          <w:color w:val="000000"/>
          <w:sz w:val="24"/>
          <w:szCs w:val="24"/>
        </w:rPr>
        <w:t>定义域类别数依据 domain.json，观察类别数依据本包 private_events.csv.gz 去重，两者不应混写。本实验采用完整定义域。每次留出一个目标区域，只读取其他区域的统计摘要进行预测；目标真实频率仅用于离线评分。标准表仅含区域与类别列，本次核验不据此重新证明原始用户去重过程。TRD 的首单规则与 Olist、Massive 的预处理来源须结合原审计及数据许可说明理解。</w:t>
      </w:r>
    </w:p>
    <w:p>
      <w:pPr>
        <w:keepNext w:val="0"/>
        <w:widowControl/>
        <w:spacing w:before="0" w:after="100" w:line="360" w:lineRule="auto"/>
        <w:jc w:val="left"/>
        <w:snapToGrid w:val="0"/>
      </w:pPr>
      <w:r>
        <w:rPr>
          <w:rFonts w:ascii="宋体" w:hAnsi="宋体" w:eastAsia="宋体" w:cs="宋体"/>
          <w:b w:val="0"/>
          <w:color w:val="000000"/>
          <w:sz w:val="24"/>
          <w:szCs w:val="24"/>
        </w:rPr>
        <w:t>每源抽样 5,000 条标准记录，三套数据的全部源均满足这一数量。目标数分别为 11、6、7，每个固定条件对应 55、30、35 次“目标×种子”运行。</w:t>
      </w:r>
    </w:p>
    <w:p>
      <w:pPr>
        <w:pStyle w:val="PEHeading3"/>
        <w:keepNext/>
        <w:keepLines/>
        <w:pageBreakBefore w:val="0"/>
        <w:spacing w:line="360" w:lineRule="auto" w:after="160" w:before="240"/>
        <w:ind w:firstLine="0"/>
        <w:jc w:val="left"/>
      </w:pPr>
      <w:bookmarkStart w:id="1042" w:name="RR_043"/>
      <w:r>
        <w:rPr>
          <w:rFonts w:ascii="宋体" w:hAnsi="宋体" w:eastAsia="宋体"/>
          <w:b/>
          <w:sz w:val="24"/>
        </w:rPr>
        <w:t>3.3.2 指标与统计方法</w:t>
      </w:r>
      <w:bookmarkEnd w:id="1042"/>
    </w:p>
    <w:p>
      <w:pPr>
        <w:keepNext w:val="0"/>
        <w:widowControl/>
        <w:spacing w:before="0" w:after="100" w:line="360" w:lineRule="auto"/>
        <w:jc w:val="left"/>
        <w:snapToGrid w:val="0"/>
      </w:pPr>
      <w:r>
        <w:rPr>
          <w:rFonts w:ascii="宋体" w:hAnsi="宋体" w:eastAsia="宋体" w:cs="宋体"/>
          <w:b w:val="0"/>
          <w:color w:val="000000"/>
          <w:sz w:val="24"/>
          <w:szCs w:val="24"/>
        </w:rPr>
        <w:t>• Recall@10 为预测与目标真实 Top-10 的交集比例；NDCG@10 按目标真实频率评价排序。</w:t>
      </w:r>
    </w:p>
    <w:p>
      <w:pPr>
        <w:keepNext w:val="0"/>
        <w:widowControl/>
        <w:spacing w:before="0" w:after="100" w:line="360" w:lineRule="auto"/>
        <w:jc w:val="left"/>
        <w:snapToGrid w:val="0"/>
      </w:pPr>
      <w:r>
        <w:rPr>
          <w:rFonts w:ascii="宋体" w:hAnsi="宋体" w:eastAsia="宋体" w:cs="宋体"/>
          <w:b w:val="0"/>
          <w:color w:val="000000"/>
          <w:sz w:val="24"/>
          <w:szCs w:val="24"/>
        </w:rPr>
        <w:t>• AS 为3个攻击目标类别进入预测 Top-10 的比例，范围为0至1，不等同于“每次请求是否至少命中一个”的二元成功率。</w:t>
      </w:r>
    </w:p>
    <w:p>
      <w:pPr>
        <w:keepNext w:val="0"/>
        <w:widowControl/>
        <w:spacing w:before="0" w:after="100" w:line="360" w:lineRule="auto"/>
        <w:jc w:val="left"/>
        <w:snapToGrid w:val="0"/>
      </w:pPr>
      <w:r>
        <w:rPr>
          <w:rFonts w:ascii="宋体" w:hAnsi="宋体" w:eastAsia="宋体" w:cs="宋体"/>
          <w:b w:val="0"/>
          <w:color w:val="000000"/>
          <w:sz w:val="24"/>
          <w:szCs w:val="24"/>
        </w:rPr>
        <w:t>• 先在同一目标内对5个种子取均值，再对目标等权平均。方法差异以同一目标配对，使用 NumPy seed=0、2,000次目标级有放回抽样得到95%区间。目标数仅6至11且留一实验共享源，区间描述当前目标集合的重采样不确定性，不代表任意城市总体的独立随机抽样推断。</w:t>
      </w:r>
    </w:p>
    <w:p>
      <w:pPr>
        <w:keepNext w:val="0"/>
        <w:widowControl/>
        <w:spacing w:before="0" w:after="100" w:line="360" w:lineRule="auto"/>
        <w:jc w:val="left"/>
        <w:snapToGrid w:val="0"/>
      </w:pPr>
      <w:r>
        <w:rPr>
          <w:rFonts w:ascii="宋体" w:hAnsi="宋体" w:eastAsia="宋体" w:cs="宋体"/>
          <w:b w:val="0"/>
          <w:color w:val="000000"/>
          <w:sz w:val="24"/>
          <w:szCs w:val="24"/>
        </w:rPr>
        <w:t>• 效用实验中 REFUSED 请求按 Recall=NDCG=0纳入总体指标，同时另报拒答率。只看已回答请求会产生选择偏差。</w:t>
      </w:r>
    </w:p>
    <w:p>
      <w:pPr>
        <w:keepNext w:val="0"/>
        <w:widowControl/>
        <w:spacing w:before="0" w:after="100" w:line="360" w:lineRule="auto"/>
        <w:jc w:val="left"/>
        <w:snapToGrid w:val="0"/>
      </w:pPr>
      <w:r>
        <w:rPr>
          <w:rFonts w:ascii="宋体" w:hAnsi="宋体" w:eastAsia="宋体" w:cs="宋体"/>
          <w:b w:val="0"/>
          <w:color w:val="000000"/>
          <w:sz w:val="24"/>
          <w:szCs w:val="24"/>
        </w:rPr>
        <w:t>• 候选覆盖上界基于原始摘要候选并集，不能当作经过支持筛选后的实际准确率。</w:t>
      </w:r>
    </w:p>
    <w:p>
      <w:pPr>
        <w:pStyle w:val="PEHeading2"/>
        <w:keepNext/>
        <w:keepLines/>
        <w:pageBreakBefore w:val="0"/>
        <w:spacing w:line="360" w:lineRule="auto" w:after="160" w:before="240"/>
        <w:ind w:firstLine="0"/>
        <w:jc w:val="left"/>
      </w:pPr>
      <w:bookmarkStart w:id="1043" w:name="RR_044"/>
      <w:r>
        <w:rPr>
          <w:rFonts w:ascii="宋体" w:hAnsi="宋体" w:eastAsia="宋体"/>
          <w:b/>
          <w:sz w:val="28"/>
        </w:rPr>
        <w:t>3.4 结果展示与分析</w:t>
      </w:r>
      <w:bookmarkEnd w:id="1043"/>
    </w:p>
    <w:p>
      <w:pPr>
        <w:pStyle w:val="PEHeading3"/>
        <w:keepNext/>
        <w:keepLines/>
        <w:pageBreakBefore w:val="0"/>
        <w:spacing w:line="360" w:lineRule="auto" w:after="160" w:before="240"/>
        <w:ind w:firstLine="0"/>
        <w:jc w:val="left"/>
      </w:pPr>
      <w:bookmarkStart w:id="1044" w:name="RR_045"/>
      <w:r>
        <w:rPr>
          <w:rFonts w:ascii="宋体" w:hAnsi="宋体" w:eastAsia="宋体"/>
          <w:b/>
          <w:sz w:val="24"/>
        </w:rPr>
        <w:t>3.4.1 四方法描述性对照</w:t>
      </w:r>
      <w:bookmarkEnd w:id="1044"/>
    </w:p>
    <w:p>
      <w:pPr>
        <w:widowControl/>
        <w:spacing w:line="360" w:lineRule="auto"/>
      </w:pPr>
      <w:r>
        <w:rPr>
          <w:rFonts w:ascii="宋体" w:hAnsi="宋体" w:eastAsia="宋体" w:cs="宋体"/>
          <w:sz w:val="24"/>
          <w:szCs w:val="24"/>
        </w:rPr>
        <w:t>四方法比较采用简单平均、无防御方差加权、本地适配的坐标截尾均值和PrivEdge。三组原始运行登记为E28：每源5000条诚实报告、Top-m=20、Top-k=10、ε∈{1,2}、9场景、5种子和全部留一目标，共8640行、216个方法单元。TRD、Olist、Massive分别有11、6、7个目标，每次使用其余10、5、6个来源。攻击目标类别数为3，与留一目标区域数不同。</w:t>
      </w:r>
    </w:p>
    <w:p>
      <w:pPr>
        <w:widowControl/>
        <w:spacing w:line="360" w:lineRule="auto"/>
      </w:pPr>
      <w:r>
        <w:rPr>
          <w:rFonts w:ascii="宋体" w:hAnsi="宋体" w:eastAsia="宋体" w:cs="宋体"/>
          <w:sz w:val="24"/>
          <w:szCs w:val="24"/>
        </w:rPr>
        <w:t>预注册冻结无法独立确认：原manifest未保存方案内容哈希，复核时快照不能证明运行前冻结；101、211、307、401、503曾用于旧实验，不能称为未使用新种子的独立确认。因此以下结果作为描述性比较，不沿用旧review的确认性通过标记，不回填历史manifest。</w:t>
      </w:r>
    </w:p>
    <w:p>
      <w:pPr>
        <w:keepNext w:val="0"/>
        <w:spacing w:line="360" w:lineRule="auto" w:after="120" w:before="0"/>
        <w:ind w:firstLine="480"/>
      </w:pPr>
      <w:r>
        <w:rPr>
          <w:rFonts w:ascii="宋体" w:hAnsi="宋体" w:eastAsia="宋体"/>
          <w:b w:val="0"/>
          <w:sz w:val="24"/>
        </w:rPr>
        <w:t>以下先比较无攻击代价，再比较同一ε下的双源权重劫持。完整两档ε、九场景共216个方法单元保存在描述性证据入口，未展示切片不视为缺失。表内95%经验区间先在目标内平均五个种子，再对目标作2,000次bootstrap；目标共享来源，未作多重比较校正。</w:t>
      </w:r>
    </w:p>
    <w:p>
      <w:pPr>
        <w:keepNext/>
        <w:spacing w:line="360" w:lineRule="auto" w:after="120" w:before="0"/>
        <w:ind w:firstLine="0"/>
        <w:jc w:val="center"/>
      </w:pPr>
      <w:r>
        <w:rPr>
          <w:rFonts w:ascii="宋体" w:hAnsi="宋体" w:eastAsia="宋体"/>
          <w:b w:val="0"/>
          <w:sz w:val="24"/>
        </w:rPr>
        <w:t>表3-4 无攻击对照  ε=2  均值与目标级95%经验区间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05"/>
        <w:gridCol w:w="2205"/>
        <w:gridCol w:w="2205"/>
        <w:gridCol w:w="2205"/>
      </w:tblGrid>
      <w:tr>
        <w:trPr>
          <w:tblHeader/>
          <w:cantSplit/>
        </w:trPr>
        <w:tc>
          <w:tcPr>
            <w:tcW w:type="dxa" w:w="1247"/>
            <w:shd w:fill="E7E6E6"/>
            <w:vAlign w:val="center"/>
            <w:tcMar>
              <w:top w:w="70" w:type="dxa"/>
              <w:bottom w:w="70" w:type="dxa"/>
              <w:left w:w="70" w:type="dxa"/>
              <w:right w:w="70" w:type="dxa"/>
            </w:tcMar>
          </w:tcPr>
          <w:p>
            <w:pPr>
              <w:keepNext/>
              <w:keepLines w:val="0"/>
              <w:widowControl/>
              <w:spacing w:before="0" w:after="0" w:line="360" w:lineRule="auto"/>
              <w:ind w:firstLine="0"/>
            </w:pPr>
            <w:r>
              <w:rPr>
                <w:rFonts w:ascii="宋体" w:hAnsi="宋体" w:eastAsia="宋体"/>
                <w:b/>
                <w:color w:val="000000"/>
                <w:sz w:val="24"/>
              </w:rPr>
              <w:t>数据</w:t>
            </w:r>
          </w:p>
        </w:tc>
        <w:tc>
          <w:tcPr>
            <w:tcW w:type="dxa" w:w="2041"/>
            <w:shd w:fill="E7E6E6"/>
            <w:vAlign w:val="center"/>
            <w:tcMar>
              <w:top w:w="70" w:type="dxa"/>
              <w:bottom w:w="70" w:type="dxa"/>
              <w:left w:w="70" w:type="dxa"/>
              <w:right w:w="70" w:type="dxa"/>
            </w:tcMar>
          </w:tcPr>
          <w:p>
            <w:pPr>
              <w:keepNext/>
              <w:keepLines w:val="0"/>
              <w:widowControl/>
              <w:spacing w:before="0" w:after="0" w:line="360" w:lineRule="auto"/>
              <w:ind w:firstLine="0"/>
            </w:pPr>
            <w:r>
              <w:rPr>
                <w:rFonts w:ascii="宋体" w:hAnsi="宋体" w:eastAsia="宋体"/>
                <w:b/>
                <w:color w:val="000000"/>
                <w:sz w:val="24"/>
              </w:rPr>
              <w:t>方法</w:t>
            </w:r>
          </w:p>
        </w:tc>
        <w:tc>
          <w:tcPr>
            <w:tcW w:type="dxa" w:w="2778"/>
            <w:shd w:fill="E7E6E6"/>
            <w:vAlign w:val="center"/>
            <w:tcMar>
              <w:top w:w="70" w:type="dxa"/>
              <w:bottom w:w="70" w:type="dxa"/>
              <w:left w:w="70" w:type="dxa"/>
              <w:right w:w="70" w:type="dxa"/>
            </w:tcMar>
          </w:tcPr>
          <w:p>
            <w:pPr>
              <w:keepNext/>
              <w:keepLines w:val="0"/>
              <w:widowControl/>
              <w:spacing w:before="0" w:after="0" w:line="360" w:lineRule="auto"/>
              <w:ind w:firstLine="0"/>
            </w:pPr>
            <w:r>
              <w:rPr>
                <w:rFonts w:ascii="宋体" w:hAnsi="宋体" w:eastAsia="宋体"/>
                <w:b/>
                <w:color w:val="000000"/>
                <w:sz w:val="24"/>
              </w:rPr>
              <w:t>NDCG@10</w:t>
            </w:r>
          </w:p>
        </w:tc>
        <w:tc>
          <w:tcPr>
            <w:tcW w:type="dxa" w:w="2778"/>
            <w:shd w:fill="E7E6E6"/>
            <w:vAlign w:val="center"/>
            <w:tcMar>
              <w:top w:w="70" w:type="dxa"/>
              <w:bottom w:w="70" w:type="dxa"/>
              <w:left w:w="70" w:type="dxa"/>
              <w:right w:w="70" w:type="dxa"/>
            </w:tcMar>
          </w:tcPr>
          <w:p>
            <w:pPr>
              <w:keepNext/>
              <w:keepLines w:val="0"/>
              <w:widowControl/>
              <w:spacing w:before="0" w:after="0" w:line="360" w:lineRule="auto"/>
              <w:ind w:firstLine="0"/>
            </w:pPr>
            <w:r>
              <w:rPr>
                <w:rFonts w:ascii="宋体" w:hAnsi="宋体" w:eastAsia="宋体"/>
                <w:b/>
                <w:color w:val="000000"/>
                <w:sz w:val="24"/>
              </w:rPr>
              <w:t>Recall@10</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TRD</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简单平均</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0.9614</w:t>
              <w:br/>
              <w:t>[0.9505, 0.9722]</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0.8145</w:t>
              <w:br/>
              <w:t>[0.7764, 0.8473]</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TRD</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无防御方差加权</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0.9614</w:t>
              <w:br/>
              <w:t>[0.9505, 0.9722]</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0.8145</w:t>
              <w:br/>
              <w:t>[0.7764, 0.8473]</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TRD</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坐标截尾（适配）</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0.9618</w:t>
              <w:br/>
              <w:t>[0.9504, 0.9726]</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0.8109</w:t>
              <w:br/>
              <w:t>[0.7745, 0.8418]</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TRD</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PrivEdge</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0.9613</w:t>
              <w:br/>
              <w:t>[0.9500, 0.9724]</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0.8127</w:t>
              <w:br/>
              <w:t>[0.7745, 0.8455]</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Olist</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简单平均</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0.9598</w:t>
              <w:br/>
              <w:t>[0.9494, 0.9691]</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0.8033</w:t>
              <w:br/>
              <w:t>[0.7767, 0.8300]</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Olist</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无防御方差加权</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0.9599</w:t>
              <w:br/>
              <w:t>[0.9497, 0.9692]</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0.8033</w:t>
              <w:br/>
              <w:t>[0.7767, 0.8300]</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Olist</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坐标截尾（适配）</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0.9569</w:t>
              <w:br/>
              <w:t>[0.9473, 0.9668]</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0.7933</w:t>
              <w:br/>
              <w:t>[0.7633, 0.8200]</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Olist</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PrivEdge</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0.9599</w:t>
              <w:br/>
              <w:t>[0.9497, 0.9692]</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0.8033</w:t>
              <w:br/>
              <w:t>[0.7767, 0.8300]</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Massive</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简单平均</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0.7787</w:t>
              <w:br/>
              <w:t>[0.7464, 0.8106]</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0.6600</w:t>
              <w:br/>
              <w:t>[0.6257, 0.6943]</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Massive</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无防御方差加权</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0.7763</w:t>
              <w:br/>
              <w:t>[0.7451, 0.8075]</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0.6571</w:t>
              <w:br/>
              <w:t>[0.6171, 0.6943]</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Massive</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坐标截尾（适配）</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0.7599</w:t>
              <w:br/>
              <w:t>[0.7132, 0.8030]</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0.6629</w:t>
              <w:br/>
              <w:t>[0.6143, 0.7058]</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Massive</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PrivEdge</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0.7799</w:t>
              <w:br/>
              <w:t>[0.7380, 0.8198]</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0.6571</w:t>
              <w:br/>
              <w:t>[0.6171, 0.6943]</w:t>
            </w:r>
          </w:p>
        </w:tc>
      </w:tr>
    </w:tbl>
    <w:p>
      <w:pPr>
        <w:widowControl/>
        <w:spacing w:line="360" w:lineRule="auto"/>
      </w:pPr>
      <w:r>
        <w:rPr>
          <w:rFonts w:ascii="宋体" w:hAnsi="宋体" w:eastAsia="宋体" w:cs="宋体"/>
          <w:sz w:val="24"/>
          <w:szCs w:val="24"/>
        </w:rPr>
        <w:t>无攻击结果不支持PrivEdge全面优于简单平均的主张。三种基线共享未筛查摘要，PrivEdge额外进行发布端筛查及摘要级防御，因此这是整套统计方案比较，不是只更换一个聚合公式的消融。坐标截尾基线采用Top-m缺失补零、trim=1的本地适配，不继承梯度聚合论文的误差界。</w:t>
      </w:r>
    </w:p>
    <w:p>
      <w:pPr>
        <w:keepNext/>
        <w:spacing w:line="360" w:lineRule="auto" w:after="120" w:before="0"/>
        <w:ind w:firstLine="0"/>
        <w:jc w:val="center"/>
      </w:pPr>
      <w:r>
        <w:rPr>
          <w:rFonts w:ascii="宋体" w:hAnsi="宋体" w:eastAsia="宋体"/>
          <w:b w:val="0"/>
          <w:sz w:val="24"/>
        </w:rPr>
        <w:t>表3-5 双源权重劫持对照  ε=2  均值与目标级95%经验区间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05"/>
        <w:gridCol w:w="2205"/>
        <w:gridCol w:w="2205"/>
        <w:gridCol w:w="2205"/>
      </w:tblGrid>
      <w:tr>
        <w:trPr>
          <w:tblHeader/>
          <w:cantSplit/>
        </w:trPr>
        <w:tc>
          <w:tcPr>
            <w:tcW w:type="dxa" w:w="1247"/>
            <w:shd w:fill="E7E6E6"/>
            <w:vAlign w:val="center"/>
            <w:tcMar>
              <w:top w:w="70" w:type="dxa"/>
              <w:bottom w:w="70" w:type="dxa"/>
              <w:left w:w="70" w:type="dxa"/>
              <w:right w:w="70" w:type="dxa"/>
            </w:tcMar>
          </w:tcPr>
          <w:p>
            <w:pPr>
              <w:keepNext/>
              <w:keepLines w:val="0"/>
              <w:widowControl/>
              <w:spacing w:before="0" w:after="0" w:line="360" w:lineRule="auto"/>
              <w:ind w:firstLine="0"/>
            </w:pPr>
            <w:r>
              <w:rPr>
                <w:rFonts w:ascii="宋体" w:hAnsi="宋体" w:eastAsia="宋体"/>
                <w:b/>
                <w:color w:val="000000"/>
                <w:sz w:val="24"/>
              </w:rPr>
              <w:t>数据</w:t>
            </w:r>
          </w:p>
        </w:tc>
        <w:tc>
          <w:tcPr>
            <w:tcW w:type="dxa" w:w="2041"/>
            <w:shd w:fill="E7E6E6"/>
            <w:vAlign w:val="center"/>
            <w:tcMar>
              <w:top w:w="70" w:type="dxa"/>
              <w:bottom w:w="70" w:type="dxa"/>
              <w:left w:w="70" w:type="dxa"/>
              <w:right w:w="70" w:type="dxa"/>
            </w:tcMar>
          </w:tcPr>
          <w:p>
            <w:pPr>
              <w:keepNext/>
              <w:keepLines w:val="0"/>
              <w:widowControl/>
              <w:spacing w:before="0" w:after="0" w:line="360" w:lineRule="auto"/>
              <w:ind w:firstLine="0"/>
            </w:pPr>
            <w:r>
              <w:rPr>
                <w:rFonts w:ascii="宋体" w:hAnsi="宋体" w:eastAsia="宋体"/>
                <w:b/>
                <w:color w:val="000000"/>
                <w:sz w:val="24"/>
              </w:rPr>
              <w:t>方法</w:t>
            </w:r>
          </w:p>
        </w:tc>
        <w:tc>
          <w:tcPr>
            <w:tcW w:type="dxa" w:w="2778"/>
            <w:shd w:fill="E7E6E6"/>
            <w:vAlign w:val="center"/>
            <w:tcMar>
              <w:top w:w="70" w:type="dxa"/>
              <w:bottom w:w="70" w:type="dxa"/>
              <w:left w:w="70" w:type="dxa"/>
              <w:right w:w="70" w:type="dxa"/>
            </w:tcMar>
          </w:tcPr>
          <w:p>
            <w:pPr>
              <w:keepNext/>
              <w:keepLines w:val="0"/>
              <w:widowControl/>
              <w:spacing w:before="0" w:after="0" w:line="360" w:lineRule="auto"/>
              <w:ind w:firstLine="0"/>
            </w:pPr>
            <w:r>
              <w:rPr>
                <w:rFonts w:ascii="宋体" w:hAnsi="宋体" w:eastAsia="宋体"/>
                <w:b/>
                <w:color w:val="000000"/>
                <w:sz w:val="24"/>
              </w:rPr>
              <w:t>NDCG@10</w:t>
            </w:r>
          </w:p>
        </w:tc>
        <w:tc>
          <w:tcPr>
            <w:tcW w:type="dxa" w:w="2778"/>
            <w:shd w:fill="E7E6E6"/>
            <w:vAlign w:val="center"/>
            <w:tcMar>
              <w:top w:w="70" w:type="dxa"/>
              <w:bottom w:w="70" w:type="dxa"/>
              <w:left w:w="70" w:type="dxa"/>
              <w:right w:w="70" w:type="dxa"/>
            </w:tcMar>
          </w:tcPr>
          <w:p>
            <w:pPr>
              <w:keepNext/>
              <w:keepLines w:val="0"/>
              <w:widowControl/>
              <w:spacing w:before="0" w:after="0" w:line="360" w:lineRule="auto"/>
              <w:ind w:firstLine="0"/>
            </w:pPr>
            <w:r>
              <w:rPr>
                <w:rFonts w:ascii="宋体" w:hAnsi="宋体" w:eastAsia="宋体"/>
                <w:b/>
                <w:color w:val="000000"/>
                <w:sz w:val="24"/>
              </w:rPr>
              <w:t>攻击成功率</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TRD</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简单平均</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0.9449</w:t>
              <w:br/>
              <w:t>[0.9328, 0.9561]</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0.2061</w:t>
              <w:br/>
              <w:t>[0.1394, 0.2667]</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TRD</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无防御方差加权</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0.7102</w:t>
              <w:br/>
              <w:t>[0.6880, 0.7322]</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1.0000</w:t>
              <w:br/>
              <w:t>[1.0000, 1.0000]</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TRD</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坐标截尾（适配）</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0.9608</w:t>
              <w:br/>
              <w:t>[0.9499, 0.9710]</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0.0182</w:t>
              <w:br/>
              <w:t>[0.0000, 0.0364]</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TRD</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PrivEdge</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0.9596</w:t>
              <w:br/>
              <w:t>[0.9483, 0.9699]</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0.0606</w:t>
              <w:br/>
              <w:t>[0.0303, 0.0970]</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Olist</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简单平均</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0.8889</w:t>
              <w:br/>
              <w:t>[0.8640, 0.9125]</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0.6889</w:t>
              <w:br/>
              <w:t>[0.6000, 0.7778]</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Olist</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无防御方差加权</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0.6390</w:t>
              <w:br/>
              <w:t>[0.6057, 0.6692]</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1.0000</w:t>
              <w:br/>
              <w:t>[1.0000, 1.0000]</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Olist</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坐标截尾（适配）</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0.9378</w:t>
              <w:br/>
              <w:t>[0.9238, 0.9507]</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0.1667</w:t>
              <w:br/>
              <w:t>[0.0889, 0.2222]</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Olist</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PrivEdge</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0.9385</w:t>
              <w:br/>
              <w:t>[0.9236, 0.9506]</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0.1889</w:t>
              <w:br/>
              <w:t>[0.1444, 0.2556]</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Massive</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简单平均</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0.7189</w:t>
              <w:br/>
              <w:t>[0.6857, 0.7519]</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1.0000</w:t>
              <w:br/>
              <w:t>[1.0000, 1.0000]</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Massive</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无防御方差加权</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0.4581</w:t>
              <w:br/>
              <w:t>[0.4337, 0.4860]</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1.0000</w:t>
              <w:br/>
              <w:t>[1.0000, 1.0000]</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Massive</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坐标截尾（适配）</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0.7146</w:t>
              <w:br/>
              <w:t>[0.6609, 0.7643]</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1.0000</w:t>
              <w:br/>
              <w:t>[1.0000, 1.0000]</w:t>
            </w:r>
          </w:p>
        </w:tc>
      </w:tr>
      <w:tr>
        <w:trPr>
          <w:cantSplit/>
        </w:trPr>
        <w:tc>
          <w:tcPr>
            <w:tcW w:type="dxa" w:w="1247"/>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Massive</w:t>
            </w:r>
          </w:p>
        </w:tc>
        <w:tc>
          <w:tcPr>
            <w:tcW w:type="dxa" w:w="2041"/>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PrivEdge</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0.7377</w:t>
              <w:br/>
              <w:t>[0.6916, 0.7866]</w:t>
            </w:r>
          </w:p>
        </w:tc>
        <w:tc>
          <w:tcPr>
            <w:tcW w:type="dxa" w:w="2778"/>
            <w:vAlign w:val="center"/>
            <w:tcMar>
              <w:top w:w="70" w:type="dxa"/>
              <w:bottom w:w="70" w:type="dxa"/>
              <w:left w:w="70" w:type="dxa"/>
              <w:right w:w="70" w:type="dxa"/>
            </w:tcMar>
          </w:tcPr>
          <w:p>
            <w:pPr>
              <w:keepNext w:val="0"/>
              <w:keepLines w:val="0"/>
              <w:widowControl/>
              <w:spacing w:before="0" w:after="0" w:line="360" w:lineRule="auto"/>
              <w:ind w:firstLine="0"/>
            </w:pPr>
            <w:r>
              <w:rPr>
                <w:rFonts w:ascii="宋体" w:hAnsi="宋体" w:eastAsia="宋体"/>
                <w:b w:val="0"/>
                <w:color w:val="000000"/>
                <w:sz w:val="24"/>
              </w:rPr>
              <w:t>0.8476</w:t>
              <w:br/>
              <w:t>[0.7905, 0.9048]</w:t>
            </w:r>
          </w:p>
        </w:tc>
      </w:tr>
    </w:tbl>
    <w:p>
      <w:pPr>
        <w:widowControl/>
        <w:spacing w:line="360" w:lineRule="auto"/>
      </w:pPr>
      <w:r>
        <w:rPr>
          <w:rFonts w:ascii="宋体" w:hAnsi="宋体" w:eastAsia="宋体" w:cs="宋体"/>
          <w:sz w:val="24"/>
          <w:szCs w:val="24"/>
        </w:rPr>
        <w:t>Massive双源权重劫持下PrivEdge攻击成功率仍约0.8476；即使排序质量或相对基线有所改善，也不能写成合谋目标已被消除。现有网格中PrivEdge拒答率为0；无拒答不表示预测准确，三种裸基线未实现三态决策，其拒答率标为不适用。β是伪造报告数/诚实报告数，不能直接称总报告占比。</w:t>
      </w:r>
    </w:p>
    <w:p>
      <w:pPr>
        <w:keepNext w:val="0"/>
        <w:spacing w:line="360" w:lineRule="auto" w:after="120" w:before="0"/>
        <w:ind w:firstLine="480"/>
      </w:pPr>
      <w:r>
        <w:rPr>
          <w:rFonts w:ascii="宋体" w:hAnsi="宋体" w:eastAsia="宋体"/>
          <w:b w:val="0"/>
          <w:sz w:val="24"/>
        </w:rPr>
        <w:t>该切片也显示鲁棒适配基线更优的情况。TRD中坐标截尾的AS为0.0182，低于PrivEdge的0.0606，NDCG为0.9608与0.9596；Olist中AS为0.1667与0.1889，PrivEdge的NDCG仅略高（0.9385对0.9378）。因此不能把“防御组件更多”解释成统计指标全面领先。</w:t>
      </w:r>
    </w:p>
    <w:p>
      <w:pPr>
        <w:keepNext w:val="0"/>
        <w:spacing w:line="360" w:lineRule="auto" w:after="120" w:before="0"/>
        <w:ind w:firstLine="480"/>
      </w:pPr>
      <w:r>
        <w:rPr>
          <w:rFonts w:ascii="宋体" w:hAnsi="宋体" w:eastAsia="宋体"/>
          <w:b w:val="0"/>
          <w:sz w:val="24"/>
        </w:rPr>
        <w:t>这些结果支持的结论是：无防御方差加权易受低方差伪报影响，截尾和封顶可以降低部分影响，但支持门槛无法消除达到门槛的合谋。PrivEdge同时实现摘要准入、预算登记和原因输出，属于另一组工程能力；协议能力不能作为统计指标落后的抵销项。该对照直接调用统计决策入口，未执行真实签名或账本登记，协议效果另见3.4.4。</w:t>
      </w:r>
    </w:p>
    <w:p>
      <w:pPr>
        <w:pStyle w:val="PEHeading3"/>
        <w:keepNext/>
        <w:keepLines/>
        <w:pageBreakBefore w:val="0"/>
        <w:spacing w:line="360" w:lineRule="auto" w:after="160" w:before="240"/>
        <w:ind w:firstLine="0"/>
        <w:jc w:val="left"/>
      </w:pPr>
      <w:bookmarkStart w:id="1045" w:name="RR_046"/>
      <w:r>
        <w:rPr>
          <w:rFonts w:ascii="宋体" w:hAnsi="宋体" w:eastAsia="宋体"/>
          <w:b/>
          <w:sz w:val="24"/>
        </w:rPr>
        <w:t>3.4.2 分层防线与权重封顶</w:t>
      </w:r>
      <w:bookmarkEnd w:id="1045"/>
    </w:p>
    <w:p>
      <w:pPr>
        <w:keepNext w:val="0"/>
        <w:spacing w:line="360" w:lineRule="auto" w:after="120" w:before="0"/>
        <w:ind w:firstLine="480"/>
      </w:pPr>
      <w:r>
        <w:rPr>
          <w:rFonts w:ascii="宋体" w:hAnsi="宋体" w:eastAsia="宋体"/>
          <w:b w:val="0"/>
          <w:sz w:val="24"/>
        </w:rPr>
        <w:t>本节进一步区分防御组件。原方差加权（D0）与发布端筛查＋网关截尾及支持门槛（D3）用于观察两层防线；在D3之上增加权重封顶的配置记为D4。下文的配置名只用于对应原运行记录，不代表不同产品版本。</w:t>
      </w:r>
    </w:p>
    <w:p>
      <w:pPr>
        <w:keepNext w:val="0"/>
        <w:widowControl/>
        <w:spacing w:before="0" w:after="100" w:line="360" w:lineRule="auto"/>
        <w:jc w:val="left"/>
        <w:snapToGrid w:val="0"/>
      </w:pPr>
      <w:r>
        <w:rPr>
          <w:rFonts w:ascii="宋体" w:hAnsi="宋体" w:eastAsia="宋体" w:cs="宋体"/>
          <w:b w:val="0"/>
          <w:color w:val="000000"/>
          <w:sz w:val="24"/>
          <w:szCs w:val="24"/>
        </w:rPr>
        <w:t>下表固定ε=1、m=20，列出AS从D0到D3的变化，每个条件使用5个种子及全部留一目标；ε=2的完整表与配对区间保存在附录B的证据E9及本次安全结果复算记录。</w:t>
      </w:r>
    </w:p>
    <w:p>
      <w:pPr>
        <w:keepNext/>
        <w:keepLines/>
        <w:widowControl/>
        <w:spacing w:before="0" w:after="100" w:line="360" w:lineRule="auto"/>
        <w:jc w:val="left"/>
        <w:snapToGrid w:val="0"/>
      </w:pPr>
      <w:r>
        <w:rPr>
          <w:rFonts w:ascii="宋体" w:hAnsi="宋体" w:eastAsia="宋体" w:cs="宋体"/>
          <w:b w:val="0"/>
          <w:color w:val="000000"/>
          <w:sz w:val="24"/>
          <w:szCs w:val="24"/>
        </w:rPr>
        <w:t>表3-6 攻击成功率由D0到D3的变化（E9，ε=1，m=20）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3"/>
        <w:gridCol w:w="2098"/>
        <w:gridCol w:w="2098"/>
        <w:gridCol w:w="2098"/>
      </w:tblGrid>
      <w:tr>
        <w:trPr>
          <w:cantSplit/>
          <w:tblHeader/>
        </w:trPr>
        <w:tc>
          <w:tcPr>
            <w:tcW w:type="dxa" w:w="2523"/>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场景</w:t>
            </w:r>
          </w:p>
        </w:tc>
        <w:tc>
          <w:tcPr>
            <w:tcW w:type="dxa" w:w="2098"/>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TRD</w:t>
            </w:r>
          </w:p>
        </w:tc>
        <w:tc>
          <w:tcPr>
            <w:tcW w:type="dxa" w:w="2098"/>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Olist</w:t>
            </w:r>
          </w:p>
        </w:tc>
        <w:tc>
          <w:tcPr>
            <w:tcW w:type="dxa" w:w="2098"/>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Massive-STEPS</w:t>
            </w:r>
          </w:p>
        </w:tc>
      </w:tr>
      <w:tr>
        <w:trPr>
          <w:cantSplit/>
        </w:trPr>
        <w:tc>
          <w:tcPr>
            <w:tcW w:type="dxa" w:w="2523"/>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1源伪造2%</w:t>
            </w:r>
          </w:p>
        </w:tc>
        <w:tc>
          <w:tcPr>
            <w:tcW w:type="dxa" w:w="2098"/>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0.0303 → 0.0303</w:t>
            </w:r>
          </w:p>
        </w:tc>
        <w:tc>
          <w:tcPr>
            <w:tcW w:type="dxa" w:w="2098"/>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0.0667 → 0.0556</w:t>
            </w:r>
          </w:p>
        </w:tc>
        <w:tc>
          <w:tcPr>
            <w:tcW w:type="dxa" w:w="2098"/>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0.1048 → 0.1048</w:t>
            </w:r>
          </w:p>
        </w:tc>
      </w:tr>
      <w:tr>
        <w:trPr>
          <w:cantSplit/>
        </w:trPr>
        <w:tc>
          <w:tcPr>
            <w:tcW w:type="dxa" w:w="2523"/>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1源伪造5%</w:t>
            </w:r>
          </w:p>
        </w:tc>
        <w:tc>
          <w:tcPr>
            <w:tcW w:type="dxa" w:w="2098"/>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0.2606 → 0.0000</w:t>
            </w:r>
          </w:p>
        </w:tc>
        <w:tc>
          <w:tcPr>
            <w:tcW w:type="dxa" w:w="2098"/>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0.3889 → 0.0000</w:t>
            </w:r>
          </w:p>
        </w:tc>
        <w:tc>
          <w:tcPr>
            <w:tcW w:type="dxa" w:w="2098"/>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0.5905 → 0.0190</w:t>
            </w:r>
          </w:p>
        </w:tc>
      </w:tr>
      <w:tr>
        <w:trPr>
          <w:cantSplit/>
        </w:trPr>
        <w:tc>
          <w:tcPr>
            <w:tcW w:type="dxa" w:w="2523"/>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1源伪造10%</w:t>
            </w:r>
          </w:p>
        </w:tc>
        <w:tc>
          <w:tcPr>
            <w:tcW w:type="dxa" w:w="2098"/>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0.9030 → 0.0000</w:t>
            </w:r>
          </w:p>
        </w:tc>
        <w:tc>
          <w:tcPr>
            <w:tcW w:type="dxa" w:w="2098"/>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0.9778 → 0.0000</w:t>
            </w:r>
          </w:p>
        </w:tc>
        <w:tc>
          <w:tcPr>
            <w:tcW w:type="dxa" w:w="2098"/>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1.0000 → 0.0190</w:t>
            </w:r>
          </w:p>
        </w:tc>
      </w:tr>
      <w:tr>
        <w:trPr>
          <w:cantSplit/>
        </w:trPr>
        <w:tc>
          <w:tcPr>
            <w:tcW w:type="dxa" w:w="2523"/>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2源各伪造5%</w:t>
            </w:r>
          </w:p>
        </w:tc>
        <w:tc>
          <w:tcPr>
            <w:tcW w:type="dxa" w:w="2098"/>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0.9030 → 0.0000</w:t>
            </w:r>
          </w:p>
        </w:tc>
        <w:tc>
          <w:tcPr>
            <w:tcW w:type="dxa" w:w="2098"/>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0.9778 → 0.0000</w:t>
            </w:r>
          </w:p>
        </w:tc>
        <w:tc>
          <w:tcPr>
            <w:tcW w:type="dxa" w:w="2098"/>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1.0000 → 0.0190</w:t>
            </w:r>
          </w:p>
        </w:tc>
      </w:tr>
      <w:tr>
        <w:trPr>
          <w:cantSplit/>
        </w:trPr>
        <w:tc>
          <w:tcPr>
            <w:tcW w:type="dxa" w:w="2523"/>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1个被攻破发布者</w:t>
            </w:r>
          </w:p>
        </w:tc>
        <w:tc>
          <w:tcPr>
            <w:tcW w:type="dxa" w:w="2098"/>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0.0909 → 0.0606</w:t>
            </w:r>
          </w:p>
        </w:tc>
        <w:tc>
          <w:tcPr>
            <w:tcW w:type="dxa" w:w="2098"/>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0.1333 → 0.0778</w:t>
            </w:r>
          </w:p>
        </w:tc>
        <w:tc>
          <w:tcPr>
            <w:tcW w:type="dxa" w:w="2098"/>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0.6857 → 0.2190</w:t>
            </w:r>
          </w:p>
        </w:tc>
      </w:tr>
      <w:tr>
        <w:trPr>
          <w:cantSplit/>
        </w:trPr>
        <w:tc>
          <w:tcPr>
            <w:tcW w:type="dxa" w:w="2523"/>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2个被攻破发布者</w:t>
            </w:r>
          </w:p>
        </w:tc>
        <w:tc>
          <w:tcPr>
            <w:tcW w:type="dxa" w:w="2098"/>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0.4727 → 0.3697</w:t>
            </w:r>
          </w:p>
        </w:tc>
        <w:tc>
          <w:tcPr>
            <w:tcW w:type="dxa" w:w="2098"/>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0.9000 → 0.5667</w:t>
            </w:r>
          </w:p>
        </w:tc>
        <w:tc>
          <w:tcPr>
            <w:tcW w:type="dxa" w:w="2098"/>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1.0000 → 0.9810</w:t>
            </w:r>
          </w:p>
        </w:tc>
      </w:tr>
    </w:tbl>
    <w:p>
      <w:pPr>
        <w:keepNext w:val="0"/>
        <w:widowControl/>
        <w:spacing w:before="0" w:after="100" w:line="360" w:lineRule="auto"/>
        <w:jc w:val="left"/>
        <w:snapToGrid w:val="0"/>
      </w:pPr>
      <w:r>
        <w:rPr>
          <w:rFonts w:ascii="宋体" w:hAnsi="宋体" w:eastAsia="宋体" w:cs="宋体"/>
          <w:b w:val="0"/>
          <w:color w:val="000000"/>
          <w:sz w:val="24"/>
          <w:szCs w:val="24"/>
        </w:rPr>
        <w:t>三套数据的预注册“全部攻击单元显著降低AS”均未完全满足：Massive 9/12、Olist 8/12、TRD 8/12。以基线AS≥0.1筛出的26个单元中24个差值区间上界低于0，是结果后分层描述，不应替代预注册判定。所测伪造比例≥5%的MGA场景中，防御后AS最高0.0190；这一结论限定为现有攻击生成器、数据及参数。弱攻击和两源合谋保留明显残余风险。</w:t>
      </w:r>
    </w:p>
    <w:p>
      <w:pPr>
        <w:keepNext w:val="1"/>
        <w:widowControl/>
        <w:spacing w:before="0" w:after="100" w:line="360" w:lineRule="auto"/>
        <w:jc w:val="left"/>
        <w:snapToGrid w:val="0"/>
      </w:pPr>
      <w:r>
        <w:rPr>
          <w:rFonts w:ascii="宋体" w:hAnsi="宋体" w:eastAsia="宋体" w:cs="宋体"/>
          <w:b/>
          <w:color w:val="000000"/>
          <w:sz w:val="24"/>
          <w:szCs w:val="24"/>
        </w:rPr>
        <w:t>权重劫持与确认性复验</w:t>
      </w:r>
    </w:p>
    <w:p>
      <w:pPr>
        <w:keepNext w:val="0"/>
        <w:widowControl/>
        <w:spacing w:before="0" w:after="100" w:line="360" w:lineRule="auto"/>
        <w:jc w:val="left"/>
        <w:snapToGrid w:val="0"/>
      </w:pPr>
      <w:r>
        <w:rPr>
          <w:rFonts w:ascii="宋体" w:hAnsi="宋体" w:eastAsia="宋体" w:cs="宋体"/>
          <w:b w:val="0"/>
          <w:color w:val="000000"/>
          <w:sz w:val="24"/>
          <w:szCs w:val="24"/>
        </w:rPr>
        <w:t>SECURITY_V3未满足原采用规则，因此保留为探索性证据。随后SECURITY_V4换用5个新种子，检验由V3提出的“在现有场景不回退、恢复单源劫持下排序质量”假设。三套数据各14/14个场景×ε单元满足均值不回退约束，各4/4个单源劫持/降级单元的NDCG配对区间下界高于0。单源场景中D4相对D3的NDCG提升范围为0.0337至0.6505；D4与无攻击D3的平均NDCG差绝对值小于0.09。由于复用原数据与攻击族，新种子结果不能证明对未见数据分布和任意自适应攻击的泛化。</w:t>
      </w:r>
    </w:p>
    <w:p>
      <w:pPr>
        <w:keepNext w:val="0"/>
        <w:widowControl/>
        <w:spacing w:before="0" w:after="100" w:line="360" w:lineRule="auto"/>
        <w:jc w:val="left"/>
        <w:snapToGrid w:val="0"/>
      </w:pPr>
      <w:r>
        <w:rPr>
          <w:rFonts w:ascii="宋体" w:hAnsi="宋体" w:eastAsia="宋体" w:cs="宋体"/>
          <w:b w:val="0"/>
          <w:color w:val="000000"/>
          <w:sz w:val="24"/>
          <w:szCs w:val="24"/>
        </w:rPr>
        <w:t>t=2的支持保证只覆盖f&lt;2且注入类别未被任何诚实源发布的情形；它不保证已有类别排序不受影响。当f=2时，ε=1的两源权重劫持AS仍可达到0.93至1.00，权重封顶主要保护排序效用。</w:t>
      </w:r>
    </w:p>
    <w:p>
      <w:pPr>
        <w:keepNext w:val="0"/>
        <w:widowControl/>
        <w:spacing w:before="0" w:after="100" w:line="360" w:lineRule="auto"/>
        <w:jc w:val="left"/>
        <w:snapToGrid w:val="0"/>
      </w:pPr>
      <w:r>
        <w:rPr>
          <w:rFonts w:ascii="宋体" w:hAnsi="宋体" w:eastAsia="宋体" w:cs="宋体"/>
          <w:b w:val="0"/>
          <w:color w:val="000000"/>
          <w:sz w:val="24"/>
          <w:szCs w:val="24"/>
        </w:rPr>
        <w:t>Windows功能巡检还保留一个单次失效示例：Olist的RJ@W2018目标，在ε=1、m=20、每源请求2,000、种子20260929下，权重劫持及“权重劫持＋扣下真实热门”两项PrivEdge的AS均为1.00，NDCG分别为0.805、0.681。该记录表明排序效用改善与攻击目标完全消除是不同目标；不能因巡检执行通过或输出NORMAL就写成所有攻击已被防御。这是单一目标和种子的功能样例，不并入上文每源5,000、5种子的统计结果，也不外推为所有条件下的失败（B-W1）。</w:t>
      </w:r>
    </w:p>
    <w:p>
      <w:pPr>
        <w:keepNext/>
        <w:widowControl/>
        <w:spacing w:before="0" w:after="40" w:line="360" w:lineRule="auto"/>
        <w:jc w:val="center"/>
        <w:snapToGrid w:val="0"/>
      </w:pPr>
      <w:r>
        <w:drawing>
          <wp:inline xmlns:a="http://schemas.openxmlformats.org/drawingml/2006/main" xmlns:pic="http://schemas.openxmlformats.org/drawingml/2006/picture">
            <wp:extent cx="5580000" cy="1953237"/>
            <wp:docPr id="7" name="Picture 3"/>
            <wp:cNvGraphicFramePr>
              <a:graphicFrameLocks noChangeAspect="1"/>
            </wp:cNvGraphicFramePr>
            <a:graphic>
              <a:graphicData uri="http://schemas.openxmlformats.org/drawingml/2006/picture">
                <pic:pic>
                  <pic:nvPicPr>
                    <pic:cNvPr id="0" name="fig_security.png"/>
                    <pic:cNvPicPr/>
                  </pic:nvPicPr>
                  <pic:blipFill>
                    <a:blip r:embed="rId14"/>
                    <a:stretch>
                      <a:fillRect/>
                    </a:stretch>
                  </pic:blipFill>
                  <pic:spPr>
                    <a:xfrm>
                      <a:off x="0" y="0"/>
                      <a:ext cx="5580000" cy="1953237"/>
                    </a:xfrm>
                    <a:prstGeom prst="rect"/>
                  </pic:spPr>
                </pic:pic>
              </a:graphicData>
            </a:graphic>
          </wp:inline>
        </w:drawing>
      </w:r>
    </w:p>
    <w:p>
      <w:pPr>
        <w:keepNext w:val="0"/>
        <w:widowControl/>
        <w:spacing w:before="0" w:after="100" w:line="360" w:lineRule="auto"/>
        <w:jc w:val="center"/>
        <w:snapToGrid w:val="0"/>
      </w:pPr>
      <w:r>
        <w:rPr>
          <w:rFonts w:ascii="宋体" w:hAnsi="宋体" w:eastAsia="宋体" w:cs="宋体"/>
          <w:b w:val="0"/>
          <w:color w:val="000000"/>
          <w:sz w:val="24"/>
          <w:szCs w:val="24"/>
        </w:rPr>
        <w:t>图3-1 六类攻击场景的AS（E9，ε=1）</w:t>
      </w:r>
    </w:p>
    <w:p>
      <w:pPr>
        <w:keepNext/>
        <w:widowControl/>
        <w:spacing w:before="0" w:after="40" w:line="360" w:lineRule="auto"/>
        <w:jc w:val="center"/>
        <w:snapToGrid w:val="0"/>
      </w:pPr>
      <w:r>
        <w:drawing>
          <wp:inline xmlns:a="http://schemas.openxmlformats.org/drawingml/2006/main" xmlns:pic="http://schemas.openxmlformats.org/drawingml/2006/picture">
            <wp:extent cx="5580000" cy="1953237"/>
            <wp:docPr id="8" name="Picture 4"/>
            <wp:cNvGraphicFramePr>
              <a:graphicFrameLocks noChangeAspect="1"/>
            </wp:cNvGraphicFramePr>
            <a:graphic>
              <a:graphicData uri="http://schemas.openxmlformats.org/drawingml/2006/picture">
                <pic:pic>
                  <pic:nvPicPr>
                    <pic:cNvPr id="0" name="fig_hijack.png"/>
                    <pic:cNvPicPr/>
                  </pic:nvPicPr>
                  <pic:blipFill>
                    <a:blip r:embed="rId15"/>
                    <a:stretch>
                      <a:fillRect/>
                    </a:stretch>
                  </pic:blipFill>
                  <pic:spPr>
                    <a:xfrm>
                      <a:off x="0" y="0"/>
                      <a:ext cx="5580000" cy="1953237"/>
                    </a:xfrm>
                    <a:prstGeom prst="rect"/>
                  </pic:spPr>
                </pic:pic>
              </a:graphicData>
            </a:graphic>
          </wp:inline>
        </w:drawing>
      </w:r>
    </w:p>
    <w:p>
      <w:pPr>
        <w:keepNext w:val="0"/>
        <w:widowControl/>
        <w:spacing w:before="0" w:after="100" w:line="360" w:lineRule="auto"/>
        <w:jc w:val="center"/>
        <w:snapToGrid w:val="0"/>
      </w:pPr>
      <w:r>
        <w:rPr>
          <w:rFonts w:ascii="宋体" w:hAnsi="宋体" w:eastAsia="宋体" w:cs="宋体"/>
          <w:b w:val="0"/>
          <w:color w:val="000000"/>
          <w:sz w:val="24"/>
          <w:szCs w:val="24"/>
        </w:rPr>
        <w:t>图3-2 权重劫持的新种子复验（E13，ε=1）</w:t>
      </w:r>
    </w:p>
    <w:p>
      <w:pPr>
        <w:pStyle w:val="PEHeading3"/>
        <w:keepNext/>
        <w:keepLines/>
        <w:pageBreakBefore w:val="0"/>
        <w:spacing w:line="360" w:lineRule="auto" w:after="160" w:before="240"/>
        <w:ind w:firstLine="0"/>
        <w:jc w:val="left"/>
      </w:pPr>
      <w:bookmarkStart w:id="1046" w:name="RR_047"/>
      <w:r>
        <w:rPr>
          <w:rFonts w:ascii="宋体" w:hAnsi="宋体" w:eastAsia="宋体"/>
          <w:b/>
          <w:sz w:val="24"/>
        </w:rPr>
        <w:t>3.4.3 隐私效用与参数敏感性</w:t>
      </w:r>
      <w:bookmarkEnd w:id="1046"/>
    </w:p>
    <w:p>
      <w:pPr>
        <w:keepNext w:val="0"/>
        <w:spacing w:line="360" w:lineRule="auto" w:after="120" w:before="0"/>
        <w:ind w:firstLine="480"/>
      </w:pPr>
      <w:r>
        <w:rPr>
          <w:rFonts w:ascii="宋体" w:hAnsi="宋体" w:eastAsia="宋体"/>
          <w:b w:val="0"/>
          <w:sz w:val="24"/>
        </w:rPr>
        <w:t>本节UTILITY_V1与3.4.1的COMPARE_V1是不同运行器。二者都把ε在各自参数网格中的索引写入随机种子序列，但网格分别为[0.5,1,2,4]与[1,2]；因此相同基础种子及相同ε不表示同一扰动实例。表3-7的TRD、ε=2、m=20的Recall为0.8345，表3-4中PrivEdge为0.8127，各自对应原运行，不能跨运行器逐值合并或当作同次结果冲突。</w:t>
      </w:r>
    </w:p>
    <w:p>
      <w:pPr>
        <w:keepNext w:val="0"/>
        <w:widowControl/>
        <w:spacing w:before="0" w:after="100" w:line="360" w:lineRule="auto"/>
        <w:jc w:val="left"/>
        <w:snapToGrid w:val="0"/>
      </w:pPr>
      <w:r>
        <w:rPr>
          <w:rFonts w:ascii="宋体" w:hAnsi="宋体" w:eastAsia="宋体" w:cs="宋体"/>
          <w:b w:val="0"/>
          <w:color w:val="000000"/>
          <w:sz w:val="24"/>
          <w:szCs w:val="24"/>
        </w:rPr>
        <w:t>下表取 m=20、全部源，均为目标级均值。每行5个种子；TRD、Olist、Massive 分别有11、6、7个目标。</w:t>
      </w:r>
    </w:p>
    <w:p>
      <w:pPr>
        <w:keepNext/>
        <w:keepLines/>
        <w:widowControl/>
        <w:spacing w:before="0" w:after="100" w:line="360" w:lineRule="auto"/>
        <w:jc w:val="left"/>
        <w:snapToGrid w:val="0"/>
      </w:pPr>
      <w:r>
        <w:rPr>
          <w:rFonts w:ascii="宋体" w:hAnsi="宋体" w:eastAsia="宋体" w:cs="宋体"/>
          <w:b w:val="0"/>
          <w:color w:val="000000"/>
          <w:sz w:val="24"/>
          <w:szCs w:val="24"/>
        </w:rPr>
        <w:t>表3-7 隐私与效用结果（E10、E14，m=20，全部源）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709"/>
        <w:gridCol w:w="1587"/>
        <w:gridCol w:w="1587"/>
        <w:gridCol w:w="1587"/>
        <w:gridCol w:w="1587"/>
      </w:tblGrid>
      <w:tr>
        <w:trPr>
          <w:cantSplit/>
          <w:tblHeader/>
        </w:trPr>
        <w:tc>
          <w:tcPr>
            <w:tcW w:type="dxa" w:w="1757"/>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数据集</w:t>
            </w:r>
          </w:p>
        </w:tc>
        <w:tc>
          <w:tcPr>
            <w:tcW w:type="dxa" w:w="709"/>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ε</w:t>
            </w:r>
          </w:p>
        </w:tc>
        <w:tc>
          <w:tcPr>
            <w:tcW w:type="dxa" w:w="1587"/>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非隐私 Recall</w:t>
            </w:r>
          </w:p>
        </w:tc>
        <w:tc>
          <w:tcPr>
            <w:tcW w:type="dxa" w:w="1587"/>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方差加权 Recall</w:t>
            </w:r>
          </w:p>
        </w:tc>
        <w:tc>
          <w:tcPr>
            <w:tcW w:type="dxa" w:w="1587"/>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PrivEdge Recall</w:t>
            </w:r>
          </w:p>
        </w:tc>
        <w:tc>
          <w:tcPr>
            <w:tcW w:type="dxa" w:w="1587"/>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PrivEdge NDCG</w:t>
            </w:r>
          </w:p>
        </w:tc>
      </w:tr>
      <w:tr>
        <w:trPr>
          <w:cantSplit/>
        </w:trPr>
        <w:tc>
          <w:tcPr>
            <w:tcW w:type="dxa" w:w="1757"/>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美团 TRD</w:t>
            </w:r>
          </w:p>
        </w:tc>
        <w:tc>
          <w:tcPr>
            <w:tcW w:type="dxa" w:w="709"/>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0.5</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0.8727</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0.4873</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0.4873</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0.7704</w:t>
            </w:r>
          </w:p>
        </w:tc>
      </w:tr>
      <w:tr>
        <w:trPr>
          <w:cantSplit/>
        </w:trPr>
        <w:tc>
          <w:tcPr>
            <w:tcW w:type="dxa" w:w="1757"/>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美团 TRD</w:t>
            </w:r>
          </w:p>
        </w:tc>
        <w:tc>
          <w:tcPr>
            <w:tcW w:type="dxa" w:w="709"/>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1</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0.8727</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0.7600</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0.7600</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0.9356</w:t>
            </w:r>
          </w:p>
        </w:tc>
      </w:tr>
      <w:tr>
        <w:trPr>
          <w:cantSplit/>
        </w:trPr>
        <w:tc>
          <w:tcPr>
            <w:tcW w:type="dxa" w:w="1757"/>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美团 TRD</w:t>
            </w:r>
          </w:p>
        </w:tc>
        <w:tc>
          <w:tcPr>
            <w:tcW w:type="dxa" w:w="709"/>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2</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0.8727</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0.8345</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0.8345</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0.9655</w:t>
            </w:r>
          </w:p>
        </w:tc>
      </w:tr>
      <w:tr>
        <w:trPr>
          <w:cantSplit/>
        </w:trPr>
        <w:tc>
          <w:tcPr>
            <w:tcW w:type="dxa" w:w="1757"/>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美团 TRD</w:t>
            </w:r>
          </w:p>
        </w:tc>
        <w:tc>
          <w:tcPr>
            <w:tcW w:type="dxa" w:w="709"/>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4</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0.8727</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0.8582</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0.8582</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0.9707</w:t>
            </w:r>
          </w:p>
        </w:tc>
      </w:tr>
      <w:tr>
        <w:trPr>
          <w:cantSplit/>
        </w:trPr>
        <w:tc>
          <w:tcPr>
            <w:tcW w:type="dxa" w:w="1757"/>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Olist</w:t>
            </w:r>
          </w:p>
        </w:tc>
        <w:tc>
          <w:tcPr>
            <w:tcW w:type="dxa" w:w="709"/>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0.5</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0.7833</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0.6133</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0.6133</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0.7874</w:t>
            </w:r>
          </w:p>
        </w:tc>
      </w:tr>
      <w:tr>
        <w:trPr>
          <w:cantSplit/>
        </w:trPr>
        <w:tc>
          <w:tcPr>
            <w:tcW w:type="dxa" w:w="1757"/>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Olist</w:t>
            </w:r>
          </w:p>
        </w:tc>
        <w:tc>
          <w:tcPr>
            <w:tcW w:type="dxa" w:w="709"/>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1</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0.7833</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0.7967</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0.7967</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0.9429</w:t>
            </w:r>
          </w:p>
        </w:tc>
      </w:tr>
      <w:tr>
        <w:trPr>
          <w:cantSplit/>
        </w:trPr>
        <w:tc>
          <w:tcPr>
            <w:tcW w:type="dxa" w:w="1757"/>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Olist</w:t>
            </w:r>
          </w:p>
        </w:tc>
        <w:tc>
          <w:tcPr>
            <w:tcW w:type="dxa" w:w="709"/>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2</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0.7833</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0.7867</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0.7867</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0.9605</w:t>
            </w:r>
          </w:p>
        </w:tc>
      </w:tr>
      <w:tr>
        <w:trPr>
          <w:cantSplit/>
        </w:trPr>
        <w:tc>
          <w:tcPr>
            <w:tcW w:type="dxa" w:w="1757"/>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Olist</w:t>
            </w:r>
          </w:p>
        </w:tc>
        <w:tc>
          <w:tcPr>
            <w:tcW w:type="dxa" w:w="709"/>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4</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0.7833</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0.7900</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0.7833</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0.9623</w:t>
            </w:r>
          </w:p>
        </w:tc>
      </w:tr>
      <w:tr>
        <w:trPr>
          <w:cantSplit/>
        </w:trPr>
        <w:tc>
          <w:tcPr>
            <w:tcW w:type="dxa" w:w="1757"/>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Massive-STEPS</w:t>
            </w:r>
          </w:p>
        </w:tc>
        <w:tc>
          <w:tcPr>
            <w:tcW w:type="dxa" w:w="709"/>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0.5</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0.6714</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0.5086</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0.5114</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0.6742</w:t>
            </w:r>
          </w:p>
        </w:tc>
      </w:tr>
      <w:tr>
        <w:trPr>
          <w:cantSplit/>
        </w:trPr>
        <w:tc>
          <w:tcPr>
            <w:tcW w:type="dxa" w:w="1757"/>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Massive-STEPS</w:t>
            </w:r>
          </w:p>
        </w:tc>
        <w:tc>
          <w:tcPr>
            <w:tcW w:type="dxa" w:w="709"/>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1</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0.6714</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0.5657</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0.5657</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0.7278</w:t>
            </w:r>
          </w:p>
        </w:tc>
      </w:tr>
      <w:tr>
        <w:trPr>
          <w:cantSplit/>
        </w:trPr>
        <w:tc>
          <w:tcPr>
            <w:tcW w:type="dxa" w:w="1757"/>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Massive-STEPS</w:t>
            </w:r>
          </w:p>
        </w:tc>
        <w:tc>
          <w:tcPr>
            <w:tcW w:type="dxa" w:w="709"/>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2</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0.6714</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0.6600</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0.6571</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0.7789</w:t>
            </w:r>
          </w:p>
        </w:tc>
      </w:tr>
      <w:tr>
        <w:trPr>
          <w:cantSplit/>
        </w:trPr>
        <w:tc>
          <w:tcPr>
            <w:tcW w:type="dxa" w:w="1757"/>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Massive-STEPS</w:t>
            </w:r>
          </w:p>
        </w:tc>
        <w:tc>
          <w:tcPr>
            <w:tcW w:type="dxa" w:w="709"/>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4</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0.6714</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0.6629</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0.6657</w:t>
            </w:r>
          </w:p>
        </w:tc>
        <w:tc>
          <w:tcPr>
            <w:tcW w:type="dxa" w:w="1587"/>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0.7835</w:t>
            </w:r>
          </w:p>
        </w:tc>
      </w:tr>
    </w:tbl>
    <w:p>
      <w:pPr>
        <w:keepNext w:val="0"/>
        <w:widowControl/>
        <w:spacing w:before="0" w:after="100" w:line="360" w:lineRule="auto"/>
        <w:jc w:val="left"/>
        <w:snapToGrid w:val="0"/>
      </w:pPr>
      <w:r>
        <w:rPr>
          <w:rFonts w:ascii="宋体" w:hAnsi="宋体" w:eastAsia="宋体" w:cs="宋体"/>
          <w:b w:val="0"/>
          <w:color w:val="000000"/>
          <w:sz w:val="24"/>
          <w:szCs w:val="24"/>
        </w:rPr>
        <w:t>TRD 在 ε=2 时 Recall@10 为0.8345，非隐私参照为0.8727；NDCG@10 为0.9655。预注册 U1 将“接近参照”具体定义为 Recall 差的区间下界不低于−0.10：在所测 ε=2和4时三套数据均满足；ε=1时只有Olist满足，Massive与TRD未满足。U2要求相对原方差加权的NDCG差区间下界不低于−0.02，Massive ε=4的区间为[−0.0345,0.0611]，未满足，其余所测ε≥1条件满足。不能将“未检出损失”改写为所有条件均无代价。</w:t>
      </w:r>
    </w:p>
    <w:p>
      <w:pPr>
        <w:keepNext w:val="0"/>
        <w:widowControl/>
        <w:spacing w:before="0" w:after="100" w:line="360" w:lineRule="auto"/>
        <w:jc w:val="left"/>
        <w:snapToGrid w:val="0"/>
      </w:pPr>
      <w:r>
        <w:rPr>
          <w:rFonts w:ascii="宋体" w:hAnsi="宋体" w:eastAsia="宋体" w:cs="宋体"/>
          <w:b w:val="0"/>
          <w:color w:val="000000"/>
          <w:sz w:val="24"/>
          <w:szCs w:val="24"/>
        </w:rPr>
        <w:t>E14 的1,920行 PrivEdge 结果与原效用运行全字段一致，因而上述数字亦适用于登记的封顶配置。该比较没有覆盖任意新增数据或参数。</w:t>
      </w:r>
    </w:p>
    <w:p>
      <w:pPr>
        <w:keepNext/>
        <w:widowControl/>
        <w:spacing w:before="0" w:after="40" w:line="360" w:lineRule="auto"/>
        <w:jc w:val="center"/>
        <w:snapToGrid w:val="0"/>
      </w:pPr>
      <w:r>
        <w:drawing>
          <wp:inline xmlns:a="http://schemas.openxmlformats.org/drawingml/2006/main" xmlns:pic="http://schemas.openxmlformats.org/drawingml/2006/picture">
            <wp:extent cx="5580000" cy="2005313"/>
            <wp:docPr id="5" name="Picture 1"/>
            <wp:cNvGraphicFramePr>
              <a:graphicFrameLocks noChangeAspect="1"/>
            </wp:cNvGraphicFramePr>
            <a:graphic>
              <a:graphicData uri="http://schemas.openxmlformats.org/drawingml/2006/picture">
                <pic:pic>
                  <pic:nvPicPr>
                    <pic:cNvPr id="0" name="fig_utility.png"/>
                    <pic:cNvPicPr/>
                  </pic:nvPicPr>
                  <pic:blipFill>
                    <a:blip r:embed="rId12"/>
                    <a:stretch>
                      <a:fillRect/>
                    </a:stretch>
                  </pic:blipFill>
                  <pic:spPr>
                    <a:xfrm>
                      <a:off x="0" y="0"/>
                      <a:ext cx="5580000" cy="2005313"/>
                    </a:xfrm>
                    <a:prstGeom prst="rect"/>
                  </pic:spPr>
                </pic:pic>
              </a:graphicData>
            </a:graphic>
          </wp:inline>
        </w:drawing>
      </w:r>
    </w:p>
    <w:p>
      <w:pPr>
        <w:keepNext w:val="0"/>
        <w:widowControl/>
        <w:spacing w:before="0" w:after="100" w:line="360" w:lineRule="auto"/>
        <w:jc w:val="center"/>
        <w:snapToGrid w:val="0"/>
      </w:pPr>
      <w:r>
        <w:rPr>
          <w:rFonts w:ascii="宋体" w:hAnsi="宋体" w:eastAsia="宋体" w:cs="宋体"/>
          <w:b w:val="0"/>
          <w:color w:val="000000"/>
          <w:sz w:val="24"/>
          <w:szCs w:val="24"/>
        </w:rPr>
        <w:t>图3-3 隐私与效用曲线（E10、E14，m=20，全部源）</w:t>
      </w:r>
    </w:p>
    <w:p>
      <w:pPr>
        <w:keepNext/>
        <w:keepLines/>
        <w:widowControl/>
        <w:spacing w:before="0" w:after="100" w:line="360" w:lineRule="auto"/>
        <w:jc w:val="left"/>
        <w:snapToGrid w:val="0"/>
      </w:pPr>
      <w:r>
        <w:rPr>
          <w:rFonts w:ascii="宋体" w:hAnsi="宋体" w:eastAsia="宋体" w:cs="宋体"/>
          <w:b w:val="0"/>
          <w:color w:val="000000"/>
          <w:sz w:val="24"/>
          <w:szCs w:val="24"/>
        </w:rPr>
        <w:t>表3-8 发布长度与源数量敏感性（E10，ε=1）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1446"/>
        <w:gridCol w:w="2494"/>
        <w:gridCol w:w="2494"/>
      </w:tblGrid>
      <w:tr>
        <w:trPr>
          <w:cantSplit/>
          <w:tblHeader/>
        </w:trPr>
        <w:tc>
          <w:tcPr>
            <w:tcW w:type="dxa" w:w="2381"/>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数据集与条件</w:t>
            </w:r>
          </w:p>
        </w:tc>
        <w:tc>
          <w:tcPr>
            <w:tcW w:type="dxa" w:w="1446"/>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比较项</w:t>
            </w:r>
          </w:p>
        </w:tc>
        <w:tc>
          <w:tcPr>
            <w:tcW w:type="dxa" w:w="2494"/>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Recall@10（按顺序）</w:t>
            </w:r>
          </w:p>
        </w:tc>
        <w:tc>
          <w:tcPr>
            <w:tcW w:type="dxa" w:w="2494"/>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拒答情况</w:t>
            </w:r>
          </w:p>
        </w:tc>
      </w:tr>
      <w:tr>
        <w:trPr>
          <w:cantSplit/>
        </w:trPr>
        <w:tc>
          <w:tcPr>
            <w:tcW w:type="dxa" w:w="2381"/>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美团 TRD，ε=1，全部源</w:t>
            </w:r>
          </w:p>
        </w:tc>
        <w:tc>
          <w:tcPr>
            <w:tcW w:type="dxa" w:w="1446"/>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m=10/20/40</w:t>
            </w:r>
          </w:p>
        </w:tc>
        <w:tc>
          <w:tcPr>
            <w:tcW w:type="dxa" w:w="2494"/>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0.7255 / 0.7600 / 0.7800</w:t>
            </w:r>
          </w:p>
        </w:tc>
        <w:tc>
          <w:tcPr>
            <w:tcW w:type="dxa" w:w="2494"/>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0.0% / 0.0% / 0.0%</w:t>
            </w:r>
          </w:p>
        </w:tc>
      </w:tr>
      <w:tr>
        <w:trPr>
          <w:cantSplit/>
        </w:trPr>
        <w:tc>
          <w:tcPr>
            <w:tcW w:type="dxa" w:w="2381"/>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美团 TRD，ε=1，m=20</w:t>
            </w:r>
          </w:p>
        </w:tc>
        <w:tc>
          <w:tcPr>
            <w:tcW w:type="dxa" w:w="1446"/>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3/5/全部源</w:t>
            </w:r>
          </w:p>
        </w:tc>
        <w:tc>
          <w:tcPr>
            <w:tcW w:type="dxa" w:w="2494"/>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0.5000 / 0.6691 / 0.7600</w:t>
            </w:r>
          </w:p>
        </w:tc>
        <w:tc>
          <w:tcPr>
            <w:tcW w:type="dxa" w:w="2494"/>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10.9% / 0.0% / 0.0%</w:t>
            </w:r>
          </w:p>
        </w:tc>
      </w:tr>
      <w:tr>
        <w:trPr>
          <w:cantSplit/>
        </w:trPr>
        <w:tc>
          <w:tcPr>
            <w:tcW w:type="dxa" w:w="2381"/>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Massive-STEPS，ε=1，全部源</w:t>
            </w:r>
          </w:p>
        </w:tc>
        <w:tc>
          <w:tcPr>
            <w:tcW w:type="dxa" w:w="1446"/>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m=10/20/40</w:t>
            </w:r>
          </w:p>
        </w:tc>
        <w:tc>
          <w:tcPr>
            <w:tcW w:type="dxa" w:w="2494"/>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0.4743 / 0.5657 / 0.6029</w:t>
            </w:r>
          </w:p>
        </w:tc>
        <w:tc>
          <w:tcPr>
            <w:tcW w:type="dxa" w:w="2494"/>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20.0% / 0.0% / 0.0%</w:t>
            </w:r>
          </w:p>
        </w:tc>
      </w:tr>
      <w:tr>
        <w:trPr>
          <w:cantSplit/>
        </w:trPr>
        <w:tc>
          <w:tcPr>
            <w:tcW w:type="dxa" w:w="2381"/>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Massive-STEPS，ε=1，m=20</w:t>
            </w:r>
          </w:p>
        </w:tc>
        <w:tc>
          <w:tcPr>
            <w:tcW w:type="dxa" w:w="1446"/>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3/5/全部源</w:t>
            </w:r>
          </w:p>
        </w:tc>
        <w:tc>
          <w:tcPr>
            <w:tcW w:type="dxa" w:w="2494"/>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0.3771 / 0.5657 / 0.5657</w:t>
            </w:r>
          </w:p>
        </w:tc>
        <w:tc>
          <w:tcPr>
            <w:tcW w:type="dxa" w:w="2494"/>
            <w:vAlign w:val="center"/>
            <w:tcMar>
              <w:top w:w="70" w:type="dxa"/>
              <w:bottom w:w="70" w:type="dxa"/>
              <w:left w:w="70" w:type="dxa"/>
              <w:right w:w="70" w:type="dxa"/>
            </w:tcMar>
          </w:tcPr>
          <w:p>
            <w:pPr>
              <w:keepNext w:val="0"/>
              <w:keepLines w:val="0"/>
              <w:widowControl/>
              <w:spacing w:before="0" w:after="0" w:line="360" w:lineRule="auto"/>
              <w:ind w:firstLine="0"/>
              <w:jc w:val="center"/>
              <w:snapToGrid w:val="0"/>
            </w:pPr>
            <w:r>
              <w:rPr>
                <w:rFonts w:ascii="宋体" w:hAnsi="宋体" w:eastAsia="宋体" w:cs="宋体"/>
                <w:b w:val="0"/>
                <w:color w:val="000000"/>
                <w:sz w:val="24"/>
              </w:rPr>
              <w:t>22.9% / 0.0% / 0.0%</w:t>
            </w:r>
          </w:p>
        </w:tc>
      </w:tr>
    </w:tbl>
    <w:p>
      <w:pPr>
        <w:keepNext w:val="0"/>
        <w:widowControl/>
        <w:spacing w:before="0" w:after="100" w:line="360" w:lineRule="auto"/>
        <w:jc w:val="left"/>
        <w:snapToGrid w:val="0"/>
      </w:pPr>
      <w:r>
        <w:rPr>
          <w:rFonts w:ascii="宋体" w:hAnsi="宋体" w:eastAsia="宋体" w:cs="宋体"/>
          <w:b w:val="0"/>
          <w:color w:val="000000"/>
          <w:sz w:val="24"/>
          <w:szCs w:val="24"/>
        </w:rPr>
        <w:t>增大 m 可扩大候选覆盖，增加来源在这批数据中总体改善效用；两者都不能保证单次预测更准确。m=40是原型的工程默认，主要依据当前数据中的覆盖与拒答权衡，开销实验则使用m=20，不能直接把其摘要字节数作为m=40的实测结果。</w:t>
      </w:r>
    </w:p>
    <w:p>
      <w:pPr>
        <w:keepNext w:val="0"/>
        <w:widowControl/>
        <w:spacing w:before="0" w:after="100" w:line="360" w:lineRule="auto"/>
        <w:jc w:val="left"/>
        <w:snapToGrid w:val="0"/>
      </w:pPr>
      <w:r>
        <w:rPr>
          <w:rFonts w:ascii="宋体" w:hAnsi="宋体" w:eastAsia="宋体" w:cs="宋体"/>
          <w:b w:val="0"/>
          <w:color w:val="000000"/>
          <w:sz w:val="24"/>
          <w:szCs w:val="24"/>
        </w:rPr>
        <w:t>三态反映输入接纳、来源数量与一致性检查。TRD在ε=0.5、m=40、全部源时，55次输出全部为NORMAL，但Recall仅0.5345，低于非隐私参照0.8727。因此NORMAL不构成预测质量保证；LOW_AGREEMENT阈值0.2未经独立校准，不宜声称状态与真实准确度已被严格校准。</w:t>
      </w:r>
    </w:p>
    <w:p>
      <w:pPr>
        <w:keepNext/>
        <w:widowControl/>
        <w:spacing w:before="0" w:after="40" w:line="360" w:lineRule="auto"/>
        <w:jc w:val="center"/>
        <w:snapToGrid w:val="0"/>
      </w:pPr>
      <w:r>
        <w:drawing>
          <wp:inline xmlns:a="http://schemas.openxmlformats.org/drawingml/2006/main" xmlns:pic="http://schemas.openxmlformats.org/drawingml/2006/picture">
            <wp:extent cx="5580000" cy="2634264"/>
            <wp:docPr id="6" name="Picture 2"/>
            <wp:cNvGraphicFramePr>
              <a:graphicFrameLocks noChangeAspect="1"/>
            </wp:cNvGraphicFramePr>
            <a:graphic>
              <a:graphicData uri="http://schemas.openxmlformats.org/drawingml/2006/picture">
                <pic:pic>
                  <pic:nvPicPr>
                    <pic:cNvPr id="0" name="fig_sensitivity.png"/>
                    <pic:cNvPicPr/>
                  </pic:nvPicPr>
                  <pic:blipFill>
                    <a:blip r:embed="rId13"/>
                    <a:stretch>
                      <a:fillRect/>
                    </a:stretch>
                  </pic:blipFill>
                  <pic:spPr>
                    <a:xfrm>
                      <a:off x="0" y="0"/>
                      <a:ext cx="5580000" cy="2634264"/>
                    </a:xfrm>
                    <a:prstGeom prst="rect"/>
                  </pic:spPr>
                </pic:pic>
              </a:graphicData>
            </a:graphic>
          </wp:inline>
        </w:drawing>
      </w:r>
    </w:p>
    <w:p>
      <w:pPr>
        <w:keepNext w:val="0"/>
        <w:widowControl/>
        <w:spacing w:before="0" w:after="100" w:line="360" w:lineRule="auto"/>
        <w:jc w:val="center"/>
        <w:snapToGrid w:val="0"/>
      </w:pPr>
      <w:r>
        <w:rPr>
          <w:rFonts w:ascii="宋体" w:hAnsi="宋体" w:eastAsia="宋体" w:cs="宋体"/>
          <w:b w:val="0"/>
          <w:color w:val="000000"/>
          <w:sz w:val="24"/>
          <w:szCs w:val="24"/>
        </w:rPr>
        <w:t>图3-4 TRD参数敏感性（E10，拒答计0）</w:t>
      </w:r>
    </w:p>
    <w:p>
      <w:pPr>
        <w:pStyle w:val="PEHeading3"/>
        <w:keepNext/>
        <w:keepLines/>
        <w:pageBreakBefore w:val="0"/>
        <w:spacing w:line="360" w:lineRule="auto" w:after="160" w:before="240"/>
        <w:ind w:firstLine="0"/>
        <w:jc w:val="left"/>
      </w:pPr>
      <w:bookmarkStart w:id="1047" w:name="RR_048"/>
      <w:r>
        <w:rPr>
          <w:rFonts w:ascii="宋体" w:hAnsi="宋体" w:eastAsia="宋体"/>
          <w:b/>
          <w:sz w:val="24"/>
        </w:rPr>
        <w:t>3.4.4 协议异常路径与模型验证</w:t>
      </w:r>
      <w:bookmarkEnd w:id="1047"/>
    </w:p>
    <w:p>
      <w:pPr>
        <w:keepNext w:val="0"/>
        <w:spacing w:line="360" w:lineRule="auto" w:after="120" w:before="0"/>
        <w:ind w:firstLine="480"/>
      </w:pPr>
      <w:r>
        <w:rPr>
          <w:rFonts w:ascii="宋体" w:hAnsi="宋体" w:eastAsia="宋体"/>
          <w:b w:val="0"/>
          <w:sz w:val="24"/>
        </w:rPr>
        <w:t>签名与账本验证针对消息在交换过程中的身份、内容和使用条件。它不识别已签名数值是否诚实，因此与3.4.1、3.4.2的统计攻击实验分开验收。下表列出关键异常及预期处置。</w:t>
      </w:r>
    </w:p>
    <w:p>
      <w:pPr>
        <w:keepNext/>
        <w:spacing w:line="360" w:lineRule="auto" w:after="120" w:before="0"/>
        <w:ind w:firstLine="0"/>
        <w:jc w:val="center"/>
      </w:pPr>
      <w:r>
        <w:rPr>
          <w:rFonts w:ascii="宋体" w:hAnsi="宋体" w:eastAsia="宋体"/>
          <w:b w:val="0"/>
          <w:sz w:val="24"/>
        </w:rPr>
        <w:t>表3-9 协议异常与实现处置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232"/>
        <w:gridCol w:w="4176"/>
      </w:tblGrid>
      <w:tr>
        <w:trPr>
          <w:cantSplit/>
          <w:tblHeader/>
        </w:trPr>
        <w:tc>
          <w:tcPr>
            <w:tcW w:type="dxa" w:w="2448"/>
            <w:vAlign w:val="center"/>
            <w:shd w:fill="E7E6E6"/>
            <w:tcMar>
              <w:top w:w="70" w:type="dxa"/>
              <w:bottom w:w="70" w:type="dxa"/>
              <w:left w:w="70" w:type="dxa"/>
              <w:right w:w="70" w:type="dxa"/>
            </w:tcMar>
          </w:tcPr>
          <w:p>
            <w:pPr>
              <w:keepNext/>
              <w:spacing w:line="360" w:lineRule="auto" w:before="0" w:after="0"/>
              <w:ind w:firstLine="0"/>
            </w:pPr>
            <w:r>
              <w:rPr>
                <w:rFonts w:ascii="宋体" w:hAnsi="宋体" w:eastAsia="宋体"/>
                <w:b/>
                <w:sz w:val="24"/>
              </w:rPr>
              <w:t>异常输入</w:t>
            </w:r>
          </w:p>
        </w:tc>
        <w:tc>
          <w:tcPr>
            <w:tcW w:type="dxa" w:w="2232"/>
            <w:vAlign w:val="center"/>
            <w:shd w:fill="E7E6E6"/>
            <w:tcMar>
              <w:top w:w="70" w:type="dxa"/>
              <w:bottom w:w="70" w:type="dxa"/>
              <w:left w:w="70" w:type="dxa"/>
              <w:right w:w="70" w:type="dxa"/>
            </w:tcMar>
          </w:tcPr>
          <w:p>
            <w:pPr>
              <w:keepNext/>
              <w:spacing w:line="360" w:lineRule="auto" w:before="0" w:after="0"/>
              <w:ind w:firstLine="0"/>
            </w:pPr>
            <w:r>
              <w:rPr>
                <w:rFonts w:ascii="宋体" w:hAnsi="宋体" w:eastAsia="宋体"/>
                <w:b/>
                <w:sz w:val="24"/>
              </w:rPr>
              <w:t>预期行为</w:t>
            </w:r>
          </w:p>
        </w:tc>
        <w:tc>
          <w:tcPr>
            <w:tcW w:type="dxa" w:w="4176"/>
            <w:vAlign w:val="center"/>
            <w:shd w:fill="E7E6E6"/>
            <w:tcMar>
              <w:top w:w="70" w:type="dxa"/>
              <w:bottom w:w="70" w:type="dxa"/>
              <w:left w:w="70" w:type="dxa"/>
              <w:right w:w="70" w:type="dxa"/>
            </w:tcMar>
          </w:tcPr>
          <w:p>
            <w:pPr>
              <w:keepNext/>
              <w:spacing w:line="360" w:lineRule="auto" w:before="0" w:after="0"/>
              <w:ind w:firstLine="0"/>
            </w:pPr>
            <w:r>
              <w:rPr>
                <w:rFonts w:ascii="宋体" w:hAnsi="宋体" w:eastAsia="宋体"/>
                <w:b/>
                <w:sz w:val="24"/>
              </w:rPr>
              <w:t>证据与解释</w:t>
            </w:r>
          </w:p>
        </w:tc>
      </w:tr>
      <w:tr>
        <w:trPr>
          <w:cantSplit/>
        </w:trPr>
        <w:tc>
          <w:tcPr>
            <w:tcW w:type="dxa" w:w="2448"/>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未注册密钥、错误角色或签名</w:t>
            </w:r>
          </w:p>
        </w:tc>
        <w:tc>
          <w:tcPr>
            <w:tcW w:type="dxa" w:w="223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登记或准入拒绝</w:t>
            </w:r>
          </w:p>
        </w:tc>
        <w:tc>
          <w:tcPr>
            <w:tcW w:type="dxa" w:w="4176"/>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注册表与签名回归；不接受冒名登记。</w:t>
            </w:r>
          </w:p>
        </w:tc>
      </w:tr>
      <w:tr>
        <w:trPr>
          <w:cantSplit/>
        </w:trPr>
        <w:tc>
          <w:tcPr>
            <w:tcW w:type="dxa" w:w="2448"/>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旧窗口、类别域不一致</w:t>
            </w:r>
          </w:p>
        </w:tc>
        <w:tc>
          <w:tcPr>
            <w:tcW w:type="dxa" w:w="223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拒收对应摘要</w:t>
            </w:r>
          </w:p>
        </w:tc>
        <w:tc>
          <w:tcPr>
            <w:tcW w:type="dxa" w:w="4176"/>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窗口与域检查；仍允许复用有效窗口摘要。</w:t>
            </w:r>
          </w:p>
        </w:tc>
      </w:tr>
      <w:tr>
        <w:trPr>
          <w:cantSplit/>
        </w:trPr>
        <w:tc>
          <w:tcPr>
            <w:tcW w:type="dxa" w:w="2448"/>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登记摘要与使用内容不一致</w:t>
            </w:r>
          </w:p>
        </w:tc>
        <w:tc>
          <w:tcPr>
            <w:tcW w:type="dxa" w:w="223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拒收对应摘要</w:t>
            </w:r>
          </w:p>
        </w:tc>
        <w:tc>
          <w:tcPr>
            <w:tcW w:type="dxa" w:w="4176"/>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摘要digest绑定；合法密钥也不能绕过该一致性检查。</w:t>
            </w:r>
          </w:p>
        </w:tc>
      </w:tr>
      <w:tr>
        <w:trPr>
          <w:cantSplit/>
        </w:trPr>
        <w:tc>
          <w:tcPr>
            <w:tcW w:type="dxa" w:w="2448"/>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预算超限或非法ε</w:t>
            </w:r>
          </w:p>
        </w:tc>
        <w:tc>
          <w:tcPr>
            <w:tcW w:type="dxa" w:w="223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拒绝登记或输入</w:t>
            </w:r>
          </w:p>
        </w:tc>
        <w:tc>
          <w:tcPr>
            <w:tcW w:type="dxa" w:w="4176"/>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数值回归；不同窗口重复用户仍属部署假设。</w:t>
            </w:r>
          </w:p>
        </w:tc>
      </w:tr>
      <w:tr>
        <w:trPr>
          <w:cantSplit/>
        </w:trPr>
        <w:tc>
          <w:tcPr>
            <w:tcW w:type="dxa" w:w="2448"/>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账本副本首、中、末条损坏</w:t>
            </w:r>
          </w:p>
        </w:tc>
        <w:tc>
          <w:tcPr>
            <w:tcW w:type="dxa" w:w="223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REFUSED并给出链损坏原因</w:t>
            </w:r>
          </w:p>
        </w:tc>
        <w:tc>
          <w:tcPr>
            <w:tcW w:type="dxa" w:w="4176"/>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预测前完整性检查；副本演练不破坏原账本。</w:t>
            </w:r>
          </w:p>
        </w:tc>
      </w:tr>
      <w:tr>
        <w:trPr>
          <w:cantSplit/>
        </w:trPr>
        <w:tc>
          <w:tcPr>
            <w:tcW w:type="dxa" w:w="2448"/>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同源多份有效摘要</w:t>
            </w:r>
          </w:p>
        </w:tc>
        <w:tc>
          <w:tcPr>
            <w:tcW w:type="dxa" w:w="223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拒收该源全部摘要</w:t>
            </w:r>
          </w:p>
        </w:tc>
        <w:tc>
          <w:tcPr>
            <w:tcW w:type="dxa" w:w="4176"/>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剩余来源是否足够由决策层判断，不必然整次拒答。</w:t>
            </w:r>
          </w:p>
        </w:tc>
      </w:tr>
    </w:tbl>
    <w:p>
      <w:pPr>
        <w:keepNext w:val="0"/>
        <w:spacing w:line="360" w:lineRule="auto" w:after="120" w:before="0"/>
        <w:ind w:firstLine="480"/>
      </w:pPr>
      <w:r>
        <w:rPr>
          <w:rFonts w:ascii="宋体" w:hAnsi="宋体" w:eastAsia="宋体"/>
          <w:b w:val="0"/>
          <w:sz w:val="24"/>
        </w:rPr>
        <w:t>随包ProVerif 2.05重跑主模型的Q1—Q5、S1/S2可达性与四个负对照，结果符合预期。删除窗口签名、角色绑定、账本核对或登记前验签后，对应性质受破坏，说明查询并非仅因协议永不接受而成立。模型事件和假设见2.6.3；预算数值、哈希链宿主重写与统计防御仍不由该符号模型覆盖。</w:t>
      </w:r>
    </w:p>
    <w:p>
      <w:pPr>
        <w:pStyle w:val="PEHeading3"/>
        <w:keepNext/>
        <w:keepLines/>
        <w:pageBreakBefore w:val="0"/>
        <w:spacing w:line="360" w:lineRule="auto" w:after="160" w:before="240"/>
        <w:ind w:firstLine="0"/>
        <w:jc w:val="left"/>
      </w:pPr>
      <w:bookmarkStart w:id="1048" w:name="RR_049"/>
      <w:r>
        <w:rPr>
          <w:rFonts w:ascii="宋体" w:hAnsi="宋体" w:eastAsia="宋体"/>
          <w:b/>
          <w:sz w:val="24"/>
        </w:rPr>
        <w:t>3.4.5 当前程序验证</w:t>
      </w:r>
      <w:bookmarkEnd w:id="1048"/>
    </w:p>
    <w:p>
      <w:pPr>
        <w:keepNext w:val="0"/>
        <w:spacing w:line="360" w:lineRule="auto" w:after="120" w:before="0"/>
        <w:ind w:firstLine="480"/>
      </w:pPr>
      <w:r>
        <w:rPr>
          <w:rFonts w:ascii="宋体" w:hAnsi="宋体" w:eastAsia="宋体"/>
          <w:b w:val="0"/>
          <w:sz w:val="24"/>
        </w:rPr>
        <w:t>E34开发目录239项Python测试通过；便携包在新解压目录执行相同239项并通过。前端104项自动检查通过。真实浏览器另完成17组检查，包括引导预设、种子校验与重放、参数携带、三层攻击解释、账本副本拒答、证据显示、数据集切换隔离、遍历中断及实际JSON下载。17组不是104次浏览器测试；真实浏览器下载核查限于无攻击结果导出，其余导出类型由自动检查覆盖。</w:t>
      </w:r>
    </w:p>
    <w:p>
      <w:pPr>
        <w:keepNext w:val="0"/>
        <w:spacing w:line="360" w:lineRule="auto" w:after="120" w:before="0"/>
        <w:ind w:firstLine="480"/>
      </w:pPr>
      <w:r>
        <w:rPr>
          <w:rFonts w:ascii="宋体" w:hAnsi="宋体" w:eastAsia="宋体"/>
          <w:b w:val="0"/>
          <w:sz w:val="24"/>
        </w:rPr>
        <w:t>后端独立核对中，三套标准数据的固定合法请求decision及evaluation与E33一致；无攻击、权重劫持和篡改请求在固定种子下数值重放一致。十种攻击均完成运行，账本副本损坏返回REFUSED及LEDGER_CORRUPTED，原账本不变；三个历史证据接口保持原结果。已有23份预注册文本保留不变，新复现方案单列。</w:t>
      </w:r>
    </w:p>
    <w:p>
      <w:pPr>
        <w:keepNext w:val="0"/>
        <w:spacing w:line="360" w:lineRule="auto" w:after="120" w:before="0"/>
        <w:ind w:firstLine="480"/>
      </w:pPr>
      <w:r>
        <w:rPr>
          <w:rFonts w:ascii="宋体" w:hAnsi="宋体" w:eastAsia="宋体"/>
          <w:b w:val="0"/>
          <w:sz w:val="24"/>
        </w:rPr>
        <w:t>便携包6,064项登记载荷核对一致，442项应用源文件与主体一致，303项受保护原件未变；运行时与依赖确认从包内加载。快速核心复现从每套数据取首个目标与seed=101，覆盖两档ε、九场景和四方法，共216行；独立复核通过。此检查验证小网格能够执行，不是完整8,640行重跑或新增统计结论。形式模型重跑与历史图表重绘另保存新产物，不覆盖原证据。</w:t>
      </w:r>
    </w:p>
    <w:p>
      <w:pPr>
        <w:keepNext w:val="0"/>
        <w:spacing w:line="360" w:lineRule="auto" w:after="120" w:before="0"/>
        <w:ind w:firstLine="480"/>
      </w:pPr>
      <w:r>
        <w:rPr>
          <w:rFonts w:ascii="宋体" w:hAnsi="宋体" w:eastAsia="宋体"/>
          <w:b w:val="0"/>
          <w:sz w:val="24"/>
        </w:rPr>
        <w:t>测试组之间存在重复覆盖，分别报告而不相加为独立样本。极小正ε边界保留3条数值警告，对应用例返回可解释拒答。以上自动检查和本机页面验证不代替最终版本的实体异机验收，也不将文件一致解释为原创权利已确认。</w:t>
      </w:r>
    </w:p>
    <w:p>
      <w:pPr>
        <w:pStyle w:val="PEHeading3"/>
        <w:keepNext/>
        <w:keepLines/>
        <w:pageBreakBefore w:val="0"/>
        <w:spacing w:line="360" w:lineRule="auto" w:after="160" w:before="240"/>
        <w:ind w:firstLine="0"/>
        <w:jc w:val="left"/>
      </w:pPr>
      <w:bookmarkStart w:id="1049" w:name="RR_050"/>
      <w:r>
        <w:rPr>
          <w:rFonts w:ascii="宋体" w:hAnsi="宋体" w:eastAsia="宋体"/>
          <w:b/>
          <w:sz w:val="24"/>
        </w:rPr>
        <w:t>3.4.6 完整应用流程</w:t>
      </w:r>
      <w:bookmarkEnd w:id="1049"/>
    </w:p>
    <w:p>
      <w:pPr>
        <w:keepNext w:val="0"/>
        <w:spacing w:line="360" w:lineRule="auto" w:after="120" w:before="0"/>
        <w:ind w:firstLine="480"/>
      </w:pPr>
      <w:r>
        <w:rPr>
          <w:rFonts w:ascii="宋体" w:hAnsi="宋体" w:eastAsia="宋体"/>
          <w:b w:val="0"/>
          <w:sz w:val="24"/>
        </w:rPr>
        <w:t>程序首页“正常交换”入口带入固定示例：TRD商圈10、ε=2、m=40、每源1,000条、seed=1，运行无攻击预测得到NORMAL；原TRD商圈3、ε=1、m=20、每源5,000条、seed=20260929仍可手动运行，得到DEGRADED并保留LOW_AGREEMENT原因；结果可导出，相同参数可带入攻防页。</w:t>
      </w:r>
    </w:p>
    <w:p>
      <w:pPr>
        <w:keepNext w:val="0"/>
        <w:spacing w:line="360" w:lineRule="auto" w:after="120" w:before="0"/>
        <w:ind w:firstLine="480"/>
      </w:pPr>
      <w:r>
        <w:rPr>
          <w:rFonts w:ascii="宋体" w:hAnsi="宋体" w:eastAsia="宋体"/>
          <w:b w:val="0"/>
          <w:sz w:val="24"/>
        </w:rPr>
        <w:t>一名来源权重劫持时，无防御方差加权的攻击目标入榜比例为3/3，PrivEdge为1/3，结果仍为DEGRADED。随后账本副本演练检测到损坏并拒答，重新核对原账本20条及链头不变；最后在实验中心查看独立的E28历史统计。该流程展示可追溯交换和失败解释，单次攻击收益不扩展成总体优势。</w:t>
      </w:r>
    </w:p>
    <w:p>
      <w:pPr>
        <w:keepNext w:val="0"/>
        <w:spacing w:line="360" w:lineRule="auto" w:after="120" w:before="0"/>
        <w:ind w:firstLine="480"/>
      </w:pPr>
      <w:r>
        <w:rPr>
          <w:rFonts w:ascii="宋体" w:hAnsi="宋体" w:eastAsia="宋体"/>
          <w:b w:val="0"/>
          <w:sz w:val="24"/>
        </w:rPr>
        <w:t>该流程把配置、真实运行、结果解释和来源证据连在一起。第二章五个页面的界面图绑定各自参数及运行记录，仅说明功能能够按所示路径执行。攻击示例即使输出检查通过，也可能有攻击目标进入榜单；用户需同时阅读状态、离线评价和攻击指标。当前验证支持本地演示，不代表真实经营收益。</w:t>
      </w:r>
    </w:p>
    <w:p>
      <w:pPr>
        <w:pStyle w:val="PEHeading3"/>
        <w:keepNext/>
        <w:keepLines/>
        <w:pageBreakBefore w:val="0"/>
        <w:spacing w:line="360" w:lineRule="auto" w:after="160" w:before="240"/>
        <w:ind w:firstLine="0"/>
        <w:jc w:val="left"/>
      </w:pPr>
      <w:bookmarkStart w:id="1050" w:name="RR_051"/>
      <w:r>
        <w:rPr>
          <w:rFonts w:ascii="宋体" w:hAnsi="宋体" w:eastAsia="宋体"/>
          <w:b/>
          <w:sz w:val="24"/>
        </w:rPr>
        <w:t>3.4.7 旧管线通信与计算开销</w:t>
      </w:r>
      <w:bookmarkEnd w:id="1050"/>
    </w:p>
    <w:p>
      <w:pPr>
        <w:keepNext w:val="0"/>
        <w:widowControl/>
        <w:spacing w:before="0" w:after="100" w:line="360" w:lineRule="auto"/>
        <w:jc w:val="left"/>
        <w:snapToGrid w:val="0"/>
      </w:pPr>
      <w:r>
        <w:rPr>
          <w:rFonts w:ascii="宋体" w:hAnsi="宋体" w:eastAsia="宋体" w:cs="宋体"/>
          <w:b w:val="0"/>
          <w:color w:val="000000"/>
          <w:sz w:val="24"/>
          <w:szCs w:val="24"/>
        </w:rPr>
        <w:t>开销记录采用合成Zipf数据、ε=1、m=20、6个源，常规耗时重复5次、验签至少50次，并记录中位耗时，原始CSV仅存汇总值，故本次不能重算重复间方差或置信区间。原运行还包含上下文信封，属于旧管线基准，不能作为当前v2全部实现的最新性能测试。</w:t>
      </w:r>
    </w:p>
    <w:p>
      <w:pPr>
        <w:keepNext/>
        <w:keepLines/>
        <w:widowControl/>
        <w:spacing w:before="0" w:after="100" w:line="360" w:lineRule="auto"/>
        <w:jc w:val="left"/>
        <w:snapToGrid w:val="0"/>
      </w:pPr>
      <w:r>
        <w:rPr>
          <w:rFonts w:ascii="宋体" w:hAnsi="宋体" w:eastAsia="宋体" w:cs="宋体"/>
          <w:b w:val="0"/>
          <w:color w:val="000000"/>
          <w:sz w:val="24"/>
          <w:szCs w:val="24"/>
        </w:rPr>
        <w:t>表3-10 已登记通信与计算开销（E6，ε=1，m=20）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572"/>
        <w:gridCol w:w="3260"/>
      </w:tblGrid>
      <w:tr>
        <w:trPr>
          <w:cantSplit/>
          <w:tblHeader/>
        </w:trPr>
        <w:tc>
          <w:tcPr>
            <w:tcW w:type="dxa" w:w="1984"/>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指标</w:t>
            </w:r>
          </w:p>
        </w:tc>
        <w:tc>
          <w:tcPr>
            <w:tcW w:type="dxa" w:w="3572"/>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存档结果</w:t>
            </w:r>
          </w:p>
        </w:tc>
        <w:tc>
          <w:tcPr>
            <w:tcW w:type="dxa" w:w="3260"/>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解释与边界</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用户扰动</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1.192—1.267 μs/用户</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单机批量向量化，不是手机实测</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发布端总耗时</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5,000用户/71类21.71 ms；100,000用户/500类1,393.57 ms</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包含过滤；不含公网传输</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峰值内存</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最大110.2 MB</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仅所测合成网格</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原始报告体积</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100,000用户时1,200,000 B</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CSV所计二进制报告载荷</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签名摘要信封</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2,291—2,323 B，约2.3 kB</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固定m=20；不含另计上下文信封</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验签</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0.098—0.101 ms</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同机微基准</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6源网关预测</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7.90—8.90 ms</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原基准账本12条；不是大账本或并发容量证明</w:t>
            </w:r>
          </w:p>
        </w:tc>
      </w:tr>
    </w:tbl>
    <w:p>
      <w:pPr>
        <w:keepNext w:val="0"/>
        <w:widowControl/>
        <w:spacing w:before="0" w:after="100" w:line="360" w:lineRule="auto"/>
        <w:jc w:val="left"/>
        <w:snapToGrid w:val="0"/>
      </w:pPr>
      <w:r>
        <w:rPr>
          <w:rFonts w:ascii="宋体" w:hAnsi="宋体" w:eastAsia="宋体" w:cs="宋体"/>
          <w:b w:val="0"/>
          <w:color w:val="000000"/>
          <w:sz w:val="24"/>
          <w:szCs w:val="24"/>
        </w:rPr>
        <w:t>摘要体积在固定发布长度下基本不随用户数增长，支持“从逐用户报告转为固定长度摘要传输”的可行性。不能把该微基准外推为百万并发、移动端时延或持续增长账本的性能保证。</w:t>
      </w:r>
    </w:p>
    <w:p>
      <w:pPr>
        <w:keepNext/>
        <w:widowControl/>
        <w:spacing w:before="0" w:after="40" w:line="360" w:lineRule="auto"/>
        <w:jc w:val="center"/>
        <w:snapToGrid w:val="0"/>
      </w:pPr>
      <w:r>
        <w:drawing>
          <wp:inline xmlns:a="http://schemas.openxmlformats.org/drawingml/2006/main" xmlns:pic="http://schemas.openxmlformats.org/drawingml/2006/picture">
            <wp:extent cx="5580000" cy="2526472"/>
            <wp:docPr id="9" name="Picture 5"/>
            <wp:cNvGraphicFramePr>
              <a:graphicFrameLocks noChangeAspect="1"/>
            </wp:cNvGraphicFramePr>
            <a:graphic>
              <a:graphicData uri="http://schemas.openxmlformats.org/drawingml/2006/picture">
                <pic:pic>
                  <pic:nvPicPr>
                    <pic:cNvPr id="0" name="fig_overhead.png"/>
                    <pic:cNvPicPr/>
                  </pic:nvPicPr>
                  <pic:blipFill>
                    <a:blip r:embed="rId16"/>
                    <a:stretch>
                      <a:fillRect/>
                    </a:stretch>
                  </pic:blipFill>
                  <pic:spPr>
                    <a:xfrm>
                      <a:off x="0" y="0"/>
                      <a:ext cx="5580000" cy="2526472"/>
                    </a:xfrm>
                    <a:prstGeom prst="rect"/>
                  </pic:spPr>
                </pic:pic>
              </a:graphicData>
            </a:graphic>
          </wp:inline>
        </w:drawing>
      </w:r>
    </w:p>
    <w:p>
      <w:pPr>
        <w:keepNext w:val="0"/>
        <w:widowControl/>
        <w:spacing w:before="0" w:after="100" w:line="360" w:lineRule="auto"/>
        <w:jc w:val="center"/>
        <w:snapToGrid w:val="0"/>
      </w:pPr>
      <w:r>
        <w:rPr>
          <w:rFonts w:ascii="宋体" w:hAnsi="宋体" w:eastAsia="宋体" w:cs="宋体"/>
          <w:b w:val="0"/>
          <w:color w:val="000000"/>
          <w:sz w:val="24"/>
          <w:szCs w:val="24"/>
        </w:rPr>
        <w:t>图3-5 已登记通信与开销（E6，m=20，旧管线微基准）</w:t>
      </w:r>
    </w:p>
    <w:p>
      <w:pPr>
        <w:pStyle w:val="2"/>
        <w:keepNext/>
        <w:keepLines/>
        <w:pageBreakBefore/>
        <w:spacing w:line="360" w:lineRule="auto" w:after="160" w:before="0"/>
        <w:ind w:firstLine="0"/>
        <w:jc w:val="center"/>
      </w:pPr>
      <w:bookmarkStart w:id="1051" w:name="RR_052"/>
      <w:r>
        <w:rPr>
          <w:rFonts w:ascii="宋体" w:hAnsi="宋体" w:eastAsia="宋体"/>
          <w:b/>
          <w:sz w:val="32"/>
        </w:rPr>
        <w:t>第四章 创新性说明</w:t>
      </w:r>
      <w:bookmarkEnd w:id="1051"/>
    </w:p>
    <w:p>
      <w:pPr>
        <w:pStyle w:val="PEHeading2"/>
        <w:keepNext/>
        <w:keepLines/>
        <w:pageBreakBefore w:val="0"/>
        <w:spacing w:line="360" w:lineRule="auto" w:after="160" w:before="240"/>
        <w:ind w:firstLine="0"/>
        <w:jc w:val="left"/>
      </w:pPr>
      <w:bookmarkStart w:id="1052" w:name="RR_053"/>
      <w:r>
        <w:rPr>
          <w:rFonts w:ascii="宋体" w:hAnsi="宋体" w:eastAsia="宋体"/>
          <w:b/>
          <w:sz w:val="28"/>
        </w:rPr>
        <w:t>4.1 按可见信息分层的两层抗投毒</w:t>
      </w:r>
      <w:bookmarkEnd w:id="1052"/>
    </w:p>
    <w:p>
      <w:pPr>
        <w:keepNext w:val="0"/>
        <w:spacing w:line="360" w:lineRule="auto" w:after="120" w:before="0"/>
        <w:ind w:firstLine="480"/>
      </w:pPr>
      <w:r>
        <w:rPr>
          <w:rFonts w:ascii="宋体" w:hAnsi="宋体" w:eastAsia="宋体"/>
          <w:b w:val="0"/>
          <w:sz w:val="24"/>
        </w:rPr>
        <w:t>本作品的系统设计起点是两种攻击入口掌握的信息不同。发布端可访问用户级OLH报告，网关只接收每个来源的Top-m摘要。将同一检测器直接搬到网关既没有所需报告，也无法防止持合法密钥的发布者自行编造摘要。PrivEdge据此把报告级筛查与摘要级约束放在不同信任边界。</w:t>
      </w:r>
    </w:p>
    <w:p>
      <w:pPr>
        <w:keepNext w:val="0"/>
        <w:spacing w:line="360" w:lineRule="auto" w:after="120" w:before="0"/>
        <w:ind w:firstLine="480"/>
      </w:pPr>
      <w:r>
        <w:rPr>
          <w:rFonts w:ascii="宋体" w:hAnsi="宋体" w:eastAsia="宋体"/>
          <w:b w:val="0"/>
          <w:sz w:val="24"/>
        </w:rPr>
        <w:t>发布端用共同支持异常筛除疑似伪造报告并重新估计；网关组合多源支持、留一截尾和权重封顶，处理绕过发布端的摘要作恶。两层通过带来源、窗口和预算的摘要接口连接。新增之处在于这一面向稀疏LDP摘要的信息分工和完整实现，不是重新提出OLH、MGA、坐标截尾或相关论文检测器。</w:t>
      </w:r>
    </w:p>
    <w:p>
      <w:pPr>
        <w:keepNext w:val="0"/>
        <w:spacing w:line="360" w:lineRule="auto" w:after="120" w:before="0"/>
        <w:ind w:firstLine="480"/>
      </w:pPr>
      <w:r>
        <w:rPr>
          <w:rFonts w:ascii="宋体" w:hAnsi="宋体" w:eastAsia="宋体"/>
          <w:b w:val="0"/>
          <w:sz w:val="24"/>
        </w:rPr>
        <w:t>证据闭环由3.4.2的报告攻击与来源攻击实验构成：所测TRD单源10%伪造场景中AS从0.9030降至0，权重劫持复验说明只约束频率仍需约束权重。该结论限定于现有攻击族和参数；四方法对照中已有鲁棒适配基线在部分切片更优，不能写成对所有已有方案的优势。</w:t>
      </w:r>
    </w:p>
    <w:p>
      <w:pPr>
        <w:pStyle w:val="PEHeading2"/>
        <w:keepNext/>
        <w:keepLines/>
        <w:pageBreakBefore w:val="0"/>
        <w:spacing w:line="360" w:lineRule="auto" w:after="160" w:before="240"/>
        <w:ind w:firstLine="0"/>
        <w:jc w:val="left"/>
      </w:pPr>
      <w:bookmarkStart w:id="1053" w:name="RR_054"/>
      <w:r>
        <w:rPr>
          <w:rFonts w:ascii="宋体" w:hAnsi="宋体" w:eastAsia="宋体"/>
          <w:b/>
          <w:sz w:val="28"/>
        </w:rPr>
        <w:t>4.2 多源支持与数值影响约束</w:t>
      </w:r>
      <w:bookmarkEnd w:id="1053"/>
    </w:p>
    <w:p>
      <w:pPr>
        <w:keepNext w:val="0"/>
        <w:spacing w:line="360" w:lineRule="auto" w:after="120" w:before="0"/>
        <w:ind w:firstLine="480"/>
      </w:pPr>
      <w:r>
        <w:rPr>
          <w:rFonts w:ascii="宋体" w:hAnsi="宋体" w:eastAsia="宋体"/>
          <w:b w:val="0"/>
          <w:sz w:val="24"/>
        </w:rPr>
        <w:t>稀疏Top-m摘要既包含数值，也包含“哪些来源愿意发布此项”的支持信息。PrivEdge在截尾前统计原始支持，避免后续数值处理被误作来源支持；同时对频率和方差形成的权重分别约束。这样把候选能否进入与进入后影响多大分开分析。</w:t>
      </w:r>
    </w:p>
    <w:p>
      <w:pPr>
        <w:keepNext w:val="0"/>
        <w:spacing w:line="360" w:lineRule="auto" w:after="120" w:before="0"/>
        <w:ind w:firstLine="480"/>
      </w:pPr>
      <w:r>
        <w:rPr>
          <w:rFonts w:ascii="宋体" w:hAnsi="宋体" w:eastAsia="宋体"/>
          <w:b w:val="0"/>
          <w:sz w:val="24"/>
        </w:rPr>
        <w:t>定理1给出t−f个诚实支持的组合界；定理2在留一集合仍有诚实严格多数、无上下文路径及正有限权重等条件下，给出当前融合分数相对其诚实分量的上界。证明完整列于附录A，接口检查负责落实不同来源、有限数值和非空摘要等可检查条件。</w:t>
      </w:r>
    </w:p>
    <w:p>
      <w:pPr>
        <w:keepNext w:val="0"/>
        <w:spacing w:line="360" w:lineRule="auto" w:after="120" w:before="0"/>
        <w:ind w:firstLine="480"/>
      </w:pPr>
      <w:r>
        <w:rPr>
          <w:rFonts w:ascii="宋体" w:hAnsi="宋体" w:eastAsia="宋体"/>
          <w:b w:val="0"/>
          <w:sz w:val="24"/>
        </w:rPr>
        <w:t>两类结论均有明确边界。支持门槛不固定已有类别名次；影响界中的诚实分量仍由当前受攻击输入定义，不是无攻击反事实输出。n=10、f=1、κ=2且诚实源权重相等（W=w）时，恶意权重份额上界为2/11≈0.1818。3.4.1保留Massive双源AS约0.8476以及Olist五源双攻击不满足定理2条件的结果，使理论保证与经验观察相互区分。</w:t>
      </w:r>
    </w:p>
    <w:p>
      <w:pPr>
        <w:pStyle w:val="PEHeading2"/>
        <w:keepNext/>
        <w:keepLines/>
        <w:pageBreakBefore w:val="0"/>
        <w:spacing w:line="360" w:lineRule="auto" w:after="160" w:before="240"/>
        <w:ind w:firstLine="0"/>
        <w:jc w:val="left"/>
      </w:pPr>
      <w:bookmarkStart w:id="1054" w:name="RR_055"/>
      <w:r>
        <w:rPr>
          <w:rFonts w:ascii="宋体" w:hAnsi="宋体" w:eastAsia="宋体"/>
          <w:b/>
          <w:sz w:val="28"/>
        </w:rPr>
        <w:t>4.3 签名登记与使用绑定及可解释失败</w:t>
      </w:r>
      <w:bookmarkEnd w:id="1054"/>
    </w:p>
    <w:p>
      <w:pPr>
        <w:keepNext w:val="0"/>
        <w:spacing w:line="360" w:lineRule="auto" w:after="120" w:before="0"/>
        <w:ind w:firstLine="480"/>
      </w:pPr>
      <w:r>
        <w:rPr>
          <w:rFonts w:ascii="宋体" w:hAnsi="宋体" w:eastAsia="宋体"/>
          <w:b w:val="0"/>
          <w:sz w:val="24"/>
        </w:rPr>
        <w:t>仅对摘要签名只能证明密钥来源，无法回答摘要是否按预算登记、是否属于允许窗口，以及预测实际使用的内容是否与登记内容相同。PrivEdge把主体角色、窗口、类别域与摘要内容放入签名和登记核对链，在目标服务预测前检查账本完整性，再把准入结果交给统计决策。</w:t>
      </w:r>
    </w:p>
    <w:p>
      <w:pPr>
        <w:keepNext w:val="0"/>
        <w:spacing w:line="360" w:lineRule="auto" w:after="120" w:before="0"/>
        <w:ind w:firstLine="480"/>
      </w:pPr>
      <w:r>
        <w:rPr>
          <w:rFonts w:ascii="宋体" w:hAnsi="宋体" w:eastAsia="宋体"/>
          <w:b w:val="0"/>
          <w:sz w:val="24"/>
        </w:rPr>
        <w:t>该设计将错误变成可追溯的业务结果：不合格摘要被拒收并记录原因，剩余来源不足或链损坏时拒答，能够继续使用的结果同时保留告警。页面将三态、离线效用和审计分区，避免把安全流程通过混同于预测准确。2.6.3的符号正负对照、3.4.4的异常路径和3.4.5的当前程序验证分别支撑逻辑与实现。</w:t>
      </w:r>
    </w:p>
    <w:p>
      <w:pPr>
        <w:keepNext w:val="0"/>
        <w:spacing w:line="360" w:lineRule="auto" w:after="120" w:before="0"/>
        <w:ind w:firstLine="480"/>
      </w:pPr>
      <w:r>
        <w:rPr>
          <w:rFonts w:ascii="宋体" w:hAnsi="宋体" w:eastAsia="宋体"/>
          <w:b w:val="0"/>
          <w:sz w:val="24"/>
        </w:rPr>
        <w:t>贡献限于原型内可核对的交换流程。内存账本尚无独立见证、防日志分叉与持久化恢复；具备合法权限的宿主重写整条链不在其保证内。四方法统计工具绕过真实协议，不以其输出替代本节的协议验证。</w:t>
      </w:r>
    </w:p>
    <w:p>
      <w:pPr>
        <w:pStyle w:val="2"/>
        <w:keepNext/>
        <w:keepLines/>
        <w:pageBreakBefore/>
        <w:spacing w:line="360" w:lineRule="auto" w:after="160" w:before="0"/>
        <w:ind w:firstLine="0"/>
        <w:jc w:val="center"/>
      </w:pPr>
      <w:bookmarkStart w:id="1055" w:name="RR_056"/>
      <w:r>
        <w:rPr>
          <w:rFonts w:ascii="宋体" w:hAnsi="宋体" w:eastAsia="宋体"/>
          <w:b/>
          <w:sz w:val="32"/>
        </w:rPr>
        <w:t>第五章 总结</w:t>
      </w:r>
      <w:bookmarkEnd w:id="1055"/>
    </w:p>
    <w:p>
      <w:pPr>
        <w:pStyle w:val="PEHeading2"/>
        <w:keepNext/>
        <w:keepLines/>
        <w:pageBreakBefore w:val="0"/>
        <w:spacing w:line="360" w:lineRule="auto" w:after="160" w:before="240"/>
        <w:ind w:firstLine="0"/>
        <w:jc w:val="left"/>
      </w:pPr>
      <w:bookmarkStart w:id="1056" w:name="RR_057"/>
      <w:r>
        <w:rPr>
          <w:rFonts w:ascii="宋体" w:hAnsi="宋体" w:eastAsia="宋体"/>
          <w:b/>
          <w:sz w:val="28"/>
        </w:rPr>
        <w:t>5.1 已完成能力</w:t>
      </w:r>
      <w:bookmarkEnd w:id="1056"/>
    </w:p>
    <w:p>
      <w:pPr>
        <w:keepNext w:val="0"/>
        <w:spacing w:line="360" w:lineRule="auto" w:after="120" w:before="0"/>
        <w:ind w:firstLine="480"/>
      </w:pPr>
      <w:r>
        <w:rPr>
          <w:rFonts w:ascii="宋体" w:hAnsi="宋体" w:eastAsia="宋体"/>
          <w:b w:val="0"/>
          <w:sz w:val="24"/>
        </w:rPr>
        <w:t>PrivEdge已形成从用户本地扰动、发布端筛查、摘要签名登记，到网关准入、抗投毒融合和结果解释的可运行原型。三套标准数据、五个页面、后端服务及登记实验在同一程序中连通，实验中心可以从报告结论追溯到条件、方法、种子和原始产物。</w:t>
      </w:r>
    </w:p>
    <w:p>
      <w:pPr>
        <w:keepNext w:val="0"/>
        <w:spacing w:line="360" w:lineRule="auto" w:after="120" w:before="0"/>
        <w:ind w:firstLine="480"/>
      </w:pPr>
      <w:r>
        <w:rPr>
          <w:rFonts w:ascii="宋体" w:hAnsi="宋体" w:eastAsia="宋体"/>
          <w:b w:val="0"/>
          <w:sz w:val="24"/>
        </w:rPr>
        <w:t>现有证据支持有限场景中的防御效果与工程可行性，而不支持无攻击普遍提精度或阻止全部合谋的主张。四方法对照将无攻击代价、鲁棒基线较优切片和双源残余攻击同时列出；支持与影响定理只在明确条件下成立。作品将这些边界作为结果解释的一部分，检查通过始终只表示流程条件达标。</w:t>
      </w:r>
    </w:p>
    <w:p>
      <w:pPr>
        <w:pStyle w:val="PEHeading2"/>
        <w:keepNext/>
        <w:keepLines/>
        <w:pageBreakBefore w:val="0"/>
        <w:spacing w:line="360" w:lineRule="auto" w:after="160" w:before="240"/>
        <w:ind w:firstLine="0"/>
        <w:jc w:val="left"/>
      </w:pPr>
      <w:bookmarkStart w:id="1057" w:name="RR_058"/>
      <w:r>
        <w:rPr>
          <w:rFonts w:ascii="宋体" w:hAnsi="宋体" w:eastAsia="宋体"/>
          <w:b/>
          <w:sz w:val="28"/>
        </w:rPr>
        <w:t>5.2 技术局限与后续研究</w:t>
      </w:r>
      <w:bookmarkEnd w:id="1057"/>
    </w:p>
    <w:p>
      <w:pPr>
        <w:keepNext w:val="0"/>
        <w:spacing w:line="360" w:lineRule="auto" w:after="120" w:before="0"/>
        <w:ind w:firstLine="480"/>
      </w:pPr>
      <w:r>
        <w:rPr>
          <w:rFonts w:ascii="宋体" w:hAnsi="宋体" w:eastAsia="宋体"/>
          <w:b w:val="0"/>
          <w:sz w:val="24"/>
        </w:rPr>
        <w:t>统计方面，发布端联合支持阈值尚未作独立校准，Top-m缺失、来源异质性和自适应攻击仍会影响防御。当前bootstrap区间反映有限目标集合，不能外推为任意地区的总体保证。后续应使用独立时间窗口与新攻击策略，同时比较效用、误报、漏报和拒答代价。</w:t>
      </w:r>
    </w:p>
    <w:p>
      <w:pPr>
        <w:keepNext w:val="0"/>
        <w:spacing w:line="360" w:lineRule="auto" w:after="120" w:before="0"/>
        <w:ind w:firstLine="480"/>
      </w:pPr>
      <w:r>
        <w:rPr>
          <w:rFonts w:ascii="宋体" w:hAnsi="宋体" w:eastAsia="宋体"/>
          <w:b w:val="0"/>
          <w:sz w:val="24"/>
        </w:rPr>
        <w:t>工程方面，角色仍在同一宿主进程模拟，内存账本与密钥重启后重建；生产使用需要持久化、访问控制、密钥治理和独立审计。跨来源、跨窗口是否重复包含同一用户无法由当前报告条数识别，隐私预算归属需要真实参与管理。</w:t>
      </w:r>
    </w:p>
    <w:p>
      <w:pPr>
        <w:keepNext w:val="0"/>
        <w:spacing w:line="360" w:lineRule="auto" w:after="120" w:before="0"/>
        <w:ind w:firstLine="480"/>
      </w:pPr>
      <w:r>
        <w:rPr>
          <w:rFonts w:ascii="宋体" w:hAnsi="宋体" w:eastAsia="宋体"/>
          <w:b w:val="0"/>
          <w:sz w:val="24"/>
        </w:rPr>
        <w:t>复现方面，本包的起点是随包标准表，完整原始下载与预处理依赖链尚未独立重建。最终冻结版本仍需实体第二电脑验收；成员权利、贡献和正式声明须本人确认。以上未完成事项在附录中明确标识，不由既有测试通过或文件哈希一致替代。</w:t>
      </w:r>
    </w:p>
    <w:p>
      <w:pPr>
        <w:keepNext w:val="0"/>
        <w:spacing w:line="360" w:lineRule="auto" w:after="120" w:before="0"/>
        <w:ind w:firstLine="480"/>
      </w:pPr>
      <w:r>
        <w:rPr>
          <w:rFonts w:ascii="宋体" w:hAnsi="宋体" w:eastAsia="宋体"/>
          <w:b w:val="0"/>
          <w:sz w:val="24"/>
        </w:rPr>
        <w:t>新区域选品展示了不直接交换个人原始记录时的协作方式。后续业务试点应在明确的数据使用条件下另行评价地域差异、选品收益与部署成本，当前排序代理实验不承担这些业务结论。</w:t>
      </w:r>
    </w:p>
    <w:p>
      <w:pPr>
        <w:pStyle w:val="2"/>
        <w:keepNext/>
        <w:keepLines/>
        <w:pageBreakBefore/>
        <w:spacing w:line="360" w:lineRule="auto" w:after="160" w:before="0"/>
        <w:ind w:firstLine="0"/>
        <w:jc w:val="center"/>
      </w:pPr>
      <w:bookmarkStart w:id="1058" w:name="RR_059"/>
      <w:r>
        <w:rPr>
          <w:rFonts w:ascii="宋体" w:hAnsi="宋体" w:eastAsia="宋体"/>
          <w:b/>
          <w:sz w:val="32"/>
        </w:rPr>
        <w:t>参考文献</w:t>
      </w:r>
      <w:bookmarkEnd w:id="1058"/>
    </w:p>
    <w:p>
      <w:pPr>
        <w:widowControl/>
        <w:spacing w:line="360" w:lineRule="auto" w:before="0" w:after="120"/>
        <w:ind w:left="420" w:hanging="420"/>
        <w:jc w:val="left"/>
      </w:pPr>
      <w:r>
        <w:rPr>
          <w:rFonts w:ascii="宋体" w:hAnsi="宋体" w:eastAsia="宋体"/>
          <w:b w:val="0"/>
          <w:i w:val="0"/>
          <w:sz w:val="24"/>
        </w:rPr>
      </w:r>
      <w:r>
        <w:rPr>
          <w:rFonts w:ascii="宋体" w:hAnsi="宋体" w:eastAsia="宋体" w:cs="宋体"/>
          <w:b w:val="0"/>
          <w:i w:val="0"/>
          <w:sz w:val="24"/>
          <w:szCs w:val="24"/>
        </w:rPr>
        <w:t>[</w:t>
      </w:r>
      <w:r>
        <w:rPr>
          <w:rFonts w:ascii="宋体" w:hAnsi="宋体" w:eastAsia="宋体" w:cs="宋体"/>
          <w:b w:val="0"/>
          <w:i w:val="0"/>
          <w:sz w:val="24"/>
          <w:szCs w:val="24"/>
        </w:rPr>
        <w:fldChar w:fldCharType="begin"/>
        <w:instrText xml:space="preserve"> SEQ Ref \r 1 \* ARABIC </w:instrText>
        <w:fldChar w:fldCharType="separate"/>
        <w:t>1</w:t>
        <w:fldChar w:fldCharType="end"/>
      </w:r>
      <w:r>
        <w:rPr>
          <w:rFonts w:ascii="宋体" w:hAnsi="宋体" w:eastAsia="宋体" w:cs="宋体"/>
          <w:b w:val="0"/>
          <w:i w:val="0"/>
          <w:sz w:val="24"/>
          <w:szCs w:val="24"/>
        </w:rPr>
        <w:t xml:space="preserve">] </w:t>
      </w:r>
      <w:r>
        <w:rPr>
          <w:rFonts w:ascii="宋体" w:hAnsi="宋体" w:eastAsia="宋体" w:cs="宋体"/>
          <w:b w:val="0"/>
          <w:i w:val="0"/>
          <w:sz w:val="24"/>
          <w:szCs w:val="24"/>
        </w:rPr>
        <w:t>Tianhao Wang, Jeremiah Blocki, Ninghui Li, Somesh Jha. “Locally Differentially Private Protocols for Frequency Estimation.” Proceedings of the 26th USENIX Security Symposium (USENIX Security 17), 2017, pp. 729–745. https://www.usenix.org/system/files/conference/usenixsecurity17/sec17-wang-tianhao.pdf</w:t>
      </w:r>
    </w:p>
    <w:p>
      <w:pPr>
        <w:widowControl/>
        <w:spacing w:line="360" w:lineRule="auto" w:before="0" w:after="120"/>
        <w:ind w:left="420" w:hanging="420"/>
        <w:jc w:val="left"/>
      </w:pPr>
      <w:r>
        <w:rPr>
          <w:rFonts w:ascii="宋体" w:hAnsi="宋体" w:eastAsia="宋体"/>
          <w:b w:val="0"/>
          <w:i w:val="0"/>
          <w:sz w:val="24"/>
        </w:rPr>
      </w:r>
      <w:r>
        <w:rPr>
          <w:rFonts w:ascii="宋体" w:hAnsi="宋体" w:eastAsia="宋体" w:cs="宋体"/>
          <w:b w:val="0"/>
          <w:i w:val="0"/>
          <w:sz w:val="24"/>
          <w:szCs w:val="24"/>
        </w:rPr>
        <w:t>[</w:t>
      </w:r>
      <w:r>
        <w:rPr>
          <w:rFonts w:ascii="宋体" w:hAnsi="宋体" w:eastAsia="宋体" w:cs="宋体"/>
          <w:b w:val="0"/>
          <w:i w:val="0"/>
          <w:sz w:val="24"/>
          <w:szCs w:val="24"/>
        </w:rPr>
        <w:fldChar w:fldCharType="begin"/>
        <w:instrText xml:space="preserve"> SEQ Ref \* ARABIC </w:instrText>
        <w:fldChar w:fldCharType="separate"/>
        <w:t>2</w:t>
        <w:fldChar w:fldCharType="end"/>
      </w:r>
      <w:r>
        <w:rPr>
          <w:rFonts w:ascii="宋体" w:hAnsi="宋体" w:eastAsia="宋体" w:cs="宋体"/>
          <w:b w:val="0"/>
          <w:i w:val="0"/>
          <w:sz w:val="24"/>
          <w:szCs w:val="24"/>
        </w:rPr>
        <w:t xml:space="preserve">] </w:t>
      </w:r>
      <w:r>
        <w:rPr>
          <w:rFonts w:ascii="宋体" w:hAnsi="宋体" w:eastAsia="宋体" w:cs="宋体"/>
          <w:b w:val="0"/>
          <w:i w:val="0"/>
          <w:sz w:val="24"/>
          <w:szCs w:val="24"/>
        </w:rPr>
        <w:t>Úlfar Erlingsson, Vasyl Pihur, Aleksandra Korolova. “RAPPOR: Randomized Aggregatable Privacy-Preserving Ordinal Response.” Proceedings of the 2014 ACM SIGSAC Conference on Computer and Communications Security, 2014, pp. 1054–1067. https://doi.org/10.1145/2660267.2660348</w:t>
      </w:r>
    </w:p>
    <w:p>
      <w:pPr>
        <w:widowControl/>
        <w:spacing w:line="360" w:lineRule="auto" w:before="0" w:after="120"/>
        <w:ind w:left="420" w:hanging="420"/>
        <w:jc w:val="left"/>
      </w:pPr>
      <w:r>
        <w:rPr>
          <w:rFonts w:ascii="宋体" w:hAnsi="宋体" w:eastAsia="宋体"/>
          <w:b w:val="0"/>
          <w:i w:val="0"/>
          <w:sz w:val="24"/>
        </w:rPr>
      </w:r>
      <w:r>
        <w:rPr>
          <w:rFonts w:ascii="宋体" w:hAnsi="宋体" w:eastAsia="宋体" w:cs="宋体"/>
          <w:b w:val="0"/>
          <w:i w:val="0"/>
          <w:sz w:val="24"/>
          <w:szCs w:val="24"/>
        </w:rPr>
        <w:t>[</w:t>
      </w:r>
      <w:r>
        <w:rPr>
          <w:rFonts w:ascii="宋体" w:hAnsi="宋体" w:eastAsia="宋体" w:cs="宋体"/>
          <w:b w:val="0"/>
          <w:i w:val="0"/>
          <w:sz w:val="24"/>
          <w:szCs w:val="24"/>
        </w:rPr>
        <w:fldChar w:fldCharType="begin"/>
        <w:instrText xml:space="preserve"> SEQ Ref \* ARABIC </w:instrText>
        <w:fldChar w:fldCharType="separate"/>
        <w:t>3</w:t>
        <w:fldChar w:fldCharType="end"/>
      </w:r>
      <w:r>
        <w:rPr>
          <w:rFonts w:ascii="宋体" w:hAnsi="宋体" w:eastAsia="宋体" w:cs="宋体"/>
          <w:b w:val="0"/>
          <w:i w:val="0"/>
          <w:sz w:val="24"/>
          <w:szCs w:val="24"/>
        </w:rPr>
        <w:t xml:space="preserve">] </w:t>
      </w:r>
      <w:r>
        <w:rPr>
          <w:rFonts w:ascii="宋体" w:hAnsi="宋体" w:eastAsia="宋体" w:cs="宋体"/>
          <w:b w:val="0"/>
          <w:i w:val="0"/>
          <w:sz w:val="24"/>
          <w:szCs w:val="24"/>
        </w:rPr>
        <w:t>Raef Bassily, Adam Smith. “Local, Private, Efficient Protocols for Succinct Histograms.” Proceedings of the 47th Annual ACM Symposium on Theory of Computing (STOC 2015), 2015, pp. 127–135. https://doi.org/10.1145/2746539.2746632</w:t>
      </w:r>
    </w:p>
    <w:p>
      <w:pPr>
        <w:widowControl/>
        <w:spacing w:line="360" w:lineRule="auto" w:before="0" w:after="120"/>
        <w:ind w:left="420" w:hanging="420"/>
        <w:jc w:val="left"/>
      </w:pPr>
      <w:r>
        <w:rPr>
          <w:rFonts w:ascii="宋体" w:hAnsi="宋体" w:eastAsia="宋体"/>
          <w:b w:val="0"/>
          <w:i w:val="0"/>
          <w:sz w:val="24"/>
        </w:rPr>
      </w:r>
      <w:r>
        <w:rPr>
          <w:rFonts w:ascii="宋体" w:hAnsi="宋体" w:eastAsia="宋体" w:cs="宋体"/>
          <w:b w:val="0"/>
          <w:i w:val="0"/>
          <w:sz w:val="24"/>
          <w:szCs w:val="24"/>
        </w:rPr>
        <w:t>[</w:t>
      </w:r>
      <w:r>
        <w:rPr>
          <w:rFonts w:ascii="宋体" w:hAnsi="宋体" w:eastAsia="宋体" w:cs="宋体"/>
          <w:b w:val="0"/>
          <w:i w:val="0"/>
          <w:sz w:val="24"/>
          <w:szCs w:val="24"/>
        </w:rPr>
        <w:fldChar w:fldCharType="begin"/>
        <w:instrText xml:space="preserve"> SEQ Ref \* ARABIC </w:instrText>
        <w:fldChar w:fldCharType="separate"/>
        <w:t>4</w:t>
        <w:fldChar w:fldCharType="end"/>
      </w:r>
      <w:r>
        <w:rPr>
          <w:rFonts w:ascii="宋体" w:hAnsi="宋体" w:eastAsia="宋体" w:cs="宋体"/>
          <w:b w:val="0"/>
          <w:i w:val="0"/>
          <w:sz w:val="24"/>
          <w:szCs w:val="24"/>
        </w:rPr>
        <w:t xml:space="preserve">] </w:t>
      </w:r>
      <w:r>
        <w:rPr>
          <w:rFonts w:ascii="宋体" w:hAnsi="宋体" w:eastAsia="宋体" w:cs="宋体"/>
          <w:b w:val="0"/>
          <w:i w:val="0"/>
          <w:sz w:val="24"/>
          <w:szCs w:val="24"/>
        </w:rPr>
        <w:t>Xiaoyu Cao, Jinyuan Jia, Neil Zhenqiang Gong. “Data Poisoning Attacks to Local Differential Privacy Protocols.” Proceedings of the 30th USENIX Security Symposium (USENIX Security 21), 2021, pp. 947–964. https://www.usenix.org/system/files/sec21-cao-xiaoyu.pdf</w:t>
      </w:r>
    </w:p>
    <w:p>
      <w:pPr>
        <w:widowControl/>
        <w:spacing w:line="360" w:lineRule="auto"/>
      </w:pPr>
      <w:r>
        <w:rPr>
          <w:rFonts w:ascii="宋体" w:hAnsi="宋体" w:eastAsia="宋体" w:cs="宋体"/>
          <w:sz w:val="24"/>
          <w:szCs w:val="24"/>
        </w:rPr>
        <w:t>[5] Xiaolin Li, Ninghui Li, Boyang Wang, Wenhai Sun. “Mitigating Data Poisoning Attacks to Local Differential Privacy.” Proceedings of the 2025 ACM SIGSAC Conference on Computer and Communications Security (ACM CCS 2025), 2025, pp. 1230–1244. https://doi.org/10.1145/3719027.3744839 预印本：https://arxiv.org/abs/2506.02156。</w:t>
      </w:r>
    </w:p>
    <w:p>
      <w:pPr>
        <w:widowControl/>
        <w:spacing w:line="360" w:lineRule="auto" w:before="0" w:after="120"/>
        <w:ind w:left="420" w:hanging="420"/>
        <w:jc w:val="left"/>
      </w:pPr>
      <w:r>
        <w:rPr>
          <w:rFonts w:ascii="宋体" w:hAnsi="宋体" w:eastAsia="宋体"/>
          <w:b w:val="0"/>
          <w:i w:val="0"/>
          <w:sz w:val="24"/>
        </w:rPr>
      </w:r>
      <w:r>
        <w:rPr>
          <w:rFonts w:ascii="宋体" w:hAnsi="宋体" w:eastAsia="宋体" w:cs="宋体"/>
          <w:b w:val="0"/>
          <w:i w:val="0"/>
          <w:sz w:val="24"/>
          <w:szCs w:val="24"/>
        </w:rPr>
        <w:t>[</w:t>
      </w:r>
      <w:r>
        <w:rPr>
          <w:rFonts w:ascii="宋体" w:hAnsi="宋体" w:eastAsia="宋体" w:cs="宋体"/>
          <w:b w:val="0"/>
          <w:i w:val="0"/>
          <w:sz w:val="24"/>
          <w:szCs w:val="24"/>
        </w:rPr>
        <w:fldChar w:fldCharType="begin"/>
        <w:instrText xml:space="preserve"> SEQ Ref \* ARABIC </w:instrText>
        <w:fldChar w:fldCharType="separate"/>
        <w:t>6</w:t>
        <w:fldChar w:fldCharType="end"/>
      </w:r>
      <w:r>
        <w:rPr>
          <w:rFonts w:ascii="宋体" w:hAnsi="宋体" w:eastAsia="宋体" w:cs="宋体"/>
          <w:b w:val="0"/>
          <w:i w:val="0"/>
          <w:sz w:val="24"/>
          <w:szCs w:val="24"/>
        </w:rPr>
        <w:t xml:space="preserve">] </w:t>
      </w:r>
      <w:r>
        <w:rPr>
          <w:rFonts w:ascii="宋体" w:hAnsi="宋体" w:eastAsia="宋体" w:cs="宋体"/>
          <w:b w:val="0"/>
          <w:i w:val="0"/>
          <w:sz w:val="24"/>
          <w:szCs w:val="24"/>
        </w:rPr>
        <w:t>Dong Yin, Yudong Chen, Kannan Ramchandran, Peter Bartlett. “Byzantine-Robust Distributed Learning: Towards Optimal Statistical Rates.” Proceedings of the 35th International Conference on Machine Learning, PMLR 80, 2018, pp. 5650–5659. https://proceedings.mlr.press/v80/yin18a.html</w:t>
      </w:r>
    </w:p>
    <w:p>
      <w:pPr>
        <w:widowControl/>
        <w:spacing w:line="360" w:lineRule="auto" w:before="0" w:after="120"/>
        <w:ind w:left="420" w:hanging="420"/>
        <w:jc w:val="left"/>
      </w:pPr>
      <w:r>
        <w:rPr>
          <w:rFonts w:ascii="宋体" w:hAnsi="宋体" w:eastAsia="宋体"/>
          <w:b w:val="0"/>
          <w:i w:val="0"/>
          <w:sz w:val="24"/>
        </w:rPr>
      </w:r>
      <w:r>
        <w:rPr>
          <w:rFonts w:ascii="宋体" w:hAnsi="宋体" w:eastAsia="宋体" w:cs="宋体"/>
          <w:b w:val="0"/>
          <w:i w:val="0"/>
          <w:sz w:val="24"/>
          <w:szCs w:val="24"/>
        </w:rPr>
        <w:t>[</w:t>
      </w:r>
      <w:r>
        <w:rPr>
          <w:rFonts w:ascii="宋体" w:hAnsi="宋体" w:eastAsia="宋体" w:cs="宋体"/>
          <w:b w:val="0"/>
          <w:i w:val="0"/>
          <w:sz w:val="24"/>
          <w:szCs w:val="24"/>
        </w:rPr>
        <w:fldChar w:fldCharType="begin"/>
        <w:instrText xml:space="preserve"> SEQ Ref \* ARABIC </w:instrText>
        <w:fldChar w:fldCharType="separate"/>
        <w:t>7</w:t>
        <w:fldChar w:fldCharType="end"/>
      </w:r>
      <w:r>
        <w:rPr>
          <w:rFonts w:ascii="宋体" w:hAnsi="宋体" w:eastAsia="宋体" w:cs="宋体"/>
          <w:b w:val="0"/>
          <w:i w:val="0"/>
          <w:sz w:val="24"/>
          <w:szCs w:val="24"/>
        </w:rPr>
        <w:t xml:space="preserve">] </w:t>
      </w:r>
      <w:r>
        <w:rPr>
          <w:rFonts w:ascii="宋体" w:hAnsi="宋体" w:eastAsia="宋体" w:cs="宋体"/>
          <w:b w:val="0"/>
          <w:i w:val="0"/>
          <w:sz w:val="24"/>
          <w:szCs w:val="24"/>
        </w:rPr>
        <w:t>Peva Blanchard, El Mahdi El Mhamdi, Rachid Guerraoui, Julien Stainer. “Machine Learning with Adversaries: Byzantine Tolerant Gradient Descent.” Advances in Neural Information Processing Systems 30 (NIPS 2017), Curran Associates, Inc., 2017, pp. 119–129. https://proceedings.neurips.cc/paper_files/paper/2017/file/f4b9ec30ad9f68f89b29639786cb62ef-Paper.pdf</w:t>
      </w:r>
    </w:p>
    <w:p>
      <w:pPr>
        <w:widowControl/>
        <w:spacing w:line="360" w:lineRule="auto" w:before="0" w:after="120"/>
        <w:ind w:left="420" w:hanging="420"/>
        <w:jc w:val="left"/>
      </w:pPr>
      <w:r>
        <w:rPr>
          <w:rFonts w:ascii="宋体" w:hAnsi="宋体" w:eastAsia="宋体"/>
          <w:b w:val="0"/>
          <w:i w:val="0"/>
          <w:sz w:val="24"/>
        </w:rPr>
      </w:r>
      <w:r>
        <w:rPr>
          <w:rFonts w:ascii="宋体" w:hAnsi="宋体" w:eastAsia="宋体" w:cs="宋体"/>
          <w:b w:val="0"/>
          <w:i w:val="0"/>
          <w:sz w:val="24"/>
          <w:szCs w:val="24"/>
        </w:rPr>
        <w:t>[</w:t>
      </w:r>
      <w:r>
        <w:rPr>
          <w:rFonts w:ascii="宋体" w:hAnsi="宋体" w:eastAsia="宋体" w:cs="宋体"/>
          <w:b w:val="0"/>
          <w:i w:val="0"/>
          <w:sz w:val="24"/>
          <w:szCs w:val="24"/>
        </w:rPr>
        <w:fldChar w:fldCharType="begin"/>
        <w:instrText xml:space="preserve"> SEQ Ref \* ARABIC </w:instrText>
        <w:fldChar w:fldCharType="separate"/>
        <w:t>8</w:t>
        <w:fldChar w:fldCharType="end"/>
      </w:r>
      <w:r>
        <w:rPr>
          <w:rFonts w:ascii="宋体" w:hAnsi="宋体" w:eastAsia="宋体" w:cs="宋体"/>
          <w:b w:val="0"/>
          <w:i w:val="0"/>
          <w:sz w:val="24"/>
          <w:szCs w:val="24"/>
        </w:rPr>
        <w:t xml:space="preserve">] </w:t>
      </w:r>
      <w:r>
        <w:rPr>
          <w:rFonts w:ascii="宋体" w:hAnsi="宋体" w:eastAsia="宋体" w:cs="宋体"/>
          <w:b w:val="0"/>
          <w:i w:val="0"/>
          <w:sz w:val="24"/>
          <w:szCs w:val="24"/>
        </w:rPr>
        <w:t>Cynthia Dwork, Aaron Roth. The Algorithmic Foundations of Differential Privacy. Foundations and Trends in Theoretical Computer Science 9(3–4), 2014, pp. 211–407. https://doi.org/10.1561/0400000042</w:t>
      </w:r>
    </w:p>
    <w:p>
      <w:pPr>
        <w:widowControl/>
        <w:spacing w:line="360" w:lineRule="auto"/>
      </w:pPr>
      <w:r>
        <w:rPr>
          <w:rFonts w:ascii="宋体" w:hAnsi="宋体" w:eastAsia="宋体" w:cs="宋体"/>
          <w:sz w:val="24"/>
          <w:szCs w:val="24"/>
        </w:rPr>
        <w:t>[9] B. Blanchet. Modeling and Verifying Security Protocols with the Applied Pi Calculus and ProVerif. Foundations and Trends in Privacy and Security, 2016. 工具与说明：https://bblanche.gitlabpages.inria.fr/proverif/</w:t>
      </w:r>
    </w:p>
    <w:p>
      <w:pPr>
        <w:widowControl/>
        <w:spacing w:line="360" w:lineRule="auto"/>
      </w:pPr>
      <w:r>
        <w:rPr>
          <w:rFonts w:ascii="宋体" w:hAnsi="宋体" w:eastAsia="宋体" w:cs="宋体"/>
          <w:sz w:val="24"/>
          <w:szCs w:val="24"/>
        </w:rPr>
        <w:t>[10] B. Laurie, A. Langley, E. Kasper. Certificate Transparency. RFC 6962, 2013. 本稿引用历史设计，不把它作为当前部署规范：https://www.rfc-editor.org/info/rfc6962/</w:t>
      </w:r>
    </w:p>
    <w:p>
      <w:pPr>
        <w:pStyle w:val="2"/>
        <w:keepNext/>
        <w:keepLines/>
        <w:pageBreakBefore/>
        <w:spacing w:line="360" w:lineRule="auto" w:after="160" w:before="0"/>
        <w:ind w:firstLine="0"/>
        <w:jc w:val="center"/>
      </w:pPr>
      <w:bookmarkStart w:id="1059" w:name="RR_060"/>
      <w:r>
        <w:rPr>
          <w:rFonts w:ascii="宋体" w:hAnsi="宋体" w:eastAsia="宋体"/>
          <w:b/>
          <w:sz w:val="32"/>
        </w:rPr>
        <w:t>附录A 完整证明与条件核对</w:t>
      </w:r>
      <w:bookmarkEnd w:id="1059"/>
    </w:p>
    <w:p>
      <w:pPr>
        <w:widowControl/>
        <w:spacing w:line="360" w:lineRule="auto" w:before="0" w:after="120"/>
        <w:ind w:firstLine="420"/>
        <w:jc w:val="both"/>
      </w:pPr>
      <w:r>
        <w:rPr>
          <w:rFonts w:ascii="宋体" w:hAnsi="宋体" w:eastAsia="宋体" w:cs="宋体"/>
          <w:b w:val="0"/>
          <w:i w:val="0"/>
          <w:sz w:val="24"/>
          <w:szCs w:val="24"/>
        </w:rPr>
        <w:t xml:space="preserve">A.1 符号和实现对应。设H为诚实来源集合，|H|=n−f；</w:t>
      </w:r>
      <m:oMath>
        <m:sSub>
          <m:e>
            <m:r>
              <m:t>v</m:t>
            </m:r>
          </m:e>
          <m:sub>
            <m:r>
              <m:t>s,i</m:t>
            </m:r>
          </m:sub>
        </m:sSub>
      </m:oMath>
      <w:r>
        <w:rPr>
          <w:rFonts w:ascii="宋体" w:hAnsi="宋体" w:eastAsia="宋体" w:cs="宋体"/>
          <w:b w:val="0"/>
          <w:i w:val="0"/>
          <w:sz w:val="24"/>
          <w:szCs w:val="24"/>
        </w:rPr>
        <w:t xml:space="preserve">表示来源s对品类i的稠密诊断值，</w:t>
      </w:r>
      <m:oMath>
        <m:sSub>
          <m:e>
            <m:r>
              <m:t>z</m:t>
            </m:r>
          </m:e>
          <m:sub>
            <m:r>
              <m:t>s,i</m:t>
            </m:r>
          </m:sub>
        </m:sSub>
      </m:oMath>
      <w:r>
        <w:rPr>
          <w:rFonts w:ascii="宋体" w:hAnsi="宋体" w:eastAsia="宋体" w:cs="宋体"/>
          <w:b w:val="0"/>
          <w:i w:val="0"/>
          <w:sz w:val="24"/>
          <w:szCs w:val="24"/>
        </w:rPr>
        <w:t xml:space="preserve">表示实际融合输入，未发布项在最终融合中取0；</w:t>
      </w:r>
      <m:oMath>
        <m:sSub>
          <m:e>
            <m:r>
              <m:t>u</m:t>
            </m:r>
          </m:e>
          <m:sub>
            <m:r>
              <m:t>s</m:t>
            </m:r>
          </m:sub>
        </m:sSub>
      </m:oMath>
      <w:r>
        <w:rPr>
          <w:rFonts w:ascii="宋体" w:hAnsi="宋体" w:eastAsia="宋体" w:cs="宋体"/>
          <w:b w:val="0"/>
          <w:i w:val="0"/>
          <w:sz w:val="24"/>
          <w:szCs w:val="24"/>
        </w:rPr>
        <w:t xml:space="preserve">为未封顶的不确定度权重，</w:t>
      </w:r>
      <m:oMath>
        <m:sSub>
          <m:e>
            <m:r>
              <m:t>ω</m:t>
            </m:r>
          </m:e>
          <m:sub>
            <m:r>
              <m:t>s</m:t>
            </m:r>
          </m:sub>
        </m:sSub>
      </m:oMath>
      <w:r>
        <w:rPr>
          <w:rFonts w:ascii="宋体" w:hAnsi="宋体" w:eastAsia="宋体" w:cs="宋体"/>
          <w:b w:val="0"/>
          <w:i w:val="0"/>
          <w:sz w:val="24"/>
          <w:szCs w:val="24"/>
        </w:rPr>
        <w:t xml:space="preserve">为封顶后的实际权重。以下证明只讨论来源已经通过准入、每个来源保留一份摘要且context=None的路径。</w:t>
      </w:r>
    </w:p>
    <w:p>
      <w:pPr>
        <w:widowControl/>
        <w:spacing w:line="360" w:lineRule="auto" w:before="0" w:after="120"/>
        <w:ind w:firstLine="420"/>
        <w:jc w:val="both"/>
      </w:pPr>
      <w:r>
        <w:rPr>
          <w:rFonts w:ascii="宋体" w:hAnsi="宋体" w:eastAsia="宋体" w:cs="宋体"/>
          <w:b w:val="0"/>
          <w:i w:val="0"/>
          <w:sz w:val="24"/>
          <w:szCs w:val="24"/>
        </w:rPr>
        <w:t xml:space="preserve">A.2 隐私引理。固定一个与输入无关的随机种子a。若</w:t>
      </w:r>
      <m:oMath>
        <m:sSub>
          <m:e>
            <m:r>
              <m:t>H</m:t>
            </m:r>
          </m:e>
          <m:sub>
            <m:r>
              <m:t>a</m:t>
            </m:r>
          </m:sub>
        </m:sSub>
      </m:oMath>
      <w:r>
        <w:rPr>
          <w:rFonts w:ascii="宋体" w:hAnsi="宋体" w:eastAsia="宋体" w:cs="宋体"/>
          <w:b w:val="0"/>
          <w:i w:val="0"/>
          <w:sz w:val="24"/>
          <w:szCs w:val="24"/>
        </w:rPr>
        <w:t xml:space="preserve">(x)=</w:t>
      </w:r>
      <m:oMath>
        <m:sSub>
          <m:e>
            <m:r>
              <m:t>H</m:t>
            </m:r>
          </m:e>
          <m:sub>
            <m:r>
              <m:t>a</m:t>
            </m:r>
          </m:sub>
        </m:sSub>
      </m:oMath>
      <w:r>
        <w:rPr>
          <w:rFonts w:ascii="宋体" w:hAnsi="宋体" w:eastAsia="宋体" w:cs="宋体"/>
          <w:b w:val="0"/>
          <w:i w:val="0"/>
          <w:sz w:val="24"/>
          <w:szCs w:val="24"/>
        </w:rPr>
        <w:t xml:space="preserve">(x′)，则随机响应输出分布相同；若两者不碰撞，对y=</w:t>
      </w:r>
      <m:oMath>
        <m:sSub>
          <m:e>
            <m:r>
              <m:t>H</m:t>
            </m:r>
          </m:e>
          <m:sub>
            <m:r>
              <m:t>a</m:t>
            </m:r>
          </m:sub>
        </m:sSub>
      </m:oMath>
      <w:r>
        <w:rPr>
          <w:rFonts w:ascii="宋体" w:hAnsi="宋体" w:eastAsia="宋体" w:cs="宋体"/>
          <w:b w:val="0"/>
          <w:i w:val="0"/>
          <w:sz w:val="24"/>
          <w:szCs w:val="24"/>
        </w:rPr>
        <w:t xml:space="preserve">(x)有P(y|x)=p、P(y|x′)=r，对其他桶至多交换p与r或保持相同。由于p/r=</w:t>
      </w:r>
      <m:oMath>
        <m:sSup>
          <m:e>
            <m:r>
              <m:t>e</m:t>
            </m:r>
          </m:e>
          <m:sup>
            <m:r>
              <m:t>ε</m:t>
            </m:r>
          </m:sup>
        </m:sSup>
      </m:oMath>
      <w:r>
        <w:rPr>
          <w:rFonts w:ascii="宋体" w:hAnsi="宋体" w:eastAsia="宋体" w:cs="宋体"/>
          <w:b w:val="0"/>
          <w:i w:val="0"/>
          <w:sz w:val="24"/>
          <w:szCs w:val="24"/>
        </w:rPr>
        <w:t xml:space="preserve">，任意输出桶的条件概率比不超过</w:t>
      </w:r>
      <m:oMath>
        <m:sSup>
          <m:e>
            <m:r>
              <m:t>e</m:t>
            </m:r>
          </m:e>
          <m:sup>
            <m:r>
              <m:t>ε</m:t>
            </m:r>
          </m:sup>
        </m:sSup>
      </m:oMath>
      <w:r>
        <w:rPr>
          <w:rFonts w:ascii="宋体" w:hAnsi="宋体" w:eastAsia="宋体" w:cs="宋体"/>
          <w:b w:val="0"/>
          <w:i w:val="0"/>
          <w:sz w:val="24"/>
          <w:szCs w:val="24"/>
        </w:rPr>
        <w:t xml:space="preserve">。种子分布对x和x′相同，所以对联合输出(a,y)仍有同一比值界。对替换一名用户的报告集合逐项应用该界，得到单轮ε-LDP。该证明不要求哈希族均匀；均匀碰撞只用于估计器的q=1/g、无偏性和方差口径。</w:t>
      </w:r>
    </w:p>
    <w:p>
      <w:pPr>
        <w:widowControl/>
        <w:spacing w:line="360" w:lineRule="auto" w:before="0" w:after="120"/>
        <w:ind w:firstLine="420"/>
        <w:jc w:val="both"/>
      </w:pPr>
      <w:r>
        <w:rPr>
          <w:rFonts w:ascii="宋体" w:hAnsi="宋体" w:eastAsia="宋体" w:cs="宋体"/>
          <w:b w:val="0"/>
          <w:i w:val="0"/>
          <w:sz w:val="24"/>
          <w:szCs w:val="24"/>
        </w:rPr>
        <w:t>A.3 支持引理。候选项i的来源支持集合至少含t个来源，其中至多f个来源是恶意的，因此诚实支持至少为t−f；若诚实支持为0且f&lt;t，则总支持严格小于t，与准入条件矛盾。该引理只约束候选集合，不涉及频率值、截尾权重或最终Top-k排序。</w:t>
      </w:r>
    </w:p>
    <w:p>
      <w:pPr>
        <w:widowControl/>
        <w:spacing w:line="360" w:lineRule="auto" w:before="0" w:after="120"/>
        <w:ind w:firstLine="420"/>
        <w:jc w:val="both"/>
      </w:pPr>
      <w:r>
        <w:rPr>
          <w:rFonts w:ascii="宋体" w:hAnsi="宋体" w:eastAsia="宋体" w:cs="宋体"/>
          <w:b w:val="0"/>
          <w:i w:val="0"/>
          <w:sz w:val="24"/>
          <w:szCs w:val="24"/>
        </w:rPr>
        <w:t xml:space="preserve">A.4 留一中位数引理。任意留出来源s后，peer集合包含n−1个来源。若f&lt;(n−1)/2，即使被留出的是诚实来源，peer中的诚实来源仍严格过半。因此peer中位数（偶数时取两个中间值的平均）位于诚实稠密值区间；peer MAD不超过诚实值极差</w:t>
      </w:r>
      <m:oMath>
        <m:sSub>
          <m:e>
            <m:r>
              <m:t>R</m:t>
            </m:r>
          </m:e>
          <m:sub>
            <m:r>
              <m:t>i</m:t>
            </m:r>
          </m:sub>
        </m:sSub>
      </m:oMath>
      <w:r>
        <w:rPr>
          <w:rFonts w:ascii="宋体" w:hAnsi="宋体" w:eastAsia="宋体" w:cs="宋体"/>
          <w:b w:val="0"/>
          <w:i w:val="0"/>
          <w:sz w:val="24"/>
          <w:szCs w:val="24"/>
        </w:rPr>
        <w:t xml:space="preserve">，peer方差中位数不超过诚实方差最大值</w:t>
      </w:r>
      <m:oMath>
        <m:sSub>
          <m:e>
            <m:r>
              <m:t>V</m:t>
            </m:r>
          </m:e>
          <m:sub>
            <m:r>
              <m:t>i</m:t>
            </m:r>
          </m:sub>
        </m:sSub>
      </m:oMath>
      <w:r>
        <w:rPr>
          <w:rFonts w:ascii="宋体" w:hAnsi="宋体" w:eastAsia="宋体" w:cs="宋体"/>
          <w:b w:val="0"/>
          <w:i w:val="0"/>
          <w:sz w:val="24"/>
          <w:szCs w:val="24"/>
        </w:rPr>
        <w:t xml:space="preserve">。较弱条件f&lt;(n+1)/2不足以保证每个留一集合都保持诚实严格多数。</w:t>
      </w:r>
    </w:p>
    <w:p>
      <w:pPr>
        <w:widowControl/>
        <w:spacing w:line="360" w:lineRule="auto" w:before="0" w:after="120"/>
        <w:ind w:firstLine="420"/>
        <w:jc w:val="both"/>
      </w:pPr>
      <w:r>
        <w:rPr>
          <w:rFonts w:ascii="宋体" w:hAnsi="宋体" w:eastAsia="宋体" w:cs="宋体"/>
          <w:b w:val="0"/>
          <w:i w:val="0"/>
          <w:sz w:val="24"/>
          <w:szCs w:val="24"/>
        </w:rPr>
        <w:t xml:space="preserve">A.5 截尾上界引理。由A.4，任意来源的peer位置中位数不超过</w:t>
      </w:r>
      <m:oMath>
        <m:sSub>
          <m:e>
            <m:r>
              <m:t>M</m:t>
            </m:r>
          </m:e>
          <m:sub>
            <m:r>
              <m:t>i</m:t>
            </m:r>
          </m:sub>
        </m:sSub>
      </m:oMath>
      <w:r>
        <w:rPr>
          <w:rFonts w:ascii="宋体" w:hAnsi="宋体" w:eastAsia="宋体" w:cs="宋体"/>
          <w:b w:val="0"/>
          <w:i w:val="0"/>
          <w:sz w:val="24"/>
          <w:szCs w:val="24"/>
        </w:rPr>
        <w:t xml:space="preserve">，MAD换算后的鲁棒尺度不超过1.4826</w:t>
      </w:r>
      <m:oMath>
        <m:sSub>
          <m:e>
            <m:r>
              <m:t>R</m:t>
            </m:r>
          </m:e>
          <m:sub>
            <m:r>
              <m:t>i</m:t>
            </m:r>
          </m:sub>
        </m:sSub>
      </m:oMath>
      <w:r>
        <w:rPr>
          <w:rFonts w:ascii="宋体" w:hAnsi="宋体" w:eastAsia="宋体" w:cs="宋体"/>
          <w:b w:val="0"/>
          <w:i w:val="0"/>
          <w:sz w:val="24"/>
          <w:szCs w:val="24"/>
        </w:rPr>
        <w:t xml:space="preserve">，peer方差尺度不超过</w:t>
      </w:r>
      <m:oMath>
        <m:sSub>
          <m:e>
            <m:r>
              <m:t>V</m:t>
            </m:r>
          </m:e>
          <m:sub>
            <m:r>
              <m:t>i</m:t>
            </m:r>
          </m:sub>
        </m:sSub>
      </m:oMath>
      <w:r>
        <w:rPr>
          <w:rFonts w:ascii="宋体" w:hAnsi="宋体" w:eastAsia="宋体" w:cs="宋体"/>
          <w:b w:val="0"/>
          <w:i w:val="0"/>
          <w:sz w:val="24"/>
          <w:szCs w:val="24"/>
        </w:rPr>
        <w:t xml:space="preserve">，相对项不超过ρ</w:t>
      </w:r>
      <m:oMath>
        <m:sSub>
          <m:e>
            <m:r>
              <m:t>M</m:t>
            </m:r>
          </m:e>
          <m:sub>
            <m:r>
              <m:t>i</m:t>
            </m:r>
          </m:sub>
        </m:sSub>
      </m:oMath>
      <w:r>
        <w:rPr>
          <w:rFonts w:ascii="宋体" w:hAnsi="宋体" w:eastAsia="宋体" w:cs="宋体"/>
          <w:b w:val="0"/>
          <w:i w:val="0"/>
          <w:sz w:val="24"/>
          <w:szCs w:val="24"/>
        </w:rPr>
        <w:t xml:space="preserve">。因此截尾上界不超过</w:t>
      </w:r>
      <m:oMath>
        <m:sSub>
          <m:e>
            <m:r>
              <m:t>U</m:t>
            </m:r>
          </m:e>
          <m:sub>
            <m:r>
              <m:t>i</m:t>
            </m:r>
          </m:sub>
        </m:sSub>
      </m:oMath>
      <w:r>
        <w:rPr>
          <w:rFonts w:ascii="宋体" w:hAnsi="宋体" w:eastAsia="宋体" w:cs="宋体"/>
          <w:b w:val="0"/>
          <w:i w:val="0"/>
          <w:sz w:val="24"/>
          <w:szCs w:val="24"/>
        </w:rPr>
        <w:t xml:space="preserve">。clip_floor=0且输入非负时，诚实来源的截尾值满足0≤</w:t>
      </w:r>
      <m:oMath>
        <m:sSub>
          <m:e>
            <m:r>
              <m:t>z</m:t>
            </m:r>
          </m:e>
          <m:sub>
            <m:r>
              <m:t>h,i</m:t>
            </m:r>
          </m:sub>
        </m:sSub>
      </m:oMath>
      <w:r>
        <w:rPr>
          <w:rFonts w:ascii="宋体" w:hAnsi="宋体" w:eastAsia="宋体" w:cs="宋体"/>
          <w:b w:val="0"/>
          <w:i w:val="0"/>
          <w:sz w:val="24"/>
          <w:szCs w:val="24"/>
        </w:rPr>
        <w:t xml:space="preserve">≤</w:t>
      </w:r>
      <m:oMath>
        <m:sSub>
          <m:e>
            <m:r>
              <m:t>v</m:t>
            </m:r>
          </m:e>
          <m:sub>
            <m:r>
              <m:t>h,i</m:t>
            </m:r>
          </m:sub>
        </m:sSub>
      </m:oMath>
      <w:r>
        <w:rPr>
          <w:rFonts w:ascii="宋体" w:hAnsi="宋体" w:eastAsia="宋体" w:cs="宋体"/>
          <w:b w:val="0"/>
          <w:i w:val="0"/>
          <w:sz w:val="24"/>
          <w:szCs w:val="24"/>
        </w:rPr>
        <w:t xml:space="preserve">≤</w:t>
      </w:r>
      <m:oMath>
        <m:sSub>
          <m:e>
            <m:r>
              <m:t>M</m:t>
            </m:r>
          </m:e>
          <m:sub>
            <m:r>
              <m:t>i</m:t>
            </m:r>
          </m:sub>
        </m:sSub>
      </m:oMath>
      <w:r>
        <w:rPr>
          <w:rFonts w:ascii="宋体" w:hAnsi="宋体" w:eastAsia="宋体" w:cs="宋体"/>
          <w:b w:val="0"/>
          <w:i w:val="0"/>
          <w:sz w:val="24"/>
          <w:szCs w:val="24"/>
        </w:rPr>
        <w:t xml:space="preserve">；恶意来源截尾后满足0≤</w:t>
      </w:r>
      <m:oMath>
        <m:sSub>
          <m:e>
            <m:r>
              <m:t>z</m:t>
            </m:r>
          </m:e>
          <m:sub>
            <m:r>
              <m:t>b,i</m:t>
            </m:r>
          </m:sub>
        </m:sSub>
      </m:oMath>
      <w:r>
        <w:rPr>
          <w:rFonts w:ascii="宋体" w:hAnsi="宋体" w:eastAsia="宋体" w:cs="宋体"/>
          <w:b w:val="0"/>
          <w:i w:val="0"/>
          <w:sz w:val="24"/>
          <w:szCs w:val="24"/>
        </w:rPr>
        <w:t xml:space="preserve">≤</w:t>
      </w:r>
      <m:oMath>
        <m:sSub>
          <m:e>
            <m:r>
              <m:t>U</m:t>
            </m:r>
          </m:e>
          <m:sub>
            <m:r>
              <m:t>i</m:t>
            </m:r>
          </m:sub>
        </m:sSub>
      </m:oMath>
      <w:r>
        <w:rPr>
          <w:rFonts w:ascii="宋体" w:hAnsi="宋体" w:eastAsia="宋体" w:cs="宋体"/>
          <w:b w:val="0"/>
          <w:i w:val="0"/>
          <w:sz w:val="24"/>
          <w:szCs w:val="24"/>
        </w:rPr>
        <w:t xml:space="preserve">。缺失值填充只进入peer尺度统计，不改变最终融合缺失项取0的实现。</w:t>
      </w:r>
    </w:p>
    <w:p>
      <w:pPr>
        <w:widowControl/>
        <w:spacing w:line="360" w:lineRule="auto" w:before="0" w:after="120"/>
        <w:ind w:firstLine="420"/>
        <w:jc w:val="both"/>
      </w:pPr>
      <w:r>
        <w:rPr>
          <w:rFonts w:ascii="宋体" w:hAnsi="宋体" w:eastAsia="宋体" w:cs="宋体"/>
          <w:b w:val="0"/>
          <w:i w:val="0"/>
          <w:sz w:val="24"/>
          <w:szCs w:val="24"/>
        </w:rPr>
        <w:t xml:space="preserve">A.6 权重份额与影响界。对诚实来源h，peer权重中位数至少为w，且κ≥1，所以</w:t>
      </w:r>
      <m:oMath>
        <m:sSub>
          <m:e>
            <m:r>
              <m:t>ω</m:t>
            </m:r>
          </m:e>
          <m:sub>
            <m:r>
              <m:t>h</m:t>
            </m:r>
          </m:sub>
        </m:sSub>
      </m:oMath>
      <w:r>
        <w:rPr>
          <w:rFonts w:ascii="宋体" w:hAnsi="宋体" w:eastAsia="宋体" w:cs="宋体"/>
          <w:b w:val="0"/>
          <w:i w:val="0"/>
          <w:sz w:val="24"/>
          <w:szCs w:val="24"/>
        </w:rPr>
        <w:t xml:space="preserve">=min(</w:t>
      </w:r>
      <m:oMath>
        <m:sSub>
          <m:e>
            <m:r>
              <m:t>u</m:t>
            </m:r>
          </m:e>
          <m:sub>
            <m:r>
              <m:t>h</m:t>
            </m:r>
          </m:sub>
        </m:sSub>
      </m:oMath>
      <w:r>
        <w:rPr>
          <w:rFonts w:ascii="宋体" w:hAnsi="宋体" w:eastAsia="宋体" w:cs="宋体"/>
          <w:b w:val="0"/>
          <w:i w:val="0"/>
          <w:sz w:val="24"/>
          <w:szCs w:val="24"/>
        </w:rPr>
        <w:t xml:space="preserve">,κ·peer_median)≥w。对恶意来源b，peer权重中位数不超过W，所以</w:t>
      </w:r>
      <m:oMath>
        <m:sSub>
          <m:e>
            <m:r>
              <m:t>ω</m:t>
            </m:r>
          </m:e>
          <m:sub>
            <m:r>
              <m:t>b</m:t>
            </m:r>
          </m:sub>
        </m:sSub>
      </m:oMath>
      <w:r>
        <w:rPr>
          <w:rFonts w:ascii="宋体" w:hAnsi="宋体" w:eastAsia="宋体" w:cs="宋体"/>
          <w:b w:val="0"/>
          <w:i w:val="0"/>
          <w:sz w:val="24"/>
          <w:szCs w:val="24"/>
        </w:rPr>
        <w:t xml:space="preserve">≤κW。由此恶意来源的实际权重份额</w:t>
      </w:r>
      <m:oMath>
        <m:sSub>
          <m:e>
            <m:r>
              <m:t>α</m:t>
            </m:r>
          </m:e>
          <m:sub>
            <m:r>
              <m:t>F</m:t>
            </m:r>
          </m:sub>
        </m:sSub>
      </m:oMath>
      <w:r>
        <w:rPr>
          <w:rFonts w:ascii="宋体" w:hAnsi="宋体" w:eastAsia="宋体" w:cs="宋体"/>
          <w:b w:val="0"/>
          <w:i w:val="0"/>
          <w:sz w:val="24"/>
          <w:szCs w:val="24"/>
        </w:rPr>
        <w:t xml:space="preserve">不超过fκW/((n−f)w+fκW)=</w:t>
      </w:r>
      <m:oMath>
        <m:acc>
          <m:accPr>
            <m:chr m:val="̄"/>
          </m:accPr>
          <m:e>
            <m:r>
              <m:t>α</m:t>
            </m:r>
          </m:e>
        </m:acc>
      </m:oMath>
      <w:r>
        <w:rPr>
          <w:rFonts w:ascii="宋体" w:hAnsi="宋体" w:eastAsia="宋体" w:cs="宋体"/>
          <w:b w:val="0"/>
          <w:i w:val="0"/>
          <w:sz w:val="24"/>
          <w:szCs w:val="24"/>
        </w:rPr>
        <w:t xml:space="preserve">。f=0时直接有</w:t>
      </w:r>
      <m:oMath>
        <m:sSub>
          <m:e>
            <m:r>
              <m:t>S</m:t>
            </m:r>
          </m:e>
          <m:sub>
            <m:r>
              <m:t>i</m:t>
            </m:r>
          </m:sub>
        </m:sSub>
      </m:oMath>
      <w:r>
        <w:rPr>
          <w:rFonts w:ascii="宋体" w:hAnsi="宋体" w:eastAsia="宋体" w:cs="宋体"/>
          <w:b w:val="0"/>
          <w:i w:val="0"/>
          <w:sz w:val="24"/>
          <w:szCs w:val="24"/>
        </w:rPr>
        <w:t xml:space="preserve">=</w:t>
      </w:r>
      <m:oMath>
        <m:sSubSup>
          <m:e>
            <m:r>
              <m:t>S</m:t>
            </m:r>
          </m:e>
          <m:sub>
            <m:r>
              <m:t>i</m:t>
            </m:r>
          </m:sub>
          <m:sup>
            <m:r>
              <m:t>H</m:t>
            </m:r>
          </m:sup>
        </m:sSubSup>
      </m:oMath>
      <w:r>
        <w:rPr>
          <w:rFonts w:ascii="宋体" w:hAnsi="宋体" w:eastAsia="宋体" w:cs="宋体"/>
          <w:b w:val="0"/>
          <w:i w:val="0"/>
          <w:sz w:val="24"/>
          <w:szCs w:val="24"/>
        </w:rPr>
        <w:t xml:space="preserve">；以下设f&gt;0。将诚实来源按当前封顶权重归一化成</w:t>
      </w:r>
      <m:oMath>
        <m:sSubSup>
          <m:e>
            <m:r>
              <m:t>S</m:t>
            </m:r>
          </m:e>
          <m:sub>
            <m:r>
              <m:t>i</m:t>
            </m:r>
          </m:sub>
          <m:sup>
            <m:r>
              <m:t>H</m:t>
            </m:r>
          </m:sup>
        </m:sSubSup>
      </m:oMath>
      <w:r>
        <w:rPr>
          <w:rFonts w:ascii="宋体" w:hAnsi="宋体" w:eastAsia="宋体" w:cs="宋体"/>
          <w:b w:val="0"/>
          <w:i w:val="0"/>
          <w:sz w:val="24"/>
          <w:szCs w:val="24"/>
        </w:rPr>
        <w:t xml:space="preserve">，将恶意来源归一化成</w:t>
      </w:r>
      <m:oMath>
        <m:sSub>
          <m:e>
            <m:r>
              <m:t>A</m:t>
            </m:r>
          </m:e>
          <m:sub>
            <m:r>
              <m:t>i</m:t>
            </m:r>
          </m:sub>
        </m:sSub>
      </m:oMath>
      <w:r>
        <w:rPr>
          <w:rFonts w:ascii="宋体" w:hAnsi="宋体" w:eastAsia="宋体" w:cs="宋体"/>
          <w:b w:val="0"/>
          <w:i w:val="0"/>
          <w:sz w:val="24"/>
          <w:szCs w:val="24"/>
        </w:rPr>
        <w:t xml:space="preserve">，则</w:t>
      </w:r>
      <m:oMath>
        <m:sSub>
          <m:e>
            <m:r>
              <m:t>S</m:t>
            </m:r>
          </m:e>
          <m:sub>
            <m:r>
              <m:t>i</m:t>
            </m:r>
          </m:sub>
        </m:sSub>
      </m:oMath>
      <w:r>
        <w:rPr>
          <w:rFonts w:ascii="宋体" w:hAnsi="宋体" w:eastAsia="宋体" w:cs="宋体"/>
          <w:b w:val="0"/>
          <w:i w:val="0"/>
          <w:sz w:val="24"/>
          <w:szCs w:val="24"/>
        </w:rPr>
        <w:t xml:space="preserve">=(1−</w:t>
      </w:r>
      <m:oMath>
        <m:sSub>
          <m:e>
            <m:r>
              <m:t>α</m:t>
            </m:r>
          </m:e>
          <m:sub>
            <m:r>
              <m:t>F</m:t>
            </m:r>
          </m:sub>
        </m:sSub>
      </m:oMath>
      <w:r>
        <w:rPr>
          <w:rFonts w:ascii="宋体" w:hAnsi="宋体" w:eastAsia="宋体" w:cs="宋体"/>
          <w:b w:val="0"/>
          <w:i w:val="0"/>
          <w:sz w:val="24"/>
          <w:szCs w:val="24"/>
        </w:rPr>
        <w:t xml:space="preserve">)</w:t>
      </w:r>
      <m:oMath>
        <m:sSubSup>
          <m:e>
            <m:r>
              <m:t>S</m:t>
            </m:r>
          </m:e>
          <m:sub>
            <m:r>
              <m:t>i</m:t>
            </m:r>
          </m:sub>
          <m:sup>
            <m:r>
              <m:t>H</m:t>
            </m:r>
          </m:sup>
        </m:sSubSup>
      </m:oMath>
      <w:r>
        <w:rPr>
          <w:rFonts w:ascii="宋体" w:hAnsi="宋体" w:eastAsia="宋体" w:cs="宋体"/>
          <w:b w:val="0"/>
          <w:i w:val="0"/>
          <w:sz w:val="24"/>
          <w:szCs w:val="24"/>
        </w:rPr>
        <w:t xml:space="preserve">+</w:t>
      </w:r>
      <m:oMath>
        <m:sSub>
          <m:e>
            <m:r>
              <m:t>α</m:t>
            </m:r>
          </m:e>
          <m:sub>
            <m:r>
              <m:t>F</m:t>
            </m:r>
          </m:sub>
        </m:sSub>
      </m:oMath>
      <m:oMath>
        <m:sSub>
          <m:e>
            <m:r>
              <m:t>A</m:t>
            </m:r>
          </m:e>
          <m:sub>
            <m:r>
              <m:t>i</m:t>
            </m:r>
          </m:sub>
        </m:sSub>
      </m:oMath>
      <w:r>
        <w:rPr>
          <w:rFonts w:ascii="宋体" w:hAnsi="宋体" w:eastAsia="宋体" w:cs="宋体"/>
          <w:b w:val="0"/>
          <w:i w:val="0"/>
          <w:sz w:val="24"/>
          <w:szCs w:val="24"/>
        </w:rPr>
        <w:t xml:space="preserve">；由0≤</w:t>
      </w:r>
      <m:oMath>
        <m:sSub>
          <m:e>
            <m:r>
              <m:t>A</m:t>
            </m:r>
          </m:e>
          <m:sub>
            <m:r>
              <m:t>i</m:t>
            </m:r>
          </m:sub>
        </m:sSub>
      </m:oMath>
      <w:r>
        <w:rPr>
          <w:rFonts w:ascii="宋体" w:hAnsi="宋体" w:eastAsia="宋体" w:cs="宋体"/>
          <w:b w:val="0"/>
          <w:i w:val="0"/>
          <w:sz w:val="24"/>
          <w:szCs w:val="24"/>
        </w:rPr>
        <w:t xml:space="preserve">≤</w:t>
      </w:r>
      <m:oMath>
        <m:sSub>
          <m:e>
            <m:r>
              <m:t>U</m:t>
            </m:r>
          </m:e>
          <m:sub>
            <m:r>
              <m:t>i</m:t>
            </m:r>
          </m:sub>
        </m:sSub>
      </m:oMath>
      <w:r>
        <w:rPr>
          <w:rFonts w:ascii="宋体" w:hAnsi="宋体" w:eastAsia="宋体" w:cs="宋体"/>
          <w:b w:val="0"/>
          <w:i w:val="0"/>
          <w:sz w:val="24"/>
          <w:szCs w:val="24"/>
        </w:rPr>
        <w:t xml:space="preserve">、0≤</w:t>
      </w:r>
      <m:oMath>
        <m:sSubSup>
          <m:e>
            <m:r>
              <m:t>S</m:t>
            </m:r>
          </m:e>
          <m:sub>
            <m:r>
              <m:t>i</m:t>
            </m:r>
          </m:sub>
          <m:sup>
            <m:r>
              <m:t>H</m:t>
            </m:r>
          </m:sup>
        </m:sSubSup>
      </m:oMath>
      <w:r>
        <w:rPr>
          <w:rFonts w:ascii="宋体" w:hAnsi="宋体" w:eastAsia="宋体" w:cs="宋体"/>
          <w:b w:val="0"/>
          <w:i w:val="0"/>
          <w:sz w:val="24"/>
          <w:szCs w:val="24"/>
        </w:rPr>
        <w:t xml:space="preserve">≤</w:t>
      </w:r>
      <m:oMath>
        <m:sSub>
          <m:e>
            <m:r>
              <m:t>U</m:t>
            </m:r>
          </m:e>
          <m:sub>
            <m:r>
              <m:t>i</m:t>
            </m:r>
          </m:sub>
        </m:sSub>
      </m:oMath>
      <w:r>
        <w:rPr>
          <w:rFonts w:ascii="宋体" w:hAnsi="宋体" w:eastAsia="宋体" w:cs="宋体"/>
          <w:b w:val="0"/>
          <w:i w:val="0"/>
          <w:sz w:val="24"/>
          <w:szCs w:val="24"/>
        </w:rPr>
        <w:t xml:space="preserve">及</w:t>
      </w:r>
      <m:oMath>
        <m:sSub>
          <m:e>
            <m:r>
              <m:t>α</m:t>
            </m:r>
          </m:e>
          <m:sub>
            <m:r>
              <m:t>F</m:t>
            </m:r>
          </m:sub>
        </m:sSub>
      </m:oMath>
      <w:r>
        <w:rPr>
          <w:rFonts w:ascii="宋体" w:hAnsi="宋体" w:eastAsia="宋体" w:cs="宋体"/>
          <w:b w:val="0"/>
          <w:i w:val="0"/>
          <w:sz w:val="24"/>
          <w:szCs w:val="24"/>
        </w:rPr>
        <w:t xml:space="preserve">≤</w:t>
      </w:r>
      <m:oMath>
        <m:acc>
          <m:accPr>
            <m:chr m:val="̄"/>
          </m:accPr>
          <m:e>
            <m:r>
              <m:t>α</m:t>
            </m:r>
          </m:e>
        </m:acc>
      </m:oMath>
      <w:r>
        <w:rPr>
          <w:rFonts w:ascii="宋体" w:hAnsi="宋体" w:eastAsia="宋体" w:cs="宋体"/>
          <w:b w:val="0"/>
          <w:i w:val="0"/>
          <w:sz w:val="24"/>
          <w:szCs w:val="24"/>
        </w:rPr>
        <w:t xml:space="preserve">，得到(1−</w:t>
      </w:r>
      <m:oMath>
        <m:acc>
          <m:accPr>
            <m:chr m:val="̄"/>
          </m:accPr>
          <m:e>
            <m:r>
              <m:t>α</m:t>
            </m:r>
          </m:e>
        </m:acc>
      </m:oMath>
      <w:r>
        <w:rPr>
          <w:rFonts w:ascii="宋体" w:hAnsi="宋体" w:eastAsia="宋体" w:cs="宋体"/>
          <w:b w:val="0"/>
          <w:i w:val="0"/>
          <w:sz w:val="24"/>
          <w:szCs w:val="24"/>
        </w:rPr>
        <w:t xml:space="preserve">)</w:t>
      </w:r>
      <m:oMath>
        <m:sSubSup>
          <m:e>
            <m:r>
              <m:t>S</m:t>
            </m:r>
          </m:e>
          <m:sub>
            <m:r>
              <m:t>i</m:t>
            </m:r>
          </m:sub>
          <m:sup>
            <m:r>
              <m:t>H</m:t>
            </m:r>
          </m:sup>
        </m:sSubSup>
      </m:oMath>
      <w:r>
        <w:rPr>
          <w:rFonts w:ascii="宋体" w:hAnsi="宋体" w:eastAsia="宋体" w:cs="宋体"/>
          <w:b w:val="0"/>
          <w:i w:val="0"/>
          <w:sz w:val="24"/>
          <w:szCs w:val="24"/>
        </w:rPr>
        <w:t xml:space="preserve">≤</w:t>
      </w:r>
      <m:oMath>
        <m:sSub>
          <m:e>
            <m:r>
              <m:t>S</m:t>
            </m:r>
          </m:e>
          <m:sub>
            <m:r>
              <m:t>i</m:t>
            </m:r>
          </m:sub>
        </m:sSub>
      </m:oMath>
      <w:r>
        <w:rPr>
          <w:rFonts w:ascii="宋体" w:hAnsi="宋体" w:eastAsia="宋体" w:cs="宋体"/>
          <w:b w:val="0"/>
          <w:i w:val="0"/>
          <w:sz w:val="24"/>
          <w:szCs w:val="24"/>
        </w:rPr>
        <w:t xml:space="preserve">≤(1−</w:t>
      </w:r>
      <m:oMath>
        <m:acc>
          <m:accPr>
            <m:chr m:val="̄"/>
          </m:accPr>
          <m:e>
            <m:r>
              <m:t>α</m:t>
            </m:r>
          </m:e>
        </m:acc>
      </m:oMath>
      <w:r>
        <w:rPr>
          <w:rFonts w:ascii="宋体" w:hAnsi="宋体" w:eastAsia="宋体" w:cs="宋体"/>
          <w:b w:val="0"/>
          <w:i w:val="0"/>
          <w:sz w:val="24"/>
          <w:szCs w:val="24"/>
        </w:rPr>
        <w:t xml:space="preserve">)</w:t>
      </w:r>
      <m:oMath>
        <m:sSubSup>
          <m:e>
            <m:r>
              <m:t>S</m:t>
            </m:r>
          </m:e>
          <m:sub>
            <m:r>
              <m:t>i</m:t>
            </m:r>
          </m:sub>
          <m:sup>
            <m:r>
              <m:t>H</m:t>
            </m:r>
          </m:sup>
        </m:sSubSup>
      </m:oMath>
      <w:r>
        <w:rPr>
          <w:rFonts w:ascii="宋体" w:hAnsi="宋体" w:eastAsia="宋体" w:cs="宋体"/>
          <w:b w:val="0"/>
          <w:i w:val="0"/>
          <w:sz w:val="24"/>
          <w:szCs w:val="24"/>
        </w:rPr>
        <w:t xml:space="preserve">+</w:t>
      </w:r>
      <m:oMath>
        <m:acc>
          <m:accPr>
            <m:chr m:val="̄"/>
          </m:accPr>
          <m:e>
            <m:r>
              <m:t>α</m:t>
            </m:r>
          </m:e>
        </m:acc>
      </m:oMath>
      <m:oMath>
        <m:sSub>
          <m:e>
            <m:r>
              <m:t>U</m:t>
            </m:r>
          </m:e>
          <m:sub>
            <m:r>
              <m:t>i</m:t>
            </m:r>
          </m:sub>
        </m:sSub>
      </m:oMath>
      <w:r>
        <w:rPr>
          <w:rFonts w:ascii="宋体" w:hAnsi="宋体" w:eastAsia="宋体" w:cs="宋体"/>
          <w:b w:val="0"/>
          <w:i w:val="0"/>
          <w:sz w:val="24"/>
          <w:szCs w:val="24"/>
        </w:rPr>
        <w:t xml:space="preserve">。</w:t>
      </w:r>
      <m:oMath>
        <m:sSubSup>
          <m:e>
            <m:r>
              <m:t>S</m:t>
            </m:r>
          </m:e>
          <m:sub>
            <m:r>
              <m:t>i</m:t>
            </m:r>
          </m:sub>
          <m:sup>
            <m:r>
              <m:t>H</m:t>
            </m:r>
          </m:sup>
        </m:sSubSup>
      </m:oMath>
      <w:r>
        <w:rPr>
          <w:rFonts w:ascii="宋体" w:hAnsi="宋体" w:eastAsia="宋体" w:cs="宋体"/>
          <w:b w:val="0"/>
          <w:i w:val="0"/>
          <w:sz w:val="24"/>
          <w:szCs w:val="24"/>
        </w:rPr>
        <w:t xml:space="preserve">是当前攻击依赖输入中的诚实部分，不是无攻击反事实运行的分数。</w:t>
      </w:r>
    </w:p>
    <w:p>
      <w:pPr>
        <w:widowControl/>
        <w:spacing w:line="360" w:lineRule="auto" w:before="0" w:after="120"/>
        <w:ind w:firstLine="420"/>
        <w:jc w:val="both"/>
      </w:pPr>
      <w:r>
        <w:rPr>
          <w:rFonts w:ascii="宋体" w:hAnsi="宋体" w:eastAsia="宋体" w:cs="宋体"/>
          <w:b w:val="0"/>
          <w:i w:val="0"/>
          <w:sz w:val="24"/>
          <w:szCs w:val="24"/>
        </w:rPr>
        <w:t xml:space="preserve">A.7 条件核对。若切换到public-context分支、来源数少于3、允许重复来源、方差为零或无穷、clip_floor不为0、κ&lt;1，以上证明均不能直接套用。</w:t>
      </w:r>
      <m:oMath>
        <m:acc>
          <m:accPr>
            <m:chr m:val="̄"/>
          </m:accPr>
          <m:e>
            <m:r>
              <m:t>α</m:t>
            </m:r>
          </m:e>
        </m:acc>
      </m:oMath>
      <w:r>
        <w:rPr>
          <w:rFonts w:ascii="宋体" w:hAnsi="宋体" w:eastAsia="宋体" w:cs="宋体"/>
          <w:b w:val="0"/>
          <w:i w:val="0"/>
          <w:sz w:val="24"/>
          <w:szCs w:val="24"/>
        </w:rPr>
        <w:t xml:space="preserve">=2/11还需要n=10、f=1、κ=2且W=w；相同样本数不等于相同权重。trimmed_frequency的缺失补0和两端删除也没有继承本定理。</w:t>
      </w:r>
    </w:p>
    <w:p>
      <w:pPr>
        <w:widowControl/>
        <w:spacing w:line="360" w:lineRule="auto" w:before="0" w:after="120"/>
        <w:ind w:firstLine="420"/>
        <w:jc w:val="both"/>
      </w:pPr>
      <w:r>
        <w:rPr>
          <w:rFonts w:ascii="宋体" w:hAnsi="宋体" w:eastAsia="宋体" w:cs="宋体"/>
          <w:b w:val="0"/>
          <w:i w:val="0"/>
          <w:sz w:val="24"/>
          <w:szCs w:val="24"/>
        </w:rPr>
        <w:t>A.8 实验解释。四方法对照使用同一底层样本、相同ε和种子；PrivEdge入口直接构造摘要对象，未测真实签名验证、账本拒绝和协议开销。正式运行采用五个种子，先对每个目标求种子均值，再以2000次bootstrap重采样目标；数据集目标共享来源区域，因此区间是有限实验网格上的经验区间，不能解释为独立总体的普遍置信区间。</w:t>
      </w:r>
    </w:p>
    <w:p>
      <w:pPr>
        <w:keepNext/>
        <w:spacing w:line="360" w:lineRule="auto" w:after="120" w:before="0"/>
        <w:ind w:firstLine="0"/>
        <w:jc w:val="center"/>
      </w:pPr>
      <w:r>
        <w:rPr>
          <w:rFonts w:ascii="宋体" w:hAnsi="宋体" w:eastAsia="宋体"/>
          <w:b w:val="0"/>
          <w:sz w:val="24"/>
        </w:rPr>
        <w:t>表A-1 证明条件与实现对应</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8"/>
        <w:gridCol w:w="3048"/>
        <w:gridCol w:w="3048"/>
      </w:tblGrid>
      <w:tr>
        <w:trPr>
          <w:tblHeader/>
          <w:cantSplit/>
        </w:trPr>
        <w:tc>
          <w:tcPr>
            <w:tcW w:type="dxa" w:w="3048"/>
            <w:vAlign w:val="center"/>
            <w:shd w:fill="E7E6E6"/>
            <w:tcMar>
              <w:top w:w="70" w:type="dxa"/>
              <w:bottom w:w="70" w:type="dxa"/>
              <w:left w:w="70" w:type="dxa"/>
              <w:right w:w="70" w:type="dxa"/>
            </w:tcMar>
          </w:tcPr>
          <w:p>
            <w:pPr>
              <w:keepNext/>
              <w:keepLines w:val="0"/>
              <w:widowControl/>
              <w:spacing w:line="360" w:lineRule="auto" w:before="0" w:after="0"/>
              <w:ind w:firstLine="0"/>
              <w:jc w:val="center"/>
            </w:pPr>
            <w:r>
              <w:rPr>
                <w:rFonts w:ascii="宋体" w:hAnsi="宋体" w:eastAsia="宋体"/>
                <w:b/>
                <w:i w:val="0"/>
                <w:color w:val="000000"/>
                <w:sz w:val="24"/>
              </w:rPr>
              <w:t>条件</w:t>
            </w:r>
          </w:p>
        </w:tc>
        <w:tc>
          <w:tcPr>
            <w:tcW w:type="dxa" w:w="3048"/>
            <w:vAlign w:val="center"/>
            <w:shd w:fill="E7E6E6"/>
            <w:tcMar>
              <w:top w:w="70" w:type="dxa"/>
              <w:bottom w:w="70" w:type="dxa"/>
              <w:left w:w="70" w:type="dxa"/>
              <w:right w:w="70" w:type="dxa"/>
            </w:tcMar>
          </w:tcPr>
          <w:p>
            <w:pPr>
              <w:keepNext/>
              <w:keepLines w:val="0"/>
              <w:widowControl/>
              <w:spacing w:line="360" w:lineRule="auto" w:before="0" w:after="0"/>
              <w:ind w:firstLine="0"/>
              <w:jc w:val="center"/>
            </w:pPr>
            <w:r>
              <w:rPr>
                <w:rFonts w:ascii="宋体" w:hAnsi="宋体" w:eastAsia="宋体"/>
                <w:b/>
                <w:i w:val="0"/>
                <w:color w:val="000000"/>
                <w:sz w:val="24"/>
              </w:rPr>
              <w:t>代码或实验对应</w:t>
            </w:r>
          </w:p>
        </w:tc>
        <w:tc>
          <w:tcPr>
            <w:tcW w:type="dxa" w:w="3048"/>
            <w:vAlign w:val="center"/>
            <w:shd w:fill="E7E6E6"/>
            <w:tcMar>
              <w:top w:w="70" w:type="dxa"/>
              <w:bottom w:w="70" w:type="dxa"/>
              <w:left w:w="70" w:type="dxa"/>
              <w:right w:w="70" w:type="dxa"/>
            </w:tcMar>
          </w:tcPr>
          <w:p>
            <w:pPr>
              <w:keepNext/>
              <w:keepLines w:val="0"/>
              <w:widowControl/>
              <w:spacing w:line="360" w:lineRule="auto" w:before="0" w:after="0"/>
              <w:ind w:firstLine="0"/>
              <w:jc w:val="center"/>
            </w:pPr>
            <w:r>
              <w:rPr>
                <w:rFonts w:ascii="宋体" w:hAnsi="宋体" w:eastAsia="宋体"/>
                <w:b/>
                <w:i w:val="0"/>
                <w:color w:val="000000"/>
                <w:sz w:val="24"/>
              </w:rPr>
              <w:t>不覆盖</w:t>
            </w:r>
          </w:p>
        </w:tc>
      </w:tr>
      <w:tr>
        <w:trPr>
          <w:cantSplit/>
        </w:trPr>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每人每窗口至多一条报告</w:t>
            </w:r>
          </w:p>
        </w:tc>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由部署治理保证；代码仅接收报告条数</w:t>
            </w:r>
          </w:p>
        </w:tc>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跨来源重复用户的并行组合</w:t>
            </w:r>
          </w:p>
        </w:tc>
      </w:tr>
      <w:tr>
        <w:trPr>
          <w:cantSplit/>
        </w:trPr>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来源ID互异且每源一份摘要</w:t>
            </w:r>
          </w:p>
        </w:tc>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准入检查与同源去重</w:t>
            </w:r>
          </w:p>
        </w:tc>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重复来源冒充不同来源</w:t>
            </w:r>
          </w:p>
        </w:tc>
      </w:tr>
      <w:tr>
        <w:trPr>
          <w:cantSplit/>
        </w:trPr>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context=None，n≥3，f&lt;(n−1)/2</w:t>
            </w:r>
          </w:p>
        </w:tc>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variance_weighted_capped路径</w:t>
            </w:r>
          </w:p>
        </w:tc>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public-context或更高故障比例</w:t>
            </w:r>
          </w:p>
        </w:tc>
      </w:tr>
      <w:tr>
        <w:trPr>
          <w:cantSplit/>
        </w:trPr>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clip_floor=0，方差有限正值，κ≥1</w:t>
            </w:r>
          </w:p>
        </w:tc>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非负截尾与封顶权重</w:t>
            </w:r>
          </w:p>
        </w:tc>
        <w:tc>
          <w:tcPr>
            <w:tcW w:type="dxa" w:w="3048"/>
            <w:vAlign w:val="center"/>
            <w:tcMar>
              <w:top w:w="70" w:type="dxa"/>
              <w:bottom w:w="70" w:type="dxa"/>
              <w:left w:w="70" w:type="dxa"/>
              <w:right w:w="70" w:type="dxa"/>
            </w:tcMar>
          </w:tcPr>
          <w:p>
            <w:pPr>
              <w:keepNext w:val="0"/>
              <w:keepLines w:val="0"/>
              <w:widowControl/>
              <w:spacing w:line="360" w:lineRule="auto" w:after="0" w:before="0"/>
              <w:ind w:firstLine="0"/>
              <w:jc w:val="left"/>
            </w:pPr>
            <w:r>
              <w:rPr>
                <w:rFonts w:ascii="宋体" w:hAnsi="宋体" w:eastAsia="宋体"/>
                <w:b w:val="0"/>
                <w:i w:val="0"/>
                <w:color w:val="000000"/>
                <w:sz w:val="24"/>
              </w:rPr>
              <w:t>零方差、无穷方差或负截断下界</w:t>
            </w:r>
          </w:p>
        </w:tc>
      </w:tr>
    </w:tbl>
    <w:p>
      <w:pPr>
        <w:keepNext w:val="0"/>
        <w:spacing w:line="360" w:lineRule="auto" w:after="120" w:before="0"/>
        <w:ind w:firstLine="480"/>
      </w:pPr>
      <w:r>
        <w:rPr>
          <w:rFonts w:ascii="宋体" w:hAnsi="宋体" w:eastAsia="宋体"/>
          <w:b w:val="0"/>
          <w:sz w:val="24"/>
        </w:rPr>
        <w:t>补充：OLH概率与估计符号。下列等式在理想均匀哈希碰撞模型下给出p、r、q及反偏置计数口径；固定哈希种子的ε-LDP证明不要求该均匀碰撞假设。</w:t>
      </w:r>
    </w:p>
    <w:p>
      <w:pPr>
        <w:widowControl/>
        <w:spacing w:before="60" w:after="120" w:line="360" w:lineRule="auto"/>
        <w:jc w:val="center"/>
      </w:pPr>
      <m:oMathPara>
        <m:oMath>
          <m:sSub>
            <m:sSubPr/>
            <m:e>
              <m:r>
                <m:rPr>
                  <m:sty m:val="i"/>
                </m:rPr>
                <m:t>Ĉ</m:t>
              </m:r>
            </m:e>
            <m:sub>
              <m:r>
                <m:t>i</m:t>
              </m:r>
            </m:sub>
          </m:sSub>
          <m:r>
            <m:t> = </m:t>
          </m:r>
          <m:f>
            <m:fPr/>
            <m:num>
              <m:r>
                <m:t>cᵢ − Nq</m:t>
              </m:r>
            </m:num>
            <m:den>
              <m:r>
                <m:t>p − q</m:t>
              </m:r>
            </m:den>
          </m:f>
          <m:r>
            <m:t>， p=</m:t>
          </m:r>
          <m:f>
            <m:fPr/>
            <m:num>
              <m:sSup>
                <m:sSupPr/>
                <m:e>
                  <m:r>
                    <m:rPr>
                      <m:sty m:val="i"/>
                    </m:rPr>
                    <m:t>e</m:t>
                  </m:r>
                </m:e>
                <m:sup>
                  <m:r>
                    <m:t>ε</m:t>
                  </m:r>
                </m:sup>
              </m:sSup>
            </m:num>
            <m:den>
              <m:sSup>
                <m:sSupPr/>
                <m:e>
                  <m:r>
                    <m:rPr>
                      <m:sty m:val="i"/>
                    </m:rPr>
                    <m:t>e</m:t>
                  </m:r>
                </m:e>
                <m:sup>
                  <m:r>
                    <m:t>ε</m:t>
                  </m:r>
                </m:sup>
              </m:sSup>
              <m:r>
                <m:t>+g−1</m:t>
              </m:r>
            </m:den>
          </m:f>
          <m:r>
            <m:t>， r=</m:t>
          </m:r>
          <m:f>
            <m:fPr/>
            <m:num>
              <m:r>
                <m:t>1</m:t>
              </m:r>
            </m:num>
            <m:den>
              <m:sSup>
                <m:sSupPr/>
                <m:e>
                  <m:r>
                    <m:rPr>
                      <m:sty m:val="i"/>
                    </m:rPr>
                    <m:t>e</m:t>
                  </m:r>
                </m:e>
                <m:sup>
                  <m:r>
                    <m:t>ε</m:t>
                  </m:r>
                </m:sup>
              </m:sSup>
              <m:r>
                <m:t>+g−1</m:t>
              </m:r>
            </m:den>
          </m:f>
          <m:r>
            <m:t>， q=1/g</m:t>
          </m:r>
        </m:oMath>
      </m:oMathPara>
    </w:p>
    <w:p>
      <w:pPr>
        <w:widowControl/>
        <w:spacing w:before="60" w:after="120" w:line="360" w:lineRule="auto"/>
        <w:jc w:val="center"/>
      </w:pPr>
      <m:oMathPara>
        <m:oMath>
          <m:sSub>
            <m:sSubPr/>
            <m:e>
              <m:r>
                <m:rPr>
                  <m:sty m:val="i"/>
                </m:rPr>
                <m:t>f</m:t>
              </m:r>
            </m:e>
            <m:sub>
              <m:r>
                <m:t>i</m:t>
              </m:r>
            </m:sub>
          </m:sSub>
          <m:r>
            <m:t> = max(0, Ĉᵢ)/N</m:t>
          </m:r>
        </m:oMath>
      </m:oMathPara>
    </w:p>
    <w:p>
      <w:pPr>
        <w:widowControl/>
        <w:spacing w:line="360" w:lineRule="auto" w:before="0" w:after="120"/>
        <w:ind w:firstLine="420"/>
        <w:jc w:val="both"/>
      </w:pPr>
      <w:r>
        <w:rPr>
          <w:rFonts w:ascii="宋体" w:hAnsi="宋体" w:eastAsia="宋体" w:cs="宋体"/>
          <w:b w:val="0"/>
          <w:i w:val="0"/>
          <w:sz w:val="24"/>
          <w:szCs w:val="24"/>
        </w:rPr>
        <w:t>需要区分隐私性和估计性。固定哈希种子时，随机响应的似然比给出ε-LDP；哈希碰撞近似均匀才用于把非目标概率写成q并支持无偏估计。当前端到端发布实现固定采用SplitMix64 fallback哈希，仓库没有证明该哈希族具有通用均匀碰撞性质，因此无偏性和方差公式以理想碰撞模型为理论口径，实际实现效果由登记实验衡量。发布端的候选筛选、非负截断、签名和网关融合都是已扰动报告的后处理；经过数据依赖筛选后，最终Top-m频率不能继续表述为严格无偏。</w:t>
      </w:r>
    </w:p>
    <w:p>
      <w:pPr>
        <w:pStyle w:val="2"/>
        <w:keepNext/>
        <w:keepLines/>
        <w:pageBreakBefore/>
        <w:spacing w:line="360" w:lineRule="auto" w:after="160" w:before="0"/>
        <w:ind w:firstLine="0"/>
        <w:jc w:val="center"/>
      </w:pPr>
      <w:bookmarkStart w:id="1060" w:name="RR_061"/>
      <w:r>
        <w:rPr>
          <w:rFonts w:ascii="宋体" w:hAnsi="宋体" w:eastAsia="宋体"/>
          <w:b/>
          <w:sz w:val="32"/>
        </w:rPr>
        <w:t>附录B 结论与证据定位</w:t>
      </w:r>
      <w:bookmarkEnd w:id="1060"/>
    </w:p>
    <w:p>
      <w:pPr>
        <w:keepNext w:val="0"/>
        <w:spacing w:line="360" w:lineRule="auto" w:after="120" w:before="0"/>
        <w:ind w:firstLine="480"/>
      </w:pPr>
      <w:r>
        <w:rPr>
          <w:rFonts w:ascii="宋体" w:hAnsi="宋体" w:eastAsia="宋体"/>
          <w:b w:val="0"/>
          <w:sz w:val="24"/>
        </w:rPr>
        <w:t>本索引只保留阅读正文所需的主要结论入口。每个编号对应不可覆盖的原运行与核对产物；全历史条目、修复失败现场和跨机回传清单见《工程验证与历史记录附件》。统计复算核对已有输出，不证明历史运行前的冻结时序。</w:t>
      </w:r>
    </w:p>
    <w:p>
      <w:pPr>
        <w:keepNext/>
        <w:spacing w:line="360" w:lineRule="auto" w:after="120" w:before="0"/>
        <w:ind w:firstLine="0"/>
        <w:jc w:val="center"/>
      </w:pPr>
      <w:r>
        <w:rPr>
          <w:rFonts w:ascii="宋体" w:hAnsi="宋体" w:eastAsia="宋体"/>
          <w:b w:val="0"/>
          <w:sz w:val="24"/>
        </w:rPr>
        <w:t>表B-1 正文结论与证据入口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656"/>
        <w:gridCol w:w="5112"/>
      </w:tblGrid>
      <w:tr>
        <w:trPr>
          <w:cantSplit/>
          <w:tblHeader/>
        </w:trPr>
        <w:tc>
          <w:tcPr>
            <w:tcW w:type="dxa" w:w="2088"/>
            <w:vAlign w:val="center"/>
            <w:shd w:fill="E7E6E6"/>
            <w:tcMar>
              <w:top w:w="70" w:type="dxa"/>
              <w:bottom w:w="70" w:type="dxa"/>
              <w:left w:w="70" w:type="dxa"/>
              <w:right w:w="70" w:type="dxa"/>
            </w:tcMar>
          </w:tcPr>
          <w:p>
            <w:pPr>
              <w:keepNext/>
              <w:spacing w:line="360" w:lineRule="auto" w:before="0" w:after="0"/>
              <w:ind w:firstLine="0"/>
            </w:pPr>
            <w:r>
              <w:rPr>
                <w:rFonts w:ascii="宋体" w:hAnsi="宋体" w:eastAsia="宋体"/>
                <w:b/>
                <w:sz w:val="24"/>
              </w:rPr>
              <w:t>正文结论</w:t>
            </w:r>
          </w:p>
        </w:tc>
        <w:tc>
          <w:tcPr>
            <w:tcW w:type="dxa" w:w="1656"/>
            <w:vAlign w:val="center"/>
            <w:shd w:fill="E7E6E6"/>
            <w:tcMar>
              <w:top w:w="70" w:type="dxa"/>
              <w:bottom w:w="70" w:type="dxa"/>
              <w:left w:w="70" w:type="dxa"/>
              <w:right w:w="70" w:type="dxa"/>
            </w:tcMar>
          </w:tcPr>
          <w:p>
            <w:pPr>
              <w:keepNext/>
              <w:spacing w:line="360" w:lineRule="auto" w:before="0" w:after="0"/>
              <w:ind w:firstLine="0"/>
            </w:pPr>
            <w:r>
              <w:rPr>
                <w:rFonts w:ascii="宋体" w:hAnsi="宋体" w:eastAsia="宋体"/>
                <w:b/>
                <w:sz w:val="24"/>
              </w:rPr>
              <w:t>登记证据</w:t>
            </w:r>
          </w:p>
        </w:tc>
        <w:tc>
          <w:tcPr>
            <w:tcW w:type="dxa" w:w="5112"/>
            <w:vAlign w:val="center"/>
            <w:shd w:fill="E7E6E6"/>
            <w:tcMar>
              <w:top w:w="70" w:type="dxa"/>
              <w:bottom w:w="70" w:type="dxa"/>
              <w:left w:w="70" w:type="dxa"/>
              <w:right w:w="70" w:type="dxa"/>
            </w:tcMar>
          </w:tcPr>
          <w:p>
            <w:pPr>
              <w:keepNext/>
              <w:spacing w:line="360" w:lineRule="auto" w:before="0" w:after="0"/>
              <w:ind w:firstLine="0"/>
            </w:pPr>
            <w:r>
              <w:rPr>
                <w:rFonts w:ascii="宋体" w:hAnsi="宋体" w:eastAsia="宋体"/>
                <w:b/>
                <w:sz w:val="24"/>
              </w:rPr>
              <w:t>读取与解释范围</w:t>
            </w:r>
          </w:p>
        </w:tc>
      </w:tr>
      <w:tr>
        <w:trPr>
          <w:cantSplit/>
        </w:trPr>
        <w:tc>
          <w:tcPr>
            <w:tcW w:type="dxa" w:w="2088"/>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两层防御的攻击变化</w:t>
            </w:r>
          </w:p>
        </w:tc>
        <w:tc>
          <w:tcPr>
            <w:tcW w:type="dxa" w:w="1656"/>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E9；3.4.2</w:t>
            </w:r>
          </w:p>
        </w:tc>
        <w:tc>
          <w:tcPr>
            <w:tcW w:type="dxa" w:w="511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SECURITY_V2原CSV及summary；五种子和全部目标；保留未达预注册条件。</w:t>
            </w:r>
          </w:p>
        </w:tc>
      </w:tr>
      <w:tr>
        <w:trPr>
          <w:cantSplit/>
        </w:trPr>
        <w:tc>
          <w:tcPr>
            <w:tcW w:type="dxa" w:w="2088"/>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隐私效用和参数</w:t>
            </w:r>
          </w:p>
        </w:tc>
        <w:tc>
          <w:tcPr>
            <w:tcW w:type="dxa" w:w="1656"/>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E10、E14；3.4.3</w:t>
            </w:r>
          </w:p>
        </w:tc>
        <w:tc>
          <w:tcPr>
            <w:tcW w:type="dxa" w:w="511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UTILITY_V1及封顶等价记录；拒答计0，不能外推业务收益。</w:t>
            </w:r>
          </w:p>
        </w:tc>
      </w:tr>
      <w:tr>
        <w:trPr>
          <w:cantSplit/>
        </w:trPr>
        <w:tc>
          <w:tcPr>
            <w:tcW w:type="dxa" w:w="2088"/>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权重封顶复验</w:t>
            </w:r>
          </w:p>
        </w:tc>
        <w:tc>
          <w:tcPr>
            <w:tcW w:type="dxa" w:w="1656"/>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E13；3.4.2</w:t>
            </w:r>
          </w:p>
        </w:tc>
        <w:tc>
          <w:tcPr>
            <w:tcW w:type="dxa" w:w="511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SECURITY_V4新种子，同数据及攻击族；不是新外部数据集。</w:t>
            </w:r>
          </w:p>
        </w:tc>
      </w:tr>
      <w:tr>
        <w:trPr>
          <w:cantSplit/>
        </w:trPr>
        <w:tc>
          <w:tcPr>
            <w:tcW w:type="dxa" w:w="2088"/>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四方法相对表现</w:t>
            </w:r>
          </w:p>
        </w:tc>
        <w:tc>
          <w:tcPr>
            <w:tcW w:type="dxa" w:w="1656"/>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E28；3.4.1</w:t>
            </w:r>
          </w:p>
        </w:tc>
        <w:tc>
          <w:tcPr>
            <w:tcW w:type="dxa" w:w="511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三组compare_v1原件与review；8640行、216方法单元；描述性比较。</w:t>
            </w:r>
          </w:p>
        </w:tc>
      </w:tr>
      <w:tr>
        <w:trPr>
          <w:cantSplit/>
        </w:trPr>
        <w:tc>
          <w:tcPr>
            <w:tcW w:type="dxa" w:w="2088"/>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符号协议性质</w:t>
            </w:r>
          </w:p>
        </w:tc>
        <w:tc>
          <w:tcPr>
            <w:tcW w:type="dxa" w:w="1656"/>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E16；2.6.3</w:t>
            </w:r>
          </w:p>
        </w:tc>
        <w:tc>
          <w:tcPr>
            <w:tcW w:type="dxa" w:w="511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ProVerif模型、查询、可达性与四个负对照；不含预算数值及统计防御。</w:t>
            </w:r>
          </w:p>
        </w:tc>
      </w:tr>
      <w:tr>
        <w:trPr>
          <w:cantSplit/>
        </w:trPr>
        <w:tc>
          <w:tcPr>
            <w:tcW w:type="dxa" w:w="2088"/>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旧管线通信开销</w:t>
            </w:r>
          </w:p>
        </w:tc>
        <w:tc>
          <w:tcPr>
            <w:tcW w:type="dxa" w:w="1656"/>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E6；3.4.7</w:t>
            </w:r>
          </w:p>
        </w:tc>
        <w:tc>
          <w:tcPr>
            <w:tcW w:type="dxa" w:w="511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m=20、合成Zipf数据；旧单机微基准。</w:t>
            </w:r>
          </w:p>
        </w:tc>
      </w:tr>
      <w:tr>
        <w:trPr>
          <w:cantSplit/>
        </w:trPr>
        <w:tc>
          <w:tcPr>
            <w:tcW w:type="dxa" w:w="2088"/>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当前程序验证</w:t>
            </w:r>
          </w:p>
        </w:tc>
        <w:tc>
          <w:tcPr>
            <w:tcW w:type="dxa" w:w="1656"/>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E34；3.4.5</w:t>
            </w:r>
          </w:p>
        </w:tc>
        <w:tc>
          <w:tcPr>
            <w:tcW w:type="dxa" w:w="5112"/>
            <w:vAlign w:val="center"/>
            <w:tcMar>
              <w:top w:w="70" w:type="dxa"/>
              <w:bottom w:w="70" w:type="dxa"/>
              <w:left w:w="70" w:type="dxa"/>
              <w:right w:w="70" w:type="dxa"/>
            </w:tcMar>
          </w:tcPr>
          <w:p>
            <w:pPr>
              <w:keepNext w:val="0"/>
              <w:spacing w:line="360" w:lineRule="auto" w:before="0" w:after="0"/>
              <w:ind w:firstLine="0"/>
            </w:pPr>
            <w:r>
              <w:rPr>
                <w:rFonts w:ascii="宋体" w:hAnsi="宋体" w:eastAsia="宋体"/>
                <w:b w:val="0"/>
                <w:sz w:val="24"/>
              </w:rPr>
              <w:t>backend_validation/20261017_review_delivery；测试、请求、截图与程序指纹。</w:t>
            </w:r>
          </w:p>
        </w:tc>
      </w:tr>
    </w:tbl>
    <w:p>
      <w:pPr>
        <w:keepNext w:val="0"/>
        <w:spacing w:line="360" w:lineRule="auto" w:after="120" w:before="0"/>
        <w:ind w:firstLine="480"/>
      </w:pPr>
      <w:r>
        <w:rPr>
          <w:rFonts w:ascii="宋体" w:hAnsi="宋体" w:eastAsia="宋体"/>
          <w:b w:val="0"/>
          <w:sz w:val="24"/>
        </w:rPr>
        <w:t>四方法证据由GET /api/evidence/a8/descriptive读取，严格预注册绑定入口单独保留。表格、图与页面均读取规范摘要，并核原件与派生物指纹；哈希一致不补足冻结缺口。既有算法主运行的4,176个统计字段、E28的35,815个字段复算均无差异，细目见工程附件。</w:t>
      </w:r>
    </w:p>
    <w:p>
      <w:pPr>
        <w:pStyle w:val="2"/>
        <w:keepNext/>
        <w:keepLines/>
        <w:pageBreakBefore/>
        <w:spacing w:line="360" w:lineRule="auto" w:after="160" w:before="0"/>
        <w:ind w:firstLine="0"/>
        <w:jc w:val="center"/>
      </w:pPr>
      <w:bookmarkStart w:id="1061" w:name="RR_062"/>
      <w:r>
        <w:rPr>
          <w:rFonts w:ascii="宋体" w:hAnsi="宋体" w:eastAsia="宋体"/>
          <w:b/>
          <w:sz w:val="32"/>
        </w:rPr>
        <w:t>附录C 当前程序运行与复现</w:t>
      </w:r>
      <w:bookmarkEnd w:id="1061"/>
    </w:p>
    <w:p>
      <w:pPr>
        <w:pStyle w:val="PEHeading2"/>
        <w:keepNext/>
        <w:keepLines/>
        <w:pageBreakBefore w:val="0"/>
        <w:spacing w:line="360" w:lineRule="auto" w:after="160" w:before="240"/>
        <w:ind w:firstLine="0"/>
        <w:jc w:val="left"/>
      </w:pPr>
      <w:bookmarkStart w:id="1062" w:name="RR_063"/>
      <w:r>
        <w:rPr>
          <w:rFonts w:ascii="宋体" w:hAnsi="宋体" w:eastAsia="宋体"/>
          <w:b/>
          <w:sz w:val="28"/>
        </w:rPr>
        <w:t>C.1 程序版本与三步启动</w:t>
      </w:r>
      <w:bookmarkEnd w:id="1062"/>
    </w:p>
    <w:p>
      <w:pPr>
        <w:keepNext w:val="0"/>
        <w:spacing w:line="360" w:lineRule="auto" w:after="120" w:before="0"/>
        <w:ind w:firstLine="480"/>
        <w:jc w:val="left"/>
      </w:pPr>
      <w:r>
        <w:rPr>
          <w:rFonts w:ascii="宋体" w:hAnsi="宋体" w:eastAsia="宋体"/>
          <w:b w:val="0"/>
          <w:sz w:val="24"/>
        </w:rPr>
        <w:t>当前冻结程序为PrivEdge_评审演示与复现_E34_20261017.zip，大小66,784,721字节，SHA-256为4c5429d52c847319851d0bd664be76a5a5be1ed11a88243ed3612310a29a44fa。包内6,064项载荷及package_manifest.json已逐项核对，并在含中文及空格的新解压目录自检通过。程序包括隔离CPython、现成前端、三套标准表、既有实验、38项Python依赖以及ProVerif 2.05和完整同版工具源码；最终实体第二电脑验收仍需另行完成。</w:t>
      </w:r>
    </w:p>
    <w:p>
      <w:pPr>
        <w:keepNext w:val="0"/>
        <w:spacing w:line="360" w:lineRule="auto" w:after="120" w:before="0"/>
        <w:ind w:firstLine="480"/>
      </w:pPr>
      <w:r>
        <w:rPr>
          <w:rFonts w:ascii="宋体" w:hAnsi="宋体" w:eastAsia="宋体"/>
          <w:b w:val="0"/>
          <w:sz w:val="24"/>
        </w:rPr>
        <w:t>第一步，将Windows x64程序包完整解压到本地可写目录，保留目录结构。第二步，运行“验证程序.cmd”核对载荷指纹。第三步，运行“启动程序.cmd”，进入其打开的本机页面。便携包包含隔离Python和锁定依赖，运行现成页面无需安装Python或Node.js。</w:t>
      </w:r>
    </w:p>
    <w:p>
      <w:pPr>
        <w:keepNext w:val="0"/>
        <w:spacing w:line="360" w:lineRule="auto" w:after="120" w:before="0"/>
        <w:ind w:firstLine="480"/>
      </w:pPr>
      <w:r>
        <w:rPr>
          <w:rFonts w:ascii="宋体" w:hAnsi="宋体" w:eastAsia="宋体"/>
          <w:b w:val="0"/>
          <w:sz w:val="24"/>
        </w:rPr>
        <w:t>运行“运行测试.cmd”可复查包内自动回归。服务只监听本机；关闭后重新启动会重建当前内存账本与密钥。源码开发与便携运行是不同入口：需要修改源代码时按照程序README及依赖锁重建，修改前端后重新构建静态文件。</w:t>
      </w:r>
    </w:p>
    <w:p>
      <w:pPr>
        <w:pStyle w:val="PEHeading2"/>
        <w:keepNext/>
        <w:keepLines/>
        <w:pageBreakBefore w:val="0"/>
        <w:spacing w:line="360" w:lineRule="auto" w:after="160" w:before="240"/>
        <w:ind w:firstLine="0"/>
        <w:jc w:val="left"/>
      </w:pPr>
      <w:bookmarkStart w:id="1063" w:name="RR_064"/>
      <w:r>
        <w:rPr>
          <w:rFonts w:ascii="宋体" w:hAnsi="宋体" w:eastAsia="宋体"/>
          <w:b/>
          <w:sz w:val="28"/>
        </w:rPr>
        <w:t>C.2 统计复现的起点与限制</w:t>
      </w:r>
      <w:bookmarkEnd w:id="1063"/>
    </w:p>
    <w:p>
      <w:pPr>
        <w:keepNext w:val="0"/>
        <w:spacing w:line="360" w:lineRule="auto" w:after="120" w:before="0"/>
        <w:ind w:firstLine="480"/>
      </w:pPr>
      <w:r>
        <w:rPr>
          <w:rFonts w:ascii="宋体" w:hAnsi="宋体" w:eastAsia="宋体"/>
          <w:b w:val="0"/>
          <w:sz w:val="24"/>
        </w:rPr>
        <w:t>统计复现以第三章列出的三套标准表为起点，先核对domain.json所记录的数据哈希，再按对应预注册方案在新运行目录执行；不得覆盖旧runs、review或原始数据。每次保留参数、种子、代码和数据指纹、环境、时间及产物清单。</w:t>
      </w:r>
    </w:p>
    <w:p>
      <w:pPr>
        <w:keepNext w:val="0"/>
        <w:spacing w:line="360" w:lineRule="auto" w:after="120" w:before="0"/>
        <w:ind w:firstLine="480"/>
      </w:pPr>
      <w:r>
        <w:rPr>
          <w:rFonts w:ascii="宋体" w:hAnsi="宋体" w:eastAsia="宋体"/>
          <w:b w:val="0"/>
          <w:sz w:val="24"/>
        </w:rPr>
        <w:t>“快速核心统计复现.cmd”执行三数据、首目标、首种子的小网格；“完整A8四方法重算.cmd”给出全部目标、种子和攻击场景的运行入口。快速网格216行已执行并独立复核，完整8,640行网格仅核对执行计划，未在E34完整重跑。所有新结果写入独立运行及reproduction_outputs目录，不改写E28或取得确认性资格。</w:t>
      </w:r>
    </w:p>
    <w:p>
      <w:pPr>
        <w:keepNext w:val="0"/>
        <w:spacing w:line="360" w:lineRule="auto" w:after="120" w:before="0"/>
        <w:ind w:firstLine="480"/>
      </w:pPr>
      <w:r>
        <w:rPr>
          <w:rFonts w:ascii="宋体" w:hAnsi="宋体" w:eastAsia="宋体"/>
          <w:b w:val="0"/>
          <w:sz w:val="24"/>
        </w:rPr>
        <w:t>“重跑形式化验证.cmd”调用随包ProVerif 2.05，主模型与四个负对照已经实际求解。“从历史证据重建图表.cmd”从已有统计重绘五张实验图及两张架构、协议图，已生成七组PNG/SVG；重绘不等于重新计算统计实验。图表依赖、制图源码、工具许可及ProVerif完整源码随包，运行入口无需联网安装。</w:t>
      </w:r>
    </w:p>
    <w:p>
      <w:pPr>
        <w:keepNext w:val="0"/>
        <w:spacing w:line="360" w:lineRule="auto" w:after="120" w:before="0"/>
        <w:ind w:firstLine="480"/>
      </w:pPr>
      <w:r>
        <w:rPr>
          <w:rFonts w:ascii="宋体" w:hAnsi="宋体" w:eastAsia="宋体"/>
          <w:b w:val="0"/>
          <w:sz w:val="24"/>
        </w:rPr>
        <w:t>每次复现保留命令、环境、输入指纹、独立日志、状态与输出索引，并在结束后复查登记载荷未被改写。完整原始下载和预处理依赖链尚未独立重建；现有离线复现起点是随包标准表，不能仅据研究脚本存在认定原始数据至结果已经复现。</w:t>
      </w:r>
    </w:p>
    <w:p>
      <w:pPr>
        <w:keepNext w:val="0"/>
        <w:spacing w:line="360" w:lineRule="auto" w:after="120" w:before="0"/>
        <w:ind w:firstLine="480"/>
      </w:pPr>
      <w:r>
        <w:rPr>
          <w:rFonts w:ascii="宋体" w:hAnsi="宋体" w:eastAsia="宋体"/>
          <w:b w:val="0"/>
          <w:sz w:val="24"/>
        </w:rPr>
        <w:t>最终第二电脑验收须记录ZIP指纹、实体设备、系统版本、测试日志、三数据五页操作及失败复测，并由实际执行人确认。历史运行命令、安装和异机回传记录见工程附件；同机新目录解压不代替实体异机验收。</w:t>
      </w:r>
    </w:p>
    <w:p>
      <w:pPr>
        <w:pStyle w:val="2"/>
        <w:keepNext/>
        <w:keepLines/>
        <w:pageBreakBefore/>
        <w:spacing w:line="360" w:lineRule="auto" w:after="160" w:before="0"/>
        <w:ind w:firstLine="0"/>
        <w:jc w:val="center"/>
      </w:pPr>
      <w:bookmarkStart w:id="1064" w:name="RR_065"/>
      <w:r>
        <w:rPr>
          <w:rFonts w:ascii="宋体" w:hAnsi="宋体" w:eastAsia="宋体"/>
          <w:b/>
          <w:sz w:val="32"/>
        </w:rPr>
        <w:t>附录D 来源与第三方许可</w:t>
      </w:r>
      <w:bookmarkEnd w:id="1064"/>
    </w:p>
    <w:p>
      <w:pPr>
        <w:pStyle w:val="PEHeading2"/>
        <w:keepNext/>
        <w:keepLines/>
        <w:pageBreakBefore w:val="0"/>
        <w:spacing w:line="360" w:lineRule="auto" w:after="160" w:before="240"/>
        <w:ind w:firstLine="0"/>
        <w:jc w:val="left"/>
      </w:pPr>
      <w:bookmarkStart w:id="1065" w:name="RR_066"/>
      <w:r>
        <w:rPr>
          <w:rFonts w:ascii="宋体" w:hAnsi="宋体" w:eastAsia="宋体"/>
          <w:b/>
          <w:sz w:val="28"/>
        </w:rPr>
        <w:t>D.1 原创范围与代码来源</w:t>
      </w:r>
      <w:bookmarkEnd w:id="1065"/>
    </w:p>
    <w:p>
      <w:pPr>
        <w:keepNext w:val="0"/>
        <w:spacing w:line="360" w:lineRule="auto" w:after="120" w:before="0"/>
        <w:ind w:firstLine="480"/>
      </w:pPr>
      <w:r>
        <w:rPr>
          <w:rFonts w:ascii="宋体" w:hAnsi="宋体" w:eastAsia="宋体"/>
          <w:b w:val="0"/>
          <w:sz w:val="24"/>
        </w:rPr>
        <w:t>本队自有原始研究代码的原样内核与新增工程层分开登记。OLH、MGA和Ed25519等既有方法按实际使用引用，不列为本队独创；文件一致只证明副本一致，不独立证明作者和权利归属。</w:t>
      </w:r>
    </w:p>
    <w:p>
      <w:pPr>
        <w:keepNext/>
        <w:spacing w:line="360" w:lineRule="auto" w:after="120" w:before="0"/>
        <w:ind w:firstLine="0"/>
        <w:jc w:val="center"/>
      </w:pPr>
      <w:r>
        <w:rPr>
          <w:rFonts w:ascii="宋体" w:hAnsi="宋体" w:eastAsia="宋体"/>
          <w:b w:val="0"/>
          <w:sz w:val="24"/>
        </w:rPr>
        <w:t>表D-1 实现来源与本项目工作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572"/>
        <w:gridCol w:w="3260"/>
      </w:tblGrid>
      <w:tr>
        <w:trPr>
          <w:cantSplit/>
          <w:tblHeader/>
        </w:trPr>
        <w:tc>
          <w:tcPr>
            <w:tcW w:type="dxa" w:w="1984"/>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部分</w:t>
            </w:r>
          </w:p>
        </w:tc>
        <w:tc>
          <w:tcPr>
            <w:tcW w:type="dxa" w:w="3572"/>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来源或本项目工作</w:t>
            </w:r>
          </w:p>
        </w:tc>
        <w:tc>
          <w:tcPr>
            <w:tcW w:type="dxa" w:w="3260"/>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复核依据</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研究内核</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原样保留fusion、metrics、ldp_protocols等9个研究文件</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research_core清单及原始研究快照</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OLH工程接口</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分离扰动、聚合及支持矩阵计算，固定备用哈希</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ldp.py及逐位一致性回归测试</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安全与决策层</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摘要信封、角色密钥、预算账本、网关、截尾、支持规则、权重封顶与三态</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envelope、keys、ledger、gateway、robust、decision等实现</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实验及演示</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预注册运行器、图表、形式模型、FastAPI接口与React页面</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experiments、formal、server、web/src</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验证与复现</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验收测试、证据复算、候选修复复测、运行说明及许可归档</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qa/b_20261013、qa/b_retest_20261013及新增测试文件</w:t>
            </w:r>
          </w:p>
        </w:tc>
      </w:tr>
    </w:tbl>
    <w:p>
      <w:pPr>
        <w:widowControl/>
        <w:spacing w:line="360" w:lineRule="auto"/>
      </w:pPr>
      <w:r>
        <w:rPr>
          <w:rFonts w:ascii="宋体" w:hAnsi="宋体" w:eastAsia="宋体" w:cs="宋体"/>
          <w:sz w:val="24"/>
          <w:szCs w:val="24"/>
        </w:rPr>
        <w:t>已核对的OLH移植上游为Tianhao Wang维护的LDP_Protocols，并保留MIT许可、署名和固定核对快照。核对快照commit为f7252b07733dc0e100e2f077218ab2d35d3519d5，不等于当年移植版本已确认；历史来源包或版本仍需提供者确认。研究内核原字节保持不变，不笼统称全部代码按论文独立实现。</w:t>
      </w:r>
    </w:p>
    <w:p>
      <w:pPr>
        <w:keepNext w:val="0"/>
        <w:keepLines/>
        <w:spacing w:line="360" w:lineRule="auto" w:after="120" w:before="0"/>
        <w:ind w:firstLine="480"/>
      </w:pPr>
      <w:r>
        <w:rPr>
          <w:rFonts w:ascii="宋体" w:hAnsi="宋体" w:eastAsia="宋体"/>
          <w:b w:val="0"/>
          <w:sz w:val="24"/>
        </w:rPr>
        <w:t>成员实际贡献、权利归属及原创性声明须本人确认和签署。AI辅助参与代码修改、验证脚本、证据核对与报告整理，不能替代成员的实际贡献或独立人工验收。正式声明另按当届模板提交。</w:t>
      </w:r>
    </w:p>
    <w:p>
      <w:pPr>
        <w:pStyle w:val="PEHeading2"/>
        <w:keepNext/>
        <w:keepLines/>
        <w:pageBreakBefore w:val="0"/>
        <w:spacing w:line="360" w:lineRule="auto" w:after="160" w:before="240"/>
        <w:ind w:firstLine="0"/>
        <w:jc w:val="left"/>
      </w:pPr>
      <w:bookmarkStart w:id="1066" w:name="RR_067"/>
      <w:r>
        <w:rPr>
          <w:rFonts w:ascii="宋体" w:hAnsi="宋体" w:eastAsia="宋体"/>
          <w:b/>
          <w:sz w:val="28"/>
        </w:rPr>
        <w:t>D.2 数据来源与许可</w:t>
      </w:r>
      <w:bookmarkEnd w:id="1066"/>
    </w:p>
    <w:p>
      <w:pPr>
        <w:keepNext/>
        <w:spacing w:line="360" w:lineRule="auto" w:after="120" w:before="0"/>
        <w:ind w:firstLine="0"/>
        <w:jc w:val="center"/>
      </w:pPr>
      <w:r>
        <w:rPr>
          <w:rFonts w:ascii="宋体" w:hAnsi="宋体" w:eastAsia="宋体"/>
          <w:b w:val="0"/>
          <w:sz w:val="24"/>
        </w:rPr>
        <w:t>表D-2 数据来源与许可核实状态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572"/>
        <w:gridCol w:w="3260"/>
      </w:tblGrid>
      <w:tr>
        <w:trPr>
          <w:cantSplit/>
          <w:tblHeader/>
        </w:trPr>
        <w:tc>
          <w:tcPr>
            <w:tcW w:type="dxa" w:w="1984"/>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数据或材料</w:t>
            </w:r>
          </w:p>
        </w:tc>
        <w:tc>
          <w:tcPr>
            <w:tcW w:type="dxa" w:w="3572"/>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已核对的公开来源与许可</w:t>
            </w:r>
          </w:p>
        </w:tc>
        <w:tc>
          <w:tcPr>
            <w:tcW w:type="dxa" w:w="3260"/>
            <w:vAlign w:val="center"/>
            <w:tcMar>
              <w:top w:w="70" w:type="dxa"/>
              <w:bottom w:w="70" w:type="dxa"/>
              <w:left w:w="70" w:type="dxa"/>
              <w:right w:w="70" w:type="dxa"/>
            </w:tcMar>
            <w:shd w:fill="E7E6E6"/>
          </w:tcPr>
          <w:p>
            <w:pPr>
              <w:keepNext/>
              <w:keepLines w:val="0"/>
              <w:widowControl/>
              <w:spacing w:before="0" w:after="0" w:line="360" w:lineRule="auto"/>
              <w:ind w:firstLine="0"/>
              <w:jc w:val="center"/>
              <w:snapToGrid w:val="0"/>
            </w:pPr>
            <w:r>
              <w:rPr>
                <w:rFonts w:ascii="宋体" w:hAnsi="宋体" w:eastAsia="宋体" w:cs="宋体"/>
                <w:b/>
                <w:color w:val="000000"/>
                <w:sz w:val="24"/>
              </w:rPr>
              <w:t>实际状态与边界</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美团TRD</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Zenodo 8025855，Liu Yijian，版本1.0；官方API的metadata.license.id为cc-by-4.0</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已归档CC BY 4.0字段及许可原文；美团向上传者授权的独立依据仍待确认。</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Olist</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Kaggle的olistbr/brazilian-ecommerce；官方元数据ownerName为Olist，licenseName为CC BY-NC-SA 4.0</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官方字段和许可原文已归档；保留历史原包核对记录，本轮没有重新下载全部原始数据。</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Massive-STEPS</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官方仓库cruiseresearchgroup/Massive-STEPS；当前代码为Apache-2.0</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当前代码许可已归档，不能代替项目冻结数据许可；实际下载版本及上游字段链仍须补证。</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Semantic Trails</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Figshare官方API返回v2，DOI 10.6084/m9.figshare.7429076.v2，license.name为CC0</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数据许可字段及原文已取得；尚需对应本项目确切原始文件版本，代码许可另行对待。</w:t>
            </w:r>
          </w:p>
        </w:tc>
      </w:tr>
      <w:tr>
        <w:trPr>
          <w:cantSplit/>
        </w:trPr>
        <w:tc>
          <w:tcPr>
            <w:tcW w:type="dxa" w:w="1984"/>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OSM/ohsome上下文</w:t>
            </w:r>
          </w:p>
        </w:tc>
        <w:tc>
          <w:tcPr>
            <w:tcW w:type="dxa" w:w="3572"/>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OpenStreetMap官方版权页标明ODbL；经HeiGIT ohsome提取，既有缓存保留OSM署名</w:t>
            </w:r>
          </w:p>
        </w:tc>
        <w:tc>
          <w:tcPr>
            <w:tcW w:type="dxa" w:w="3260"/>
            <w:vAlign w:val="center"/>
            <w:tcMar>
              <w:top w:w="70" w:type="dxa"/>
              <w:bottom w:w="70" w:type="dxa"/>
              <w:left w:w="70" w:type="dxa"/>
              <w:right w:w="70" w:type="dxa"/>
            </w:tcMar>
          </w:tcPr>
          <w:p>
            <w:pPr>
              <w:keepNext w:val="0"/>
              <w:keepLines w:val="0"/>
              <w:widowControl/>
              <w:spacing w:before="0" w:after="0" w:line="360" w:lineRule="auto"/>
              <w:ind w:firstLine="0"/>
              <w:jc w:val="left"/>
              <w:snapToGrid w:val="0"/>
            </w:pPr>
            <w:r>
              <w:rPr>
                <w:rFonts w:ascii="宋体" w:hAnsi="宋体" w:eastAsia="宋体" w:cs="宋体"/>
                <w:b w:val="0"/>
                <w:color w:val="000000"/>
                <w:sz w:val="24"/>
              </w:rPr>
              <w:t>正式清单已补© OpenStreetMap contributors、ODbL链接及服务来源，并随包保存完整许可。</w:t>
            </w:r>
          </w:p>
        </w:tc>
      </w:tr>
    </w:tbl>
    <w:p>
      <w:pPr>
        <w:keepNext w:val="0"/>
        <w:widowControl/>
        <w:spacing w:before="0" w:after="100" w:line="360" w:lineRule="auto"/>
        <w:jc w:val="left"/>
        <w:snapToGrid w:val="0"/>
      </w:pPr>
      <w:r>
        <w:rPr>
          <w:rFonts w:ascii="宋体" w:hAnsi="宋体" w:eastAsia="宋体" w:cs="宋体"/>
          <w:b w:val="0"/>
          <w:color w:val="000000"/>
          <w:sz w:val="24"/>
          <w:szCs w:val="24"/>
        </w:rPr>
        <w:t>三套标准事件表及部分公开上下文随包，原始下载不随包；过滤或去标识不改变来源。TRD注明首单、品类和商圈转换，不写成已取得美团直接授权；Olist保留非商业、署名与相同方式共享说明。OSM上下文保留“© OpenStreetMap contributors”、ODbL 1.0及HeiGIT ohsome来源。</w:t>
      </w:r>
    </w:p>
    <w:p>
      <w:pPr>
        <w:keepNext w:val="0"/>
        <w:spacing w:line="360" w:lineRule="auto" w:after="120" w:before="0"/>
        <w:ind w:firstLine="480"/>
      </w:pPr>
      <w:r>
        <w:rPr>
          <w:rFonts w:ascii="宋体" w:hAnsi="宋体" w:eastAsia="宋体"/>
          <w:b w:val="0"/>
          <w:sz w:val="24"/>
        </w:rPr>
        <w:t>Massive-STEPS另涉及Foursquare Open Source Places，当前代码许可和CC0元数据不能确认全部冻结输入。已有Olist、Massive和TRD研究来源文件的定位及指纹记录，但完整下载处理链与标准表重建尚未独立验证。</w:t>
      </w:r>
    </w:p>
    <w:p>
      <w:pPr>
        <w:pStyle w:val="PEHeading2"/>
        <w:keepNext/>
        <w:keepLines/>
        <w:pageBreakBefore w:val="0"/>
        <w:spacing w:line="360" w:lineRule="auto" w:after="160" w:before="240"/>
        <w:ind w:firstLine="0"/>
        <w:jc w:val="left"/>
      </w:pPr>
      <w:bookmarkStart w:id="1067" w:name="RR_068"/>
      <w:r>
        <w:rPr>
          <w:rFonts w:ascii="宋体" w:hAnsi="宋体" w:eastAsia="宋体"/>
          <w:b/>
          <w:sz w:val="28"/>
        </w:rPr>
        <w:t>D.3 分发组件与未完成确认</w:t>
      </w:r>
      <w:bookmarkEnd w:id="1067"/>
    </w:p>
    <w:p>
      <w:pPr>
        <w:keepNext w:val="0"/>
        <w:spacing w:line="360" w:lineRule="auto" w:after="120" w:before="0"/>
        <w:ind w:firstLine="480"/>
      </w:pPr>
      <w:r>
        <w:rPr>
          <w:rFonts w:ascii="宋体" w:hAnsi="宋体" w:eastAsia="宋体"/>
          <w:b w:val="0"/>
          <w:sz w:val="24"/>
        </w:rPr>
        <w:t>当前程序按实际载荷附带Python运行时、38项Python依赖、前端组件与ProVerif 2.05的许可材料，制图依赖也纳入离线环境。ProVerif的工具目录、许可与完整同版源码归档随包；打包、启动及复现入口保留源码。旧31包及119项许可核查记录在工程附件中按历史范围保留，不作为新载荷的完整清单。</w:t>
      </w:r>
    </w:p>
    <w:p>
      <w:pPr>
        <w:keepNext w:val="0"/>
        <w:spacing w:line="360" w:lineRule="auto" w:after="120" w:before="0"/>
        <w:ind w:firstLine="480"/>
      </w:pPr>
      <w:r>
        <w:rPr>
          <w:rFonts w:ascii="宋体" w:hAnsi="宋体" w:eastAsia="宋体"/>
          <w:b w:val="0"/>
          <w:sz w:val="24"/>
        </w:rPr>
        <w:t>仍需本人确认成员作者与贡献、TRD上游授权依据及Massive冻结输入链。已定位的研究脚本不再视为本机缺失，但脚本存在尚不足以证明完整原始输入链或权利归属。最终分发应按实际载荷核对许可，不把运行通过作为授权证明。</w:t>
      </w:r>
    </w:p>
    <w:sectPr>
      <w:pgSz w:w="11906" w:h="16838"/>
      <w:pgMar w:top="1440" w:right="1466" w:bottom="1440" w:left="16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FKai-SB">
    <w:altName w:val="Microsoft JhengHei Light"/>
    <w:panose1 w:val="00000000000000000000"/>
    <w:charset w:val="88"/>
    <w:family w:val="script"/>
    <w:pitch w:val="default"/>
    <w:sig w:usb0="00000000" w:usb1="00000000" w:usb2="00000016" w:usb3="00000000" w:csb0="0010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EDC91">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06007DDF">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921E2">
    <w:pPr>
      <w:pStyle w:val="3"/>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6</w:t>
    </w:r>
    <w:r>
      <w:rPr>
        <w:szCs w:val="21"/>
      </w:rPr>
      <w:fldChar w:fldCharType="end"/>
    </w:r>
    <w:r>
      <w:rPr>
        <w:rFonts w:hint="eastAsia"/>
        <w:szCs w:val="21"/>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GNlYTNjYzhkOWI3ZTcwMWJiOTE2ZjU4NjBhNGZhZjQifQ=="/>
  </w:docVars>
  <w:rsids>
    <w:rsidRoot w:val="00000000"/>
    <w:rsid w:val="34871393"/>
    <w:rsid w:val="41700E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宋体" w:cs="Times New Roman"/>
      <w:kern w:val="2"/>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lang w:val="zh-CN"/>
    </w:rPr>
  </w:style>
  <w:style w:type="character" w:default="1" w:styleId="6">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lang w:val="zh-CN"/>
    </w:rPr>
  </w:style>
  <w:style w:type="paragraph" w:styleId="4">
    <w:name w:val="toc 1"/>
    <w:basedOn w:val="1"/>
    <w:next w:val="1"/>
    <w:qFormat/>
    <w:uiPriority w:val="39"/>
    <w:rPr>
      <w:sz w:val="28"/>
    </w:rPr>
  </w:style>
  <w:style w:type="character" w:styleId="7">
    <w:name w:val="page number"/>
    <w:basedOn w:val="6"/>
    <w:qFormat/>
    <w:uiPriority w:val="0"/>
  </w:style>
  <w:style w:type="character" w:styleId="8">
    <w:name w:val="Hyperlink"/>
    <w:qFormat/>
    <w:uiPriority w:val="99"/>
    <w:rPr>
      <w:color w:val="000066"/>
      <w:u w:val="none"/>
    </w:rPr>
  </w:style>
  <w:style w:type="paragraph" w:styleId="PEHeading2">
    <w:name w:val="heading 2"/>
    <w:basedOn w:val="1"/>
    <w:next w:val="1"/>
    <w:qFormat/>
    <w:uiPriority w:val="0"/>
    <w:pPr>
      <w:keepNext/>
      <w:keepLines/>
      <w:spacing w:before="340" w:after="330" w:line="578" w:lineRule="auto"/>
      <w:outlineLvl w:val="1"/>
    </w:pPr>
    <w:rPr>
      <w:b/>
      <w:bCs/>
      <w:kern w:val="44"/>
      <w:sz w:val="44"/>
      <w:szCs w:val="44"/>
      <w:lang w:val="zh-CN"/>
    </w:rPr>
  </w:style>
  <w:style w:type="paragraph" w:styleId="PEHeading3">
    <w:name w:val="heading 3"/>
    <w:basedOn w:val="1"/>
    <w:next w:val="1"/>
    <w:qFormat/>
    <w:uiPriority w:val="0"/>
    <w:pPr>
      <w:keepNext/>
      <w:keepLines/>
      <w:spacing w:before="340" w:after="330" w:line="578" w:lineRule="auto"/>
      <w:outlineLvl w:val="2"/>
    </w:pPr>
    <w:rPr>
      <w:b/>
      <w:bCs/>
      <w:kern w:val="44"/>
      <w:sz w:val="44"/>
      <w:szCs w:val="44"/>
      <w:lang w:val="zh-CN"/>
    </w:rPr>
  </w:style>
  <w:style w:type="paragraph" w:customStyle="1" w:styleId="Title">
    <w:name w:val="Title"/>
    <w:basedOn w:val="1"/>
    <w:pPr>
      <w:spacing w:line="360" w:lineRule="auto" w:after="120"/>
    </w:pPr>
    <w:rPr>
      <w:rFonts w:ascii="黑体" w:hAnsi="黑体" w:eastAsia="黑体"/>
      <w:color w:val="000000"/>
      <w:sz w:val="4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b_verified_figure_1.png"/><Relationship Id="rId8" Type="http://schemas.openxmlformats.org/officeDocument/2006/relationships/image" Target="media/b_verified_figure_2.png"/><Relationship Id="rId9" Type="http://schemas.openxmlformats.org/officeDocument/2006/relationships/image" Target="media/b_verified_figure_3.png"/><Relationship Id="rId10" Type="http://schemas.openxmlformats.org/officeDocument/2006/relationships/image" Target="media/b_verified_figure_4.png"/><Relationship Id="rId11" Type="http://schemas.openxmlformats.org/officeDocument/2006/relationships/image" Target="media/b_verified_figure_5.png"/><Relationship Id="rId12" Type="http://schemas.openxmlformats.org/officeDocument/2006/relationships/image" Target="media/b_verified_figure_1.png"/><Relationship Id="rId13" Type="http://schemas.openxmlformats.org/officeDocument/2006/relationships/image" Target="media/b_verified_figure_2.png"/><Relationship Id="rId14" Type="http://schemas.openxmlformats.org/officeDocument/2006/relationships/image" Target="media/b_verified_figure_3.png"/><Relationship Id="rId15" Type="http://schemas.openxmlformats.org/officeDocument/2006/relationships/image" Target="media/b_verified_figure_4.png"/><Relationship Id="rId16" Type="http://schemas.openxmlformats.org/officeDocument/2006/relationships/image" Target="media/b_verified_figure_5.png"/><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ScaleCrop>false</ScaleCrop>
  <LinksUpToDate>false</LinksUpToDate>
  <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2026-10-17T00:00:00Z</dcterms:created>
  <dc:creator/>
  <cp:lastModifiedBy/>
  <dcterms:modified xsi:type="dcterms:W3CDTF">2026-10-17T00:00:00Z</dcterms:modified>
  <dc:description/>
  <dc:title>PrivEdge多源LDP摘要的抗投毒可信交换</dc:title>
  <dc:subject/>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DC7D8A845ADA456D8F9C007EAF004E53_13</vt:lpwstr>
  </property>
</Properties>
</file>