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spacing w:line="360" w:lineRule="auto" w:after="160" w:before="0"/>
        <w:ind w:firstLine="0"/>
        <w:jc w:val="center"/>
      </w:pPr>
      <w:bookmarkStart w:id="1000" w:name="RR_001"/>
      <w:r>
        <w:rPr>
          <w:rFonts w:ascii="宋体" w:hAnsi="宋体" w:eastAsia="宋体"/>
          <w:b/>
          <w:sz w:val="32"/>
        </w:rPr>
        <w:t>PrivEdge 工程验证与历史记录附件</w:t>
      </w:r>
      <w:bookmarkEnd w:id="1000"/>
    </w:p>
    <w:p>
      <w:pPr>
        <w:keepNext w:val="0"/>
        <w:spacing w:line="360" w:lineRule="auto" w:after="120" w:before="0"/>
        <w:ind w:firstLine="0"/>
        <w:jc w:val="center"/>
      </w:pPr>
      <w:r>
        <w:rPr>
          <w:rFonts w:ascii="宋体" w:hAnsi="宋体" w:eastAsia="宋体"/>
          <w:b w:val="0"/>
          <w:sz w:val="24"/>
        </w:rPr>
        <w:t>编制日期：2026年10月17日</w:t>
      </w:r>
    </w:p>
    <w:p>
      <w:pPr>
        <w:keepNext w:val="0"/>
        <w:spacing w:line="360" w:lineRule="auto" w:after="120" w:before="0"/>
        <w:ind w:firstLine="480"/>
      </w:pPr>
      <w:r>
        <w:rPr>
          <w:rFonts w:ascii="宋体" w:hAnsi="宋体" w:eastAsia="宋体"/>
          <w:b w:val="0"/>
          <w:sz w:val="24"/>
        </w:rPr>
        <w:t>本附件保留已发生的修复、版本冻结、跨机回传、来源核查和复算记录。其用途是追溯工程过程，不作为当前整合程序的全部验收结论。主报告以《PrivEdge作品报告 评审整编版》为准；历史记录内的“本轮”“当前”均限定在各条所列日期和版本。</w:t>
      </w:r>
    </w:p>
    <w:p>
      <w:pPr>
        <w:keepNext w:val="0"/>
        <w:spacing w:line="360" w:lineRule="auto" w:after="120" w:before="0"/>
        <w:ind w:firstLine="480"/>
      </w:pPr>
      <w:r>
        <w:rPr>
          <w:rFonts w:ascii="宋体" w:hAnsi="宋体" w:eastAsia="宋体"/>
          <w:b w:val="0"/>
          <w:sz w:val="24"/>
        </w:rPr>
        <w:t>文内章节、表号和证据号保留E33原编号，只用于历史定位，不对应评审整编版的新目录。涉及的学术文献见主报告参考文献；后续工具与复现能力以当前主报告及其验证记录为准。</w:t>
      </w:r>
    </w:p>
    <w:p>
      <w:pPr>
        <w:keepNext w:val="0"/>
        <w:spacing w:line="360" w:lineRule="auto" w:after="120" w:before="0"/>
        <w:ind w:firstLine="0"/>
        <w:jc w:val="center"/>
      </w:pPr>
      <w:r>
        <w:rPr>
          <w:rFonts w:ascii="宋体" w:hAnsi="宋体" w:eastAsia="宋体"/>
          <w:b/>
          <w:sz w:val="24"/>
        </w:rPr>
        <w:t>目 录</w:t>
      </w:r>
    </w:p>
    <w:p>
      <w:pPr>
        <w:spacing w:line="360" w:lineRule="auto" w:after="20"/>
        <w:ind w:left="0"/>
        <w:tabs>
          <w:tab w:val="right" w:leader="dot" w:pos="8820"/>
        </w:tabs>
      </w:pPr>
      <w:hyperlink w:anchor="RR_002" w:history="1">
        <w:r>
          <w:rPr>
            <w:rFonts w:ascii="宋体" w:hAnsi="宋体" w:eastAsia="宋体"/>
            <w:sz w:val="24"/>
            <w:color w:val="000000"/>
          </w:rPr>
          <w:t>一 历次实现检查与修复记录</w:t>
        </w:r>
        <w:r>
          <w:rPr>
            <w:rFonts w:ascii="宋体" w:hAnsi="宋体" w:eastAsia="宋体"/>
            <w:sz w:val="24"/>
            <w:color w:val="000000"/>
          </w:rPr>
          <w:tab/>
        </w:r>
        <w:r>
          <w:rPr>
            <w:rFonts w:ascii="宋体" w:hAnsi="宋体" w:eastAsia="宋体"/>
            <w:sz w:val="24"/>
            <w:color w:val="000000"/>
          </w:rPr>
          <w:t>2</w:t>
        </w:r>
      </w:hyperlink>
    </w:p>
    <w:p>
      <w:pPr>
        <w:spacing w:line="360" w:lineRule="auto" w:after="20"/>
        <w:ind w:left="0"/>
        <w:tabs>
          <w:tab w:val="right" w:leader="dot" w:pos="8820"/>
        </w:tabs>
      </w:pPr>
      <w:hyperlink w:anchor="RR_003" w:history="1">
        <w:r>
          <w:rPr>
            <w:rFonts w:ascii="宋体" w:hAnsi="宋体" w:eastAsia="宋体"/>
            <w:sz w:val="24"/>
            <w:color w:val="000000"/>
          </w:rPr>
          <w:t>二 历史候选环境与验收过程</w:t>
        </w:r>
        <w:r>
          <w:rPr>
            <w:rFonts w:ascii="宋体" w:hAnsi="宋体" w:eastAsia="宋体"/>
            <w:sz w:val="24"/>
            <w:color w:val="000000"/>
          </w:rPr>
          <w:tab/>
        </w:r>
        <w:r>
          <w:rPr>
            <w:rFonts w:ascii="宋体" w:hAnsi="宋体" w:eastAsia="宋体"/>
            <w:sz w:val="24"/>
            <w:color w:val="000000"/>
          </w:rPr>
          <w:t>4</w:t>
        </w:r>
      </w:hyperlink>
    </w:p>
    <w:p>
      <w:pPr>
        <w:spacing w:line="360" w:lineRule="auto" w:after="20"/>
        <w:ind w:left="0"/>
        <w:tabs>
          <w:tab w:val="right" w:leader="dot" w:pos="8820"/>
        </w:tabs>
      </w:pPr>
      <w:hyperlink w:anchor="RR_004" w:history="1">
        <w:r>
          <w:rPr>
            <w:rFonts w:ascii="宋体" w:hAnsi="宋体" w:eastAsia="宋体"/>
            <w:sz w:val="24"/>
            <w:color w:val="000000"/>
          </w:rPr>
          <w:t>三 历史功能结果与失败现场</w:t>
        </w:r>
        <w:r>
          <w:rPr>
            <w:rFonts w:ascii="宋体" w:hAnsi="宋体" w:eastAsia="宋体"/>
            <w:sz w:val="24"/>
            <w:color w:val="000000"/>
          </w:rPr>
          <w:tab/>
        </w:r>
        <w:r>
          <w:rPr>
            <w:rFonts w:ascii="宋体" w:hAnsi="宋体" w:eastAsia="宋体"/>
            <w:sz w:val="24"/>
            <w:color w:val="000000"/>
          </w:rPr>
          <w:t>7</w:t>
        </w:r>
      </w:hyperlink>
    </w:p>
    <w:p>
      <w:pPr>
        <w:spacing w:line="360" w:lineRule="auto" w:after="20"/>
        <w:ind w:left="0"/>
        <w:tabs>
          <w:tab w:val="right" w:leader="dot" w:pos="8820"/>
        </w:tabs>
      </w:pPr>
      <w:hyperlink w:anchor="RR_005" w:history="1">
        <w:r>
          <w:rPr>
            <w:rFonts w:ascii="宋体" w:hAnsi="宋体" w:eastAsia="宋体"/>
            <w:sz w:val="24"/>
            <w:color w:val="000000"/>
          </w:rPr>
          <w:t>四 完整证据登记与原件索引</w:t>
        </w:r>
        <w:r>
          <w:rPr>
            <w:rFonts w:ascii="宋体" w:hAnsi="宋体" w:eastAsia="宋体"/>
            <w:sz w:val="24"/>
            <w:color w:val="000000"/>
          </w:rPr>
          <w:tab/>
        </w:r>
        <w:r>
          <w:rPr>
            <w:rFonts w:ascii="宋体" w:hAnsi="宋体" w:eastAsia="宋体"/>
            <w:sz w:val="24"/>
            <w:color w:val="000000"/>
          </w:rPr>
          <w:t>12</w:t>
        </w:r>
      </w:hyperlink>
    </w:p>
    <w:p>
      <w:pPr>
        <w:spacing w:line="360" w:lineRule="auto" w:after="20"/>
        <w:ind w:left="0"/>
        <w:tabs>
          <w:tab w:val="right" w:leader="dot" w:pos="8820"/>
        </w:tabs>
      </w:pPr>
      <w:hyperlink w:anchor="RR_006" w:history="1">
        <w:r>
          <w:rPr>
            <w:rFonts w:ascii="宋体" w:hAnsi="宋体" w:eastAsia="宋体"/>
            <w:sz w:val="24"/>
            <w:color w:val="000000"/>
          </w:rPr>
          <w:t>五 历史运行命令与异机记录</w:t>
        </w:r>
        <w:r>
          <w:rPr>
            <w:rFonts w:ascii="宋体" w:hAnsi="宋体" w:eastAsia="宋体"/>
            <w:sz w:val="24"/>
            <w:color w:val="000000"/>
          </w:rPr>
          <w:tab/>
        </w:r>
        <w:r>
          <w:rPr>
            <w:rFonts w:ascii="宋体" w:hAnsi="宋体" w:eastAsia="宋体"/>
            <w:sz w:val="24"/>
            <w:color w:val="000000"/>
          </w:rPr>
          <w:t>19</w:t>
        </w:r>
      </w:hyperlink>
    </w:p>
    <w:p>
      <w:pPr>
        <w:spacing w:line="360" w:lineRule="auto" w:after="20"/>
        <w:ind w:left="0"/>
        <w:tabs>
          <w:tab w:val="right" w:leader="dot" w:pos="8820"/>
        </w:tabs>
      </w:pPr>
      <w:hyperlink w:anchor="RR_007" w:history="1">
        <w:r>
          <w:rPr>
            <w:rFonts w:ascii="宋体" w:hAnsi="宋体" w:eastAsia="宋体"/>
            <w:sz w:val="24"/>
            <w:color w:val="000000"/>
          </w:rPr>
          <w:t>六 来源与软件许可核查原记录</w:t>
        </w:r>
        <w:r>
          <w:rPr>
            <w:rFonts w:ascii="宋体" w:hAnsi="宋体" w:eastAsia="宋体"/>
            <w:sz w:val="24"/>
            <w:color w:val="000000"/>
          </w:rPr>
          <w:tab/>
        </w:r>
        <w:r>
          <w:rPr>
            <w:rFonts w:ascii="宋体" w:hAnsi="宋体" w:eastAsia="宋体"/>
            <w:sz w:val="24"/>
            <w:color w:val="000000"/>
          </w:rPr>
          <w:t>24</w:t>
        </w:r>
      </w:hyperlink>
    </w:p>
    <w:p>
      <w:pPr>
        <w:pStyle w:val="2"/>
        <w:keepNext/>
        <w:keepLines/>
        <w:pageBreakBefore/>
        <w:spacing w:line="360" w:lineRule="auto" w:after="160" w:before="0"/>
        <w:ind w:firstLine="0"/>
        <w:jc w:val="center"/>
      </w:pPr>
      <w:bookmarkStart w:id="1001" w:name="RR_002"/>
      <w:r>
        <w:rPr>
          <w:rFonts w:ascii="宋体" w:hAnsi="宋体" w:eastAsia="宋体"/>
          <w:b/>
          <w:sz w:val="32"/>
        </w:rPr>
        <w:t>一 历次实现检查与修复记录</w:t>
      </w:r>
      <w:bookmarkEnd w:id="1001"/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E29新增17项证据接入回归，覆盖原件、摘要、复核、导出器损坏及方法、种子、样本和场景不匹配，历史版本106项通过。E30合入B的111项测试与页面修复后，完整217项通过；当前E33前后端整合的复测见3.4.1及附录C。三数据216单元、旧严格入口及既有证据保持原口径，工程测试不升级统计解释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算法接收复核E27将影响界条件收紧为n≥3、f&lt;(n−1)/2，修补旧证明对诚实源封顶权重下界的论证缺口；旧条件下最终份额界并未因此自动被反例推翻。默认聚合实现保持不变。新增实验入口、统计复核器和5项来件测试已接入；独立发现复核器只凭预注册路径即可标记确认性可用，现要求历史manifest绑定预注册摘要，新增3项回归，完整89项测试通过。摘要绑定仍不能独立证明冻结时序，历史清单不得回填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本次依据B来件预注册并独立复现两处缺陷（E25）：非有限HTTP输入的错误详情无法序列化，以及预算图使用排序截断列表推断最新窗口。修复前8项回归失败；修复后完整81项通过。前者保留422验证拒绝，不调用预测引擎；后者按最后一条发布记录选择窗口并返回该窗口全部来源，保留原预算扣减逻辑。三数据固定合法请求决策与离线评价、既有证据响应、257个受保护文件均不变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作品采用最小复现、修复、回归和合法输入核对的方式处理实现问题。已有缺陷包括登记不验签、非法预算、链损坏仍预测、静态路径越界与类别名显示问题；这些已修复并保留回归测试。本轮没有重写已关闭修复，而是检查后端请求解析的覆盖缺口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本轮验收发现，REST参数校验可返回4xx，但WebSocket在构造RunRequest之前或期间遇到缺字段、越界参数、非对象JSON及非法JSON时，异常会直接退出处理，未返回前端约定的错误消息。修复将这些解析错误转换为kind=error，并保持连接可继续接收后续请求；错误请求不会执行演示引擎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工程验收E21保留修复前后记录。新增六组回归用例检查错误响应与同连接恢复，当轮完整测试为52 passed。三套数据固定合法请求的决策与离线评价相同，既有证据接口响应哈希相同，257个受保护文件哈希相同。该核对只支持本次接口修复未改变所检查合法行为，不构成新的算法效用验证或对全部输入的保证。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后续工程集成E22新增A8证据适配器，并验证登记缺失、文件损坏、条件不成对、缺失指标及读取刷新等行为，完整测试为73 passed；迁移到本机独立目录后亦为73 passed。三套固定合法请求、既有证据与受保护文件继续保持相同，三数据账本副本篡改均导致拒答，原账本保持完整。该迁移使用本机已有解释器与依赖，不等于另一台电脑从零安装。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E23是10月13日冻结的73项测试历史程序，E29是含描述性四方法的106项候选，E30合入B修复与111项测试。当前E33整合前端最终交付及必要修复，开发目录217项测试通过，包内217项通过；具体程序指纹和本机验证边界见附录C，最终版本仍需实体第二电脑验收。</w:t>
      </w:r>
    </w:p>
    <w:p>
      <w:pPr>
        <w:pStyle w:val="2"/>
        <w:keepNext/>
        <w:keepLines/>
        <w:pageBreakBefore/>
        <w:spacing w:line="360" w:lineRule="auto" w:after="160" w:before="0"/>
        <w:ind w:firstLine="0"/>
        <w:jc w:val="center"/>
      </w:pPr>
      <w:bookmarkStart w:id="1002" w:name="RR_003"/>
      <w:r>
        <w:rPr>
          <w:rFonts w:ascii="宋体" w:hAnsi="宋体" w:eastAsia="宋体"/>
          <w:b/>
          <w:sz w:val="32"/>
        </w:rPr>
        <w:t>二 历史候选环境与验收过程</w:t>
      </w:r>
      <w:bookmarkEnd w:id="1002"/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系统测试按版本记录：E24是B历史受测候选，Windows XML记录157项通过；E25主体补修81项，E27算法工具整合89项，E29描述性证据接入106项；E30合入B源码与测试后217项通过。E33整合前端最终交付，重新核对构建、接口及便携程序。下述B类跨机和浏览器组数仍指其历史版本，不能累计或直接转移为E33异机验收结论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本章以 GitHub 提交 23546a1 为首轮基线，并报告2026年10月13日基于该版本的候选修复、macOS复测及Windows安装与功能验证结果。基线归档的395个文件已核对 Git 对象哈希，基线及首轮失败记录独立保留。候选版修复了接口错误反馈、页面异常恢复和切换一致性问题，尚未推送 GitHub；其版本由基线号、修改文件指纹和补丁共同标识。算法代码、标准数据及已有实验输出未改变，算法结论仍以登记实验和独立复算为依据。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接口功能矩阵固定 seed=13、每源1,000条、ε=2、m=40，按各数据集最后一个区域为目标。浏览器冷启动样例使用每源2,000条、ε=2、m=40，攻防样例使用每源2,000条、ε=1、m=20；浏览器种子由系统生成并逐次登记。这些样例用于功能验收，不纳入算法实验的每源5,000条、5种子统计表。首轮标准页面流程曾在切换数据后等待150 ms，以单独检查稳定状态下的正常流程。本轮保留既有用例，并增加无固定等待的快速切换复测，直接核对出站数据集、目标、用户数与真实返回结果。原失败断言未放宽，错误后的重试和页面退出运行态均通过实际连接及浏览器操作验证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程序验收分别检查安装、服务启动、前端构建、页面操作和文件完整性。macOS主机已在不继承系统包的Python 3.12.14环境中安装锁定依赖，通过pip check、完整测试、真实HTTP/WebSocket回归及浏览器复测；候选前端通过类型检查和生产构建。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2026年10月13日，在Windows 10 Pro环境中对同一冻结候选包重新解压，通过自动验收入口新建虚拟环境并安装。包内796项清单记录匹配，157个独立测试全部通过，0失败、0错误、0跳过，保留3条极小ε数值警告。三套数据接口、账本首中末篡改、五页流程及指定切换和中断场景均留存原始证据。三个Windows批处理有实际执行记录；setup.bat复用了自动入口已建的虚拟环境，不另计一次从零安装，run_tests.bat重复运行也不累加独立用例数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回传原件已在macOS上核对，包括ZIP完整性、测试身份、依赖清单、服务记录、页面文本与关键截图，未发现推翻已执行检查通过结论的矛盾。该工作是证据复核，没有重新执行Windows测试。程序与历次回传包的指纹和定位见附录B的B-W1—B-W3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已执行技术检查通过；10月14日由执行人接管补齐默认浏览器自动打开、原生错误页同标签恢复及预测证据（B-W3）。执行人已确认Mac与Windows是不同实体电脑，两端均由其本人执行；实名与独立人工复核待补，尚未完成正式签署。完整算法网格异机重跑及ProVerif重新求解不在本轮范围内。</w:t>
      </w:r>
    </w:p>
    <w:p>
      <w:pPr>
        <w:pStyle w:val="PEHeading2"/>
        <w:keepNext/>
        <w:keepLines/>
        <w:spacing w:before="200" w:after="100" w:line="360" w:lineRule="auto"/>
        <w:jc w:val="left"/>
        <w:outlineLvl w:val="1"/>
      </w:pPr>
      <w:r>
        <w:rPr>
          <w:rFonts w:ascii="黑体" w:hAnsi="黑体" w:eastAsia="黑体" w:cs="黑体"/>
          <w:sz w:val="28"/>
          <w:szCs w:val="28"/>
          <w:color w:val="000000"/>
          <w:b/>
        </w:rPr>
        <w:t>3.2 测试环境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本文区分原算法实验环境和本次结果核对环境。各算法运行目录的 manifest 记录原实验使用 Windows 11（10.0.26200）、Python 3.12.14 与 NumPy 2.3.5。原报告记载处理器为 AMD Ryzen 7 9800X3D、内存 32 GB；这两项为实验执行者提供的信息，manifest 只记录了处理器标识，未独立验证物理型号与内存容量。形式化结果文件声明使用 ProVerif 2.05；本次未重新执行形式化求解。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表3-2 算法实验与系统验证环境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326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环节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环境与执行范围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可支持的结论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原始统计与开销实验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 11、Python 3.12.14、NumPy 2.3.5；种子及参数见各运行 manifest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原实验条件下的效用、安全与性能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B历史证据核对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macOS 26.5.1 ARM64、Python 3.12.14、NumPy 2.3.5；重新读取标准数据与 CSV 计算统计量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存档文件完整性、数字与分析口径一致性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B历史候选版安装与复测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macOS 26.5.1 ARM64、Python 3.12.14、Node.js 24.19.0、Chrome 155.0.8059.40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证明当前设备上的隔离安装、候选构建及所列接口与浏览器用例通过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Windows安装与功能验证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 10 Pro x64（10.0.19044）、i5-12400、约31.75 GiB内存、Python 3.12.14、Chromium 155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已执行检查及浏览器补证通过；不同实体设备已确认，实名与人工复核待补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Windows运行环境从已有Python 3.12.14建立隔离虚拟环境，31个依赖与锁文件一致；10月13日In-app Browser的请求头对应Chromium 155。10月14日补证使用外部Microsoft Edge，已安装二进制版本119.0.2151.97，默认HTTP关联为MSEdgeHTM。原默认Python 3.7.4且缺少py启动器的批处理失败，已通过测试子进程临时PATH修正。硬件信息来自回传记录，实体设备独立性由执行人确认。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本次核对没有重新生成扰动报告或运行完整攻击网格，因此应称为“结果记录的独立复算”。SECURITY_V4 使用不同随机种子进行的是同数据集上的确认性复验，不是新增独立数据集验证。</w:t>
      </w:r>
    </w:p>
    <w:p>
      <w:pPr>
        <w:pStyle w:val="2"/>
        <w:keepNext/>
        <w:keepLines/>
        <w:pageBreakBefore/>
        <w:spacing w:line="360" w:lineRule="auto" w:after="160" w:before="0"/>
        <w:ind w:firstLine="0"/>
        <w:jc w:val="center"/>
      </w:pPr>
      <w:bookmarkStart w:id="1003" w:name="RR_004"/>
      <w:r>
        <w:rPr>
          <w:rFonts w:ascii="宋体" w:hAnsi="宋体" w:eastAsia="宋体"/>
          <w:b/>
          <w:sz w:val="32"/>
        </w:rPr>
        <w:t>三 历史功能结果与失败现场</w:t>
      </w:r>
      <w:bookmarkEnd w:id="1003"/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E24历史候选后端157项测试全部通过，包括原有46项、保留原断言的首轮B验收77项、新增真实协议回归31项，以及预算展示回归3项。新增协议回归中HTTP为12/12、WebSocket为19/19；非法请求获得可读错误，账本不变，WebSocket错误后在同一连接提交正常请求仍能完成。首轮七类问题在该历史候选满足所测关闭条件，失败记录保留用于对照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浏览器标准24项和WebSocket提前关闭补充1项均通过，对应原25项验收现为25/25。扩展专项29/29通过，包含三数据集各5次无固定等待快速切换，共15/15，出站参数与真实结果的数据集和目标一致；还验证了证据空状态、失败后重试、巡检中途失败、取消后的迟到结果抑制，以及真实WebSocket非法字段使页面退出运行态。扩展专项与原用例有重叠，不能相加成独立用例总数；受测页面未捕获异常数为0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表3-4 历史B候选五页功能验收结果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326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页面或能力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来件候选版实际结果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核验范围与边界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总览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指标和三数据选择正常；证据失败可重试，空证据有明确提示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显示数字保留数据集、参数和历史实验条件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冷启动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三数据均完成事件流、Top-10、状态解释及审计；改参数清旧结果，快速切换参数一致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运行归属明确；状态仍不保证预测质量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攻防实验室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三数据各10类巡检完成，共30条；首项和中途失败可恢复重试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中途失败保留已完成条目，重试从首项开始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账本审计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空账本提示并禁用演练；副本篡改定位断点并拒答，真实账本完整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演练仅证明所测篡改路径，不是生产持久化验收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实验中心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三数据各5张图、运行ID及形式化表可读；数据选择同步，证据失败可恢复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形式化与合成开销单列，不混作当前业务数据实验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三态与拒答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NORMAL、DEGRADED、源不足REFUSED和账本损坏REFUSED用例通过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状态反映输入检查与来源一致性，不构成准确率保证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固定参数的三数据×11模式共33项接口用例仍全部通过，其中28次 NORMAL、5次 DEGRADED。检测到攻击输入并不必然使整次请求降级或拒答，最终状态仍取决于剩余合法来源及一致性。账本篡改在副本上执行，核对了演练前后真实链内容一致，不能将演练断链记为真实账本损坏。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下表保留七个首轮问题编号和原现象，并给出候选版本机复测结果。表内为macOS端修复关闭范围；Windows验证及10月14日浏览器补证另列于本节末。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表3-5 首轮问题及本机修复复测结果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12"/>
        <w:gridCol w:w="309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问题编号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首轮触发条件与现象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来件候选复测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B-API-001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WebSocket缺目标、ε=0或种子为文本时无错误消息便断开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返回可读error；真实浏览器退出运行态；同连接可再运行，通过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B-API-002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原始JSON中ε为NaN或1e309时返回HTTP 500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返回可解析的HTTP 422，账本不变，通过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B-UI-001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TRD预测后切Olist仍保留旧日志、结果和源明细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改参数或数据集清旧结果，取消后迟到结果不回填，通过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B-UI-002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实验证据接口503时停在加载中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总览和实验中心显示错误、空状态，重试恢复，通过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B-UI-003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巡检首个请求503时停在巡检中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首项及第3项失败恢复按钮；保留前2条，再运行完成10项，通过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B-UI-004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WebSocket建立后无最终结果便关闭，页面仍执行中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无终态的1000/1011关闭均提示中断、恢复按钮，通过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B-UI-005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切数据后立即改目标或用户数，请求可能错配</w:t>
            </w:r>
          </w:p>
        </w:tc>
        <w:tc>
          <w:tcPr>
            <w:tcW w:type="dxa" w:w="309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无固定等待的三数据各5次共15/15参数与结果一致，通过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首轮七类问题之外，后续检查另登记 B-UI-006：预算列表按源和窗口排序后截取末200行，页面据最后一项选择窗口，可能显示旧窗口并遗漏部分来源。候选接口增加按账本追加顺序确定的 latest_window 和该窗口完整的 latest_budget，避免由展示列表推断窗口。新增3项回归分别覆盖空账本、追加顺序与源／窗口排序不一致、历史超过200行，均已通过；完整157项结果见本轮后端 ledger_followup.xml，先前154项记录仍保留。该问题属于展示选择与完整性问题，核心预算累计和扣减逻辑未变。最新浏览器专项中，三套数据的预算图3项及实验图3项均通过，共6/6，未捕获页面异常数为0；TRD先运行24轮产生240行预算历史，Olist与Massive各运行2轮，显示的最新窗口来源数分别为10、5、6。记录见 ui_chart_visual_latest_results.json；这6项单独报告，不与此前25项和29项累加为独立用例总数。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原非有限ε问题发生于验证错误响应序列化，并非隐私预算校验绕过；修复未放宽参数限制。完整测试仍记录极小正ε（1e-20）的3条数值警告，对应用例返回可解释拒答，不能由测试通过推断任意数值范围都适用。详细日志、协议记录、候选文件指纹及新截图见本轮复测 QA 记录和附录B，首轮材料仍单独保存。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E24历史候选曾为总览统计补充条件说明：“90%→0%”限TRD、ε=1及所测伪造比例不低于5%的场景；“2.3 kB”限m=20合成开销基准。E33总览改为架构与功能入口，统计结果集中在实验中心按来源和条件展示。该布局变更不改变已有实验数字，也不代表已验证真实业务效果。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Windows安装与功能验证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端157项测试与macOS最终版本的测试身份集合一致，原始XML、日志和摘要计数相符。三套数据各完成五个页面，共15个“数据集×页面”组合；各完成3次快速切换，共9次，输入与返回的数据集、目标一致。三套数据真实接口和首中末共9次账本副本篡改均通过，原链头、条数和完整性未变。三套页面预算图均显示最新W012，完整展示10、5、6个来源及各自ε=1的预算，不能将这些组合与其他测试累加为独立用例总数（B-W1）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已加载应用页面在断服或运行中断后显示错误并恢复按钮，重启后同页预测和十类巡检可重试成功。三套原始快照的账本171、81、91条及审计17、16、15条均在重启后归零，11、6、7个对应公钥全部变化，符合当前内存实现。原生错误页的工具限制及当时未完成记录保留，后续由执行人接管补证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10月14日10:46:31运行原start_console.bat后，执行人现场确认默认浏览器自动打开、URL正确且页面加载。停服后截图显示127.0.0.1:8765和ERR_CONNECTION_REFUSED；14:53:38仅重启后端，执行人确认始终使用原错误标签页，并在15:02:42完成预测：meituan_trd、商圈3、ε=2、m=40、每源5,000、seed=1997113027、run-adaccb3787，返回NORMAL。截图的请求req-020eef8e0592、审计哈希及账本链头与只读响应一致；账本W001有10条记录，各源ε=2。以上为单次功能验证，不并入算法统计（B-W3）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首版回传223文件、63图，全部解码并实际查看52张不同截图（B-W2）。补证包286文件、69图，新增6图均已逐张审阅；原223文件逐字节未变。自动打开依据执行人现场确认与启动日志，同标签连续性依据执行人确认及前后截图；无稳定标签ID或连续录屏，截图保存时间不等同拍摄时间。原summary与失败记录保留，补证另存（B-W3）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记录一致性与修复回归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次从原CSV重新计算9次主运行的4,176个均值、区间与状态字段，均与其summary一致；E19的14,880行和E20的4,510行在所有CSV字段及重复次数上均一致。E20仅重跑TRD的合法输入网格，说明登记的10月9日修复未改变该网格，不能仅凭此扩展成全部数据集与所有安全路径都已复验；异常ε、账本损坏及路径边界应由本次系统测试另行验证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形式化结果E16在模型范围内报告认证、绑定及符号保密查询通过，模型不含隐私预算数值累加、统计防御及完整工程接口。符号保密性不等同于LDP证明。容错定理及假设应引用第二章，本章不把随机性质测试当作数学证明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macOS候选版关闭首轮七类问题，并修复B-UI-006最新预算展示问题。后端157/157通过，其中真实HTTP回归12项、WebSocket回归19项及预算展示回归3项；浏览器基础25项、扩展29项、预算与实验图专项6项分别通过，包含15次无固定等待快速切换，未捕获页面异常数为0。各组存在重复覆盖，不累加为独立用例数。Python 3.12.14隔离安装和pip check通过。预算展示修复未改变累计与扣减逻辑，算法代码、标准数据及登记结果也未变；具体关闭条件见3.4.1与B-R2。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同一冻结包的安装、157项测试、三套数据五页流程及10月14日浏览器补证通过，日志与关键截图已复核。原3条数值警告、旧Python安装失败和工具限制记录保留。两台不同电脑由同一执行人操作；自动打开与同标签连续性含执行人确认，实名和独立人工复核待补（B-W1—B-W3）。</w:t>
      </w:r>
    </w:p>
    <w:p>
      <w:pPr>
        <w:pStyle w:val="2"/>
        <w:keepNext/>
        <w:keepLines/>
        <w:pageBreakBefore/>
        <w:spacing w:line="360" w:lineRule="auto" w:after="160" w:before="0"/>
        <w:ind w:firstLine="0"/>
        <w:jc w:val="center"/>
      </w:pPr>
      <w:bookmarkStart w:id="1004" w:name="RR_005"/>
      <w:r>
        <w:rPr>
          <w:rFonts w:ascii="宋体" w:hAnsi="宋体" w:eastAsia="宋体"/>
          <w:b/>
          <w:sz w:val="32"/>
        </w:rPr>
        <w:t>四 完整证据登记与原件索引</w:t>
      </w:r>
      <w:bookmarkEnd w:id="1004"/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E28核验原始输出与数据指纹、完整网格、成对攻击输入、27项复核产物，以及此前12份表图的一致性。从原始行重算35815个数值字段，0差异；原summary和三SVG可重建。运行清单的42份历史源码均可定位。此复算没有重新采样，也不独立见证历史实验执行过程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E24保留B交付者的历史Windows日志、157项测试XML及补证；E25为主体81项补修验证。E30接收原受测包、B测试源码、Mac QA、验收工具及许可原件并完成整合。E33登记前端最终合入和当前工程复测。B类路径按原包根目录解释，收到复算脚本与输出不等于本轮重跑科学实验；各轮测试不得累加为独立用例数。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B.1 登记规则与核对范围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附录沿用项目原有E1—E20编号及后续追加编号，记录报告结论与数据、运行输出、预注册方案的对应关系。基准提交为23546a1215d0dfc2cd7315e9cea07b79363f7885；10月13日至14日的历史材料保留原版本，10月17日E33另行登记。各编号的完整运行ID、相对路径、哈希及结论边界见对应证据归档与02_实验证据登记.md，表格简称不替代可定位的原件清单。</w:t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轮对9个主运行的CSV进行独立汇总，复算4,176个均值、区间及状态字段，结果均与登记摘要一致；核对40份运行清单中的151项文件哈希，均一致；对E14、E19、E20分别比较1,920、14,880、4,510行记录的全字段及重复次数，也均一致。本工作复核已有产物，没有重新执行完整算法实验。文件哈希一致能够证明文件未偏离登记版本，不能独立证明实验执行过程、算法正确性或数据授权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B.2 证据条目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表B-1 已登记证据及本轮核对范围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2268"/>
        <w:gridCol w:w="2438"/>
        <w:gridCol w:w="3487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实验或材料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本轮核对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引用范围与限制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原研究管线复现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核对登记说明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未重跑原算法，未独立复算历史120行对照。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E2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SECURITY_V1，Massive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4项清单哈希一致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历史上下文协议；不替代当前v2安全主线。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SECURITY_V1，Olist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4项清单哈希一致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历史结果；本轮未复算其统计量。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CONTEXT_V1，Massive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4项清单哈希一致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仅作为旧上下文探索材料保留。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E5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CONTEXT_V1，Olist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4项清单哈希一致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未重新执行，不能作为默认主线增益。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E6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OVERHEAD_V1开销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1项哈希一致，读取9个网格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固定m=20、旧上下文管线的合成数据微基准。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E7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Olist数据审计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核对现有标准表及审计材料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62,491条、6源、71定义域类别；未重新下载原包。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E8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Massive历史复算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记录现有文件指纹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本轮未重做上下文错配实验。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E9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SECURITY_V2，三套数据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11项哈希一致，独立复算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并非全部攻击单元满足显著下降条件；结论限所测网格。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UTILITY_V1，三套数据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11项哈希一致，复算192个方法/参数单元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使用正式效用运行；ε=2、4时U1均满足。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TRD数据审计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核对标准表及审计说明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183,346条、11源、122定义域类别，其中106类实际出现。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E12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SECURITY_V3探索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11项清单哈希一致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探索采用规则未满足，不能改写成确认性成功。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SECURITY_V4确认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11项哈希一致，独立复算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每套数据C1为14/14、C2为4/4；使用新种子，仍是原三套数据。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封顶策略效用一致性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11项哈希一致；1,920行全字段相同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与E10对应PrivEdge记录相同，结论限登记网格。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E15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发布负频率检查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6项清单哈希一致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67,200值、0负值来自原结果；未重新生成发布数据。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E16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ProVerif符号验证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7项模型及输出哈希一致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未在本机重跑；符号保密查询不能替代差分隐私证明。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E17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容错定理与证明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登记文档指纹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本轮不声称独立完成形式证明，须结合其前提解释。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E18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五页演示与证据接入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追踪输入注册表并执行页面检查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首轮浏览器25项中21通过、4失败；本机候选修复复测见B-R2。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E19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v4.1默认配置一致性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22项哈希一致；14,880行全字段相同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比旧比较器仅比较三指标的检查更严格，仍限已测输入。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E20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10月9日TRD修复回归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3项哈希一致；4,510行全字段相同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证明登记合法输入网格一致；接口异常复测见B-R2。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WebSocket校验修复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52项测试；三数据合法输出相同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本机工程记录，不是统计实验。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E22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A8证据接口与迁移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73项测试；登记状态NOT_RUN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接口准备不等于A8实验完成。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Windows隔离程序候选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包内73项及本机入口验证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10月13日冻结包，不含E25。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E24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B候选历史验收来件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157项XML与补证；旧223文件不变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历史缺件已在E30补齐；跨机记录只绑定原候选。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E25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主体补修与合稿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81项测试、前端构建、合法行为一致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仅本机当前主体，最终异机验收待做。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E26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算法交付派生表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16416字段重算一致；三SVG重建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首次仅交派生表；原始运行后由E28补齐。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E27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算法合入与证明复核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89项测试；收紧留一多数条件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默认算法不变；证据绑定不证明冻结时序。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E28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补交算法原始运行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8640行；35815字段重算一致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描述性；旧种子/冻结限制保留。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E29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描述性结果接入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106项测试；216单元与页面同源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历史106项版本；后续B源码整合见E30。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E30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B补交与整合验证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原包796项一致；开发及包内217项通过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保留A8与257项原件；最终异机验收待完成。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E31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运行复查与连接恢复修复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保留217项后端回归及既有输入结果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历史整合候选；本机验证不等同实体第二电脑。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E32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前端最终交付独立核查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源码、构建、六节分稿及截图证据审查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来件版本与E33修改分开留存，不能沿用旧包指纹。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E33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前后端最终整合与程序验证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开发目录217项测试通过，包内217项通过</w:t>
            </w:r>
          </w:p>
        </w:tc>
        <w:tc>
          <w:tcPr>
            <w:tcW w:type="dxa" w:w="348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本机功能和文件核验；未升级A8统计解释，最终异机及真人声明待完成。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sz w:val="24"/>
          <w:szCs w:val="24"/>
        </w:rPr>
        <w:t>E26记录首次派生材料核查，E27记录工具和证明复核，E28记录8640行原始结果及完整review验收，E29记录描述性结果接入，E30记录B源码合并与工程验证；E31、E32分别记录后续运行修复与前端来件核查，E33记录最终前后端整合。E28冻结时序及复用种子限制保留，没有修改原manifest取得确认性资格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B.3 图表与正文引用口径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效用图引用E10的m=20、全部源与四档ε结果；敏感性图使用E10的TRD记录，拒答计0，不能只依据未展示目标级区间的曲线断言显著性。安全图引用E9中ε=1的D0/D3与六类攻击场景；解释为当前默认配置时同时引用E19。劫持对照图来自E13，应称为新种子确认，不称为外部数据集验证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开销图来自E6：摘要消息为2,291—2,323字节，已登记网格中最大总耗时1,393.57毫秒、内存110.2MB。这是m=20的旧管线单机微基准，不能直接作为当前m=40配置、大账本或分布式部署的性能结果。NORMAL表示流程通过当前安全与支持条件，不保证预测质量；例如TRD的ε=0.5、m=40网格55/55为NORMAL，Recall仍为0.5345，低于非私有基线0.8727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B.4 复核记录与冻结要求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完整复核脚本及机器可读结果位于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qa/b_20261013/evidence/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：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audit_evidence.py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为核对入口，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manifest_hash_audit.json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记录期望及实际哈希，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summary_validation.json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记录摘要比对，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run_comparisons.json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记录逐行比较。来源登记中没有历史期望哈希的文件，只记录当前指纹，不标记为历史验证通过。源代码指纹对应历史运行，不能要求旧运行指纹与当前已修复源码相同。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轮检查了绘图代码的数据入口，未重新渲染全部历史图或逐像素验证。最终冻结时须将图号、标题、坐标、图例、配置、数据来源与正文逐一对应，保留最终文件指纹；修改结果后更新登记并重新核对相关统计。页面截图同时记录运行版本、数据集与操作步骤，不把首轮截图直接认定为最终验收截图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机修复复测另登记为B-R2，基于23546a1的独立候选副本，尚未推送GitHub。完整pytest为157/157通过（46＋77＋31＋预算展示回归3）；原25项浏览器验收全部通过，扩展29项全部通过，其中包含三套数据各5次无固定等待的快速切换。扩展用例与基础用例存在重复覆盖，不能将两组数字解释为完全独立样本。记录、源码差异和候选截图位于qa/b_retest_20261013，具体版本由PACKAGE_MANIFEST.json与CANDIDATE_CHANGES.json标识。首轮失败记录仍保存在qa/b_20261013。首轮七类问题在本机候选版关闭，Windows后续验证单独登记；B-UI-006涉及最新窗口与长历史预算展示，核心扣减未变，新增3项后端回归已通过，三数据预算图3项与实验图3项专项6/6通过、未捕获页面异常数为0，记录见ui_chart_visual_latest_results.json。这6项不与原25项和扩展29项累加为独立用例总数。最新后端证据为backend/ledger_followup.xml，原154项记录保留。未重新执行A8或完整算法网格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后续Windows运行及Mac原件复核分别登记如下，不改变E1—E20及原B类记录的含义。补充材料与冻结程序包分别保存；本附录中的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qa/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、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privedge/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 路径属于原程序包，下表路径属于本次报告补充交付。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表B-2 Windows验证与原件复核索引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3402"/>
        <w:gridCol w:w="4620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编号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材料定位</w:t>
            </w:r>
          </w:p>
        </w:tc>
        <w:tc>
          <w:tcPr>
            <w:tcW w:type="dxa" w:w="46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已核对内容与边界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B-W1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Windows验收原件/20261013T081635Z_cfcac9_with_manual.zip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 xml:space="preserve">，包内根目录为 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20261013T081635Z_cfcac9/</w:t>
            </w:r>
          </w:p>
        </w:tc>
        <w:tc>
          <w:tcPr>
            <w:tcW w:type="dxa" w:w="46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Windows安装、157项测试、三套数据接口与篡改、五页流程及切换恢复的历史原件，共223文件、63图。该阶段浏览器缺项保留；10月14日后续补证见B-W3。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B-W2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独立复核/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 xml:space="preserve"> 下的 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auto_audit.json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ui_audit.json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候选版本交叉核对.json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五页矩阵截图独立复核.json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、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重启快照独立核算.json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 xml:space="preserve"> 及复核结论</w:t>
            </w:r>
          </w:p>
        </w:tc>
        <w:tc>
          <w:tcPr>
            <w:tcW w:type="dxa" w:w="46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Mac实际接收原件并核对157个不重复测试身份、796个候选载荷指纹；63图解码、52张不同截图视觉审阅及关键页面文本比对。属于原件复核，没有在Mac重跑Windows测试。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B-W3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Windows补证原件/20261013T081635Z_cfcac9_with_manual(1).zip；包内补证目录为20261013T081635Z_cfcac9/补证_20261014T024241Z/</w:t>
            </w:r>
          </w:p>
        </w:tc>
        <w:tc>
          <w:tcPr>
            <w:tcW w:type="dxa" w:w="46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10月14日浏览器补证：原BAT、服务启停日志、执行人确认、6张新图与恢复预测审计。新包286文件、69图，旧223文件未改；自动打开与同标签连续性含执行人确认。实名与人工复核待补。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B-W1回传ZIP的SHA-256为 a948144b2f5270ea81440262228ce211adea405a6a25ee4c9c3eef21b9e5cb70。受测程序包SHA-256为 9cbc442537d94d7e1418c45c9345185616c84a7daed6796eed323eeb151fce90。原摘要保留 manual_browser_acceptance=NOT_EXECUTED、second_physical_device_verified=false，后补操作记录另存。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B-W3回传ZIP的SHA-256为 40c8d98486ace02a39c50ffd1d14a2faea108a98c5d07d6854671061595539ed。新旧包逐文件比对、6图审阅及日志核对见 独立复核/补证接收核对.json、补证技术核对.json 和 补证截图核对.json。Windows端备份与磁盘核验属于回传记录，本机直接验证的是所接收原件及冻结候选内容。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巡检仅证明功能按记录执行。Olist该次指定参数和种子的“权重劫持”与“权重劫持＋扣下真实热门”两项PrivEdge攻击成功率均为100%，须保留原结果，不能改写成所有攻击被防住；也不能外推为全部参数下的算法结论。</w:t>
      </w:r>
    </w:p>
    <w:p>
      <w:pPr>
        <w:pStyle w:val="2"/>
        <w:keepNext/>
        <w:keepLines/>
        <w:pageBreakBefore/>
        <w:spacing w:line="360" w:lineRule="auto" w:after="160" w:before="0"/>
        <w:ind w:firstLine="0"/>
        <w:jc w:val="center"/>
      </w:pPr>
      <w:bookmarkStart w:id="1005" w:name="RR_006"/>
      <w:r>
        <w:rPr>
          <w:rFonts w:ascii="宋体" w:hAnsi="宋体" w:eastAsia="宋体"/>
          <w:b/>
          <w:sz w:val="32"/>
        </w:rPr>
        <w:t>五 历史运行命令与异机记录</w:t>
      </w:r>
      <w:bookmarkEnd w:id="1005"/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C.1 版本、目录与环境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sz w:val="24"/>
          <w:szCs w:val="24"/>
        </w:rPr>
        <w:t>当前主体基于23546a1及未提交变更，以E33程序清单定位，包含源码、锁定依赖、217项后端回归、三套标准表、既有运行及构建前端。双A8接口和描述性证据保留，原有runs未改。B的acceptance及qa保存在原受测归档，当前便携程序使用自身启动、验证及测试入口，历史工具不能直接套用到不同目录结构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sz w:val="24"/>
          <w:szCs w:val="24"/>
        </w:rPr>
        <w:t>源码安装建议Python 3.12，首次安装依赖需要联网；运行现成页面不需要Node.js，重建前端需要Node.js与npm。B历史候选记录了macOS与Windows环境，Linux未验收；当前E33整合包仅有本机Windows验证。ProVerif不是启动控制台的必需依赖。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sz w:val="24"/>
          <w:szCs w:val="24"/>
        </w:rPr>
        <w:t>B历史受测程序包为PrivEdge_异机验收候选版_20261013.zip，SHA-256见B-W1；其796项载荷保留原指纹。E30及E31程序包是中间冻结版本，均不能替代E33最终整合包。历史包内报告属于当时快照，后续合稿以本报告和E33对应证据为准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C.2 安装、测试与启动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当前主体以Python 3.12及privedge/requirements.lock为安装入口；程序目录内运行setup.bat、run_tests.bat、start_console.bat。首次源码安装需要联网及合适的基础解释器，不复制其他电脑的开发虚拟环境。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Windows PowerShell从程序目录执行：.\.venv\Scripts\python.exe -m pytest -q；启动执行：.\.venv\Scripts\python.exe -m uvicorn privedge.server.app:app --host 127.0.0.1 --port 8765。浏览器访问http://127.0.0.1:8765/，停止服务使用Ctrl+C。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macOS/Linux使用./.venv/bin/python；缺少环境时先以本机Python 3.12创建.venv，再按requirements.lock安装。现成web/dist可直接演示；修改web/src后需在web目录运行npm ci和npm run build。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E23的Windows x64候选冻结于10月13日，内置隔离运行时并通过73项测试，尚未包含后续修复。E33已按最终整合代码重新构建便携程序，使用附录C开头登记的ZIP与文件指纹；不得混用历史包的验收结果或将旧包重命名为当前版本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当前E33整合包使用“启动程序.cmd”“验证程序.cmd”“运行测试.cmd”，无需先安装Python。E24历史候选使用acceptance/accept.py及配套工具安装采证，其原路径见历史归档。历史Python安装失败、受控故障和极小正ε的数值警告保持记录，不因新包成功而抹去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E33开发目录217项测试通过，耗时27.58秒、3条警告；包内217项通过，耗时29.17秒、3条警告。保留极小正ε边界的3条数值警告。前端与通信90项、浏览器11类分别通过，文件完整性核对4884项。各组覆盖存在交叉，分别报告，不相加为独立用例数；本机解压目录检查不代替最终版本实际异机验收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C.3 数据检查与实验复现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随包标准表规模如下。“定义域类别”包括当前样本未出现但保留在公开类别域中的类别，不应与实际出现类别混写。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表C-1 标准表规模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2608"/>
        <w:gridCol w:w="2353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数据集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源数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定义域／实际类别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事件数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meituan_trd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122／106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183,346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olist_brazil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71／70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62,491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massive_steps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156／147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62,053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启动前读取各数据目录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domain.json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 的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file_sha256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，计算对应文件原始字节的SHA-256并比较。本轮已有5项数据文件哈希全部匹配。不要在发现不一致后直接更新期望哈希；重导出gzip引起压缩元数据变化时，须说明原因并另核对解压后的内容与顺序。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本轮B工作复算已完成实验的统计结果，没有重新运行完整算法网格。若需从标准表重跑，在程序目录使用虚拟环境Python执行下列示例，并将数据集依次替换为上述三个ID。反斜杠为macOS/Linux续行符；Windows先将每条命令合并为一行并删除续行符，再将解释器前缀替换为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.\.venv\Scripts\python.exe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：</w:t>
      </w:r>
    </w:p>
    <w:p>
      <w:pPr>
        <w:keepNext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./.venv/bin/python -m privedge.experiments.security_v1 \</w:t>
      </w:r>
    </w:p>
    <w:p>
      <w:pPr>
        <w:keepNext w:val="0"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--dataset massive_steps --protocol v2 --v41-policy</w:t>
      </w:r>
    </w:p>
    <w:p>
      <w:pPr>
        <w:keepNext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./.venv/bin/python -m privedge.experiments.security_v3 \</w:t>
      </w:r>
    </w:p>
    <w:p>
      <w:pPr>
        <w:keepNext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--dataset massive_steps --tag v4 \</w:t>
      </w:r>
    </w:p>
    <w:p>
      <w:pPr>
        <w:keepNext w:val="0"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--seeds '601,709,811,907,1009' --clip-floor 0</w:t>
      </w:r>
    </w:p>
    <w:p>
      <w:pPr>
        <w:keepNext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./.venv/bin/python -m privedge.experiments.utility_v1 \</w:t>
      </w:r>
    </w:p>
    <w:p>
      <w:pPr>
        <w:keepNext w:val="0"/>
        <w:widowControl/>
        <w:spacing w:before="0" w:after="100" w:line="360" w:lineRule="auto"/>
        <w:jc w:val="left"/>
        <w:snapToGrid w:val="0"/>
        <w:wordWrap w:val="1"/>
        <w:suppressAutoHyphens w:val="1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--dataset massive_steps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sz w:val="24"/>
          <w:szCs w:val="24"/>
        </w:rPr>
        <w:t>每次保留新运行ID、配置、种子、时间、环境、数据哈希、代码指纹与产物清单，不覆盖旧登记运行。对比时同时核对总行数、键与重复次数、状态及各指标，不能仅凭部分指标的“changed=0”宣布完全一致。四方法原始运行已由E28验收，按描述性比较复现；接口格式导出由E29登记，不能将旧冻结缺口补写为已完成。ProVerif复验另需安装2.05版本并向 formal_v1传入可执行文件路径；现有符号验证输出不等同于本机重跑。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当前复现起点是随包标准表。本机已定位Olist三个脚本、Massive诊断脚本及TRD预注册文件，记录见E30；完整原始数据、下载版本和处理依赖链尚未纳入本运行包并独立验证。不能仅据文件存在就宣称原始数据到结果已重建；未来须在隔离副本导出并核对，保留现有标准表。</w:t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C.4 另一台电脑验收与记录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Windows端已执行技术检查及10月14日浏览器补证通过，实名与独立人工复核待补。执行人已确认两台不同实体电脑均由其本人操作，见 人工确认/设备与执行人确认_20261014.txt。原summary的 second_physical_device_verified=false 及人工检查未执行字段保持生成时状态；B-W3保存后续补证，不倒改历史原件。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表C-2 历史B候选Windows验证与人员确认状态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28"/>
        <w:gridCol w:w="2608"/>
        <w:gridCol w:w="2353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步骤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预期行为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留存证据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当前状态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获取与安装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版本一致，依赖安装及检查通过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796项载荷核对、安装及版本日志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已执行技术检查通过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自动测试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全部157项通过，无失败/错误/跳过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pytest XML及日志，保留3条警告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已执行技术检查通过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启动与总览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服务、资源及三套数据可用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BAT服务日志、总览截图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启动通过；自动打开含现场确认，见B-W3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冷启动与攻防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三套数据完成预测和攻击演示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输入、seed、状态及截图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功能通过；保留实际攻击成功率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账本与实验中心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篡改副本被拒，原账本完整；图表可追溯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接口/页面证据、来源说明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已执行技术检查通过；未重跑完整算法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切换与应用内恢复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结果归属正确，已加载页面可恢复操作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三套各3次切换及中断记录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已执行场景通过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服务重启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新进程按内存状态设计初始化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前后快照、公钥及计数比对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已验证清空与换钥，不是持久化恢复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原生错误页同标签恢复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停服刷新、错误截图、启服后原标签预测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地址栏、时间及实际运行证据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用户接管完成；截图、确认与日志相互印证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实体设备与人员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真实设备、执行及复核身份明确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10月14日执行人确认记录</w:t>
            </w:r>
          </w:p>
        </w:tc>
        <w:tc>
          <w:tcPr>
            <w:tcW w:type="dxa" w:w="235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不同实体电脑、同一执行人已确认；实名与复核人待登记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三套数据×五页共15个组合已有证据。10月14日另补原生连接错误页的同标签恢复及预测，启动脚本自动打开由执行人现场确认。首张正常页及两张预测图无地址栏；错误页和恢复总览含地址栏，同标签连续性结合执行人明确确认，无稳定标签ID或连续录屏。仅凭另标签页成功不能替代该场景；本轮依据见B-W3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重启快照显示三套账目171/81/91变为0，审计17/16/15变为0，各11/6/7个对应公钥全部变化，符合当前服务内存状态。NORMAL表示当前来源与一致性条件达标，不等于预测准确或所有攻击无效；Olist的两项100%攻击成功率保留于原巡检截图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最终E33版本的异机验收应记录ZIP的SHA-256、实体设备、Python及系统版本、测试日志、三数据五页操作、失败与复测，以及执行人和复核人。E24记录仅保留为历史候选证据；最终应按E33指纹核查实际运行版本，确认程序与报告一致。</w:t>
      </w:r>
    </w:p>
    <w:p>
      <w:pPr>
        <w:pStyle w:val="2"/>
        <w:keepNext/>
        <w:keepLines/>
        <w:pageBreakBefore/>
        <w:spacing w:line="360" w:lineRule="auto" w:after="160" w:before="0"/>
        <w:ind w:firstLine="0"/>
        <w:jc w:val="center"/>
      </w:pPr>
      <w:bookmarkStart w:id="1006" w:name="RR_007"/>
      <w:r>
        <w:rPr>
          <w:rFonts w:ascii="宋体" w:hAnsi="宋体" w:eastAsia="宋体"/>
          <w:b/>
          <w:sz w:val="32"/>
        </w:rPr>
        <w:t>六 来源与软件许可核查原记录</w:t>
      </w:r>
      <w:bookmarkEnd w:id="1006"/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本轮已核对OLH移植上游为Tianhao Wang维护的LDP_Protocols，并保留MIT许可、署名和固定核对快照。核对快照commit为f7252b07733dc0e100e2f077218ab2d35d3519d5，不等于当年移植版本已确认；历史来源包或版本仍需提供者确认。研究内核原字节保持不变，不笼统称全部代码按论文独立实现。</w:t>
      </w:r>
    </w:p>
    <w:p>
      <w:pPr>
        <w:widowControl/>
        <w:spacing w:line="360" w:lineRule="auto"/>
      </w:pPr>
      <w:r>
        <w:rPr>
          <w:rFonts w:ascii="宋体" w:hAnsi="宋体" w:eastAsia="宋体" w:cs="宋体"/>
          <w:sz w:val="24"/>
          <w:szCs w:val="24"/>
        </w:rPr>
        <w:t>本附录的qa/b_retest_20261013等路径指B历史候选。E30已收到119项许可载荷、15个官方响应、核对脚本和完整notices并核对指纹。当前程序中B许可副本位于licenses/b_candidate_20261013，Windows运行时许可另行保留；历史Mac安装清单不替代当前包清单。成员署名和权利确认由本人完成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D.1 代码来源、原创范围与贡献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基准提交为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23546a1215d0dfc2cd7315e9cea07b79363f7885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，本地候选版核对日期为2026年10月13日。研究内核9个文件与清单、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review/top-k-share-20260925/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快照的SHA-256均一致。这证明副本一致，不单独证明作者、创作时间或权利归属。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表D-1 实现来源与本项目工作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326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部分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来源或本项目工作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复核依据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研究内核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原样保留fusion、metrics、ldp_protocols等9个研究文件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research_core清单及原始研究快照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OLH工程接口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分离扰动、聚合及支持矩阵计算，固定备用哈希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ldp.py及逐位一致性回归测试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安全与决策层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摘要信封、角色密钥、预算账本、网关、截尾、支持规则、权重封顶与三态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envelope、keys、ledger、gateway、robust、decision等实现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实验及演示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预注册运行器、图表、形式模型、FastAPI接口与React页面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experiments、formal、server、web/src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本轮B工作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验收测试、证据复算、候选修复复测、运行说明及许可归档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qa/b_20261013、qa/b_retest_20261013及新增测试文件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OLH、MGA、Ed25519等既有方法按实际使用注明出处，不列为本队独创。工程变更见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08_相对团队原始研究代码的改动记录.md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。原研究环境用过xxhash，当前固定备用哈希，不能将两者输出混作同一次随机运行。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成员姓名、实际贡献、原创范围与权利声明仍须由本人确认，AI辅助范围和人工复核人一并登记。AI辅助参与证据核对、工程检查及报告整理，不自动形成成员签字或独立人工验收。B-W1—B-W3定位历史人工操作及补证，E33定位当前前后端整合与工程复测；原始摘要、日志和失败现场保留。基准仓库没有自有代码根级LICENSE，后续对外许可由权利人明确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D.2 数据与公开上下文来源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本轮归档官方API许可字段、响应原文、URL、取得时间与SHA-256；公开许可与额外授权、冻结版本证明分别记录。</w:t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表D-2 数据来源与许可核实状态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326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数据或材料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已核对的公开来源与许可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实际状态与边界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美团TRD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Zenodo 8025855，Liu Yijian，版本1.0；官方API的metadata.license.id为cc-by-4.0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已归档CC BY 4.0字段及许可原文；美团向上传者授权的独立依据仍待确认。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Olist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Kaggle的olistbr/brazilian-ecommerce；官方元数据ownerName为Olist，licenseName为CC BY-NC-SA 4.0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官方字段和许可原文已归档；保留历史原包核对记录，本轮没有重新下载全部原始数据。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Massive-STEPS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官方仓库cruiseresearchgroup/Massive-STEPS；当前代码为Apache-2.0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当前代码许可已归档，不能代替项目冻结数据许可；实际下载版本及上游字段链仍须补证。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Semantic Trails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Figshare官方API返回v2，DOI 10.6084/m9.figshare.7429076.v2，license.name为CC0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数据许可字段及原文已取得；尚需对应本项目确切原始文件版本，代码许可另行对待。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OSM/ohsome上下文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OpenStreetMap官方版权页标明ODbL；经HeiGIT ohsome提取，既有缓存保留OSM署名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正式清单已补© OpenStreetMap contributors、ODbL链接及服务来源，并随包保存完整许可。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字段摘录见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qa/b_retest_20261013/provenance/official_license_fields.json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，15个官方响应及哈希见同目录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official_sources/fetch_manifest.json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。来源链接和逐文件分发说明见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privedge/THIRD_PARTY_LICENSES.md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 xml:space="preserve">；数据署名与原文见 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privedge/licenses/data/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三套标准事件表及部分公开上下文随包，原始下载不随包；过滤或去标识不改变来源。TRD注明首单、品类和商圈转换，不写成已取得美团直接授权；Olist保留非商业、署名与相同方式共享说明。OSM上下文保留“© OpenStreetMap contributors”、ODbL 1.0及HeiGIT ohsome来源。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Massive-STEPS另涉及Foursquare Open Source Places，当前代码许可和CC0元数据不能确认全部冻结输入。B历史搜索未找到的Olist三个脚本、Massive诊断脚本和TRD预注册文件，本轮已在本机dataset_research定位并记录指纹。该更正只证明文件存在，未验证完整下载处理链或执行标准表重建。</w:t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D.3 第三方软件与分发说明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B历史候选归档Python 31包的39份许可、npm实装71包中的71份许可或NOTICE，相关许可材料随E33保留。历史版本、来源及哈希见privedge/licenses/inventory.json；原文位于python、frontend目录。当前载荷以E33的FILE_MANIFEST.json核对，下表为既有许可摘要。</w:t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keepNext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表D-3 主要软件组件及许可记录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72"/>
        <w:gridCol w:w="326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组件及核对版本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主要许可记录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7E6E6"/>
          </w:tcPr>
          <w:p>
            <w:pPr>
              <w:keepNext/>
              <w:keepLines w:val="0"/>
              <w:widowControl/>
              <w:spacing w:before="0" w:after="0" w:line="360" w:lineRule="auto"/>
              <w:ind w:firstLine="0"/>
              <w:jc w:val="center"/>
              <w:snapToGrid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当前归档与分发范围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NumPy 2.3.5、pandas 3.0.1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主项目BSD-3-Clause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已保存实际分发包完整文件，包含其随附第三方条款；虚拟环境和wheel不随源码包分发。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cryptography 50.0.1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Apache-2.0或BSD-3-Clause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已归档实际LICENSE、Apache及BSD文本。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FastAPI 0.141.1、Pydantic 2.13.5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MIT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实装原文已归档，安装版本由requirements.lock固定。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Uvicorn 0.54.0、Starlette 1.7.0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BSD-3-Clause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实装原文已归档；其他平台依赖文件应保留自身许可。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React/React DOM 18.3.1、scheduler 0.23.2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MIT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实际进入浏览器bundle，完整版权与许可纳入合并notices。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ECharts 5.6.0、zrender 5.6.1、tslib 2.3.0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Apache-2.0、BSD-3-Clause、0BSD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实际进入bundle；ECharts的NOTICE及d3许可同时保留。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Vite 5.4.21、TypeScript 5.9.3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MIT、Apache-2.0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Vite浏览器辅助代码纳入bundle notices；TypeScript属于构建安装树。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ProVerif 2.05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官方许可证为GNU GPL v2</w:t>
            </w:r>
          </w:p>
        </w:tc>
        <w:tc>
          <w:tcPr>
            <w:tcW w:type="dxa" w:w="326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360" w:lineRule="auto"/>
              <w:ind w:firstLine="0"/>
              <w:jc w:val="left"/>
              <w:snapToGrid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作为外部进程调用，工具二进制不随当前包分发。</w:t>
            </w:r>
          </w:p>
        </w:tc>
      </w:tr>
    </w:tbl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B历史候选曾在临时副本执行Vite生产构建，以Rollup模块记录识别7个实际打包组件，3个输出与当时web/dist指纹相同，证据为qa/b_retest_20261013/provenance/bundle_modules.json。当前E33前端已重新构建，依赖锁及既有许可材料保留；旧构建输出哈希不代表当前输出。完整FRONTEND_BUNDLE_NOTICES.txt继续随程序分发，单独分发页面时也应连带许可通知。</w:t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安装树与bundle分开登记。47个未安装平台可选项单列；两个本机构建二进制子包无独立许可，保留此事实及同版本主包许可，二进制不随包分发。本轮Windows安装日志核对了31个锁定依赖及运行结果，没有新增Windows wheel或全平台二进制许可审计；Linux分发物亦未核对。以后交付预装依赖时按目标平台另验，不能将安装成功等同于全部许可义务已经完成。</w:t>
      </w:r>
    </w:p>
    <w:p>
      <w:pPr>
        <w:keepNext w:val="0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matplotlib作图依赖和duckdb研究环境不在本轮31包范围。Pandoc、文档转换用python-docx与运行系统分开登记，不计作原创算法；以后实际分发时另核对许可。</w:t>
      </w:r>
    </w:p>
    <w:p>
      <w:pPr>
        <w:keepNext w:val="1"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/>
          <w:color w:val="000000"/>
          <w:sz w:val="24"/>
          <w:szCs w:val="24"/>
        </w:rPr>
        <w:t>D.4 提交前核实事项</w:t>
      </w:r>
    </w:p>
    <w:p>
      <w:pPr>
        <w:keepNext w:val="0"/>
        <w:keepLines/>
        <w:widowControl/>
        <w:spacing w:before="0" w:after="100" w:line="360" w:lineRule="auto"/>
        <w:jc w:val="left"/>
        <w:snapToGrid w:val="0"/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15个官方响应和119项许可载荷已由E30接收并重新核对指纹，完整原文留在B归档，许可副本进入整合程序。仍须确认成员作者、贡献与人工复核、TRD上游授权和Massive冻结输入链；已定位的研究脚本不再列为本机缺失。文件一致和运行通过不能替代原创性及授权证明。</w:t>
      </w:r>
      <w:r>
        <w:rPr>
          <w:rFonts w:ascii="宋体" w:hAnsi="宋体" w:eastAsia="宋体" w:cs="宋体"/>
          <w:b w:val="0"/>
          <w:color w:val="000000"/>
          <w:sz w:val="24"/>
        </w:rPr>
      </w:r>
      <w:r>
        <w:rPr>
          <w:rFonts w:ascii="宋体" w:hAnsi="宋体" w:eastAsia="宋体" w:cs="宋体"/>
          <w:b w:val="0"/>
          <w:color w:val="000000"/>
          <w:sz w:val="24"/>
        </w:rPr>
      </w:r>
    </w:p>
    <w:p>
      <w:pPr>
        <w:keepNext w:val="0"/>
        <w:spacing w:line="360" w:lineRule="auto" w:after="120" w:before="0"/>
        <w:ind w:firstLine="480"/>
      </w:pPr>
      <w:r>
        <w:rPr>
          <w:rFonts w:ascii="宋体" w:hAnsi="宋体" w:eastAsia="宋体"/>
          <w:b w:val="0"/>
          <w:sz w:val="24"/>
        </w:rPr>
        <w:t>以上记录按E33主报告原段落保存。后续新版本的验证记录应单独追加，不覆写历史产物，不把旧版测试身份或截图继承为新版通过。</w:t>
      </w:r>
    </w:p>
    <w:sectPr>
      <w:pgSz w:w="11906" w:h="16838"/>
      <w:pgMar w:top="1440" w:right="1466" w:bottom="1440" w:left="1620" w:header="851" w:footer="992" w:gutter="0"/>
      <w:cols w:space="720" w:num="1"/>
      <w:docGrid w:type="lines" w:linePitch="312" w:charSpace="0"/>
      <w:footerReference r:id="rId4" w:type="default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EDC91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06007DD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921E2">
    <w:pPr>
      <w:pStyle w:val="3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NlYTNjYzhkOWI3ZTcwMWJiOTE2ZjU4NjBhNGZhZjQifQ=="/>
  </w:docVars>
  <w:rsids>
    <w:rsidRoot w:val="00000000"/>
    <w:rsid w:val="34871393"/>
    <w:rsid w:val="41700E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toc 1"/>
    <w:basedOn w:val="1"/>
    <w:next w:val="1"/>
    <w:qFormat/>
    <w:uiPriority w:val="39"/>
    <w:rPr>
      <w:sz w:val="28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qFormat/>
    <w:uiPriority w:val="99"/>
    <w:rPr>
      <w:color w:val="000066"/>
      <w:u w:val="none"/>
    </w:rPr>
  </w:style>
  <w:style w:type="paragraph" w:styleId="PEHeading2">
    <w:name w:val="heading 2"/>
    <w:basedOn w:val="1"/>
    <w:next w:val="1"/>
    <w:qFormat/>
    <w:uiPriority w:val="0"/>
    <w:pPr>
      <w:keepNext/>
      <w:keepLines/>
      <w:spacing w:before="340" w:after="330" w:line="578" w:lineRule="auto"/>
      <w:outlineLvl w:val="1"/>
    </w:pPr>
    <w:rPr>
      <w:b/>
      <w:bCs/>
      <w:kern w:val="44"/>
      <w:sz w:val="44"/>
      <w:szCs w:val="44"/>
      <w:lang w:val="zh-CN"/>
    </w:rPr>
  </w:style>
  <w:style w:type="paragraph" w:styleId="PEHeading3">
    <w:name w:val="heading 3"/>
    <w:basedOn w:val="1"/>
    <w:next w:val="1"/>
    <w:qFormat/>
    <w:uiPriority w:val="0"/>
    <w:pPr>
      <w:keepNext/>
      <w:keepLines/>
      <w:spacing w:before="340" w:after="330" w:line="578" w:lineRule="auto"/>
      <w:outlineLvl w:val="2"/>
    </w:pPr>
    <w:rPr>
      <w:b/>
      <w:bCs/>
      <w:kern w:val="44"/>
      <w:sz w:val="44"/>
      <w:szCs w:val="44"/>
      <w:lang w:val="zh-CN"/>
    </w:rPr>
  </w:style>
  <w:style w:type="paragraph" w:customStyle="1" w:styleId="Title">
    <w:name w:val="Title"/>
    <w:basedOn w:val="1"/>
    <w:pPr>
      <w:spacing w:line="360" w:lineRule="auto" w:after="120"/>
    </w:pPr>
    <w:rPr>
      <w:rFonts w:ascii="黑体" w:hAnsi="黑体" w:eastAsia="黑体"/>
      <w:color w:val="000000"/>
      <w:sz w:val="4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b_verified_figure_1.png"/><Relationship Id="rId8" Type="http://schemas.openxmlformats.org/officeDocument/2006/relationships/image" Target="media/b_verified_figure_2.png"/><Relationship Id="rId9" Type="http://schemas.openxmlformats.org/officeDocument/2006/relationships/image" Target="media/b_verified_figure_3.png"/><Relationship Id="rId10" Type="http://schemas.openxmlformats.org/officeDocument/2006/relationships/image" Target="media/b_verified_figure_4.png"/><Relationship Id="rId11" Type="http://schemas.openxmlformats.org/officeDocument/2006/relationships/image" Target="media/b_verified_figure_5.png"/><Relationship Id="rId12" Type="http://schemas.openxmlformats.org/officeDocument/2006/relationships/image" Target="media/b_verified_figure_1.png"/><Relationship Id="rId13" Type="http://schemas.openxmlformats.org/officeDocument/2006/relationships/image" Target="media/b_verified_figure_2.png"/><Relationship Id="rId14" Type="http://schemas.openxmlformats.org/officeDocument/2006/relationships/image" Target="media/b_verified_figure_3.png"/><Relationship Id="rId15" Type="http://schemas.openxmlformats.org/officeDocument/2006/relationships/image" Target="media/b_verified_figure_4.png"/><Relationship Id="rId16" Type="http://schemas.openxmlformats.org/officeDocument/2006/relationships/image" Target="media/b_verified_figure_5.png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2026-10-17T00:00:00Z</dcterms:created>
  <dc:creator/>
  <cp:lastModifiedBy/>
  <dcterms:modified xsi:type="dcterms:W3CDTF">2026-10-17T00:00:00Z</dcterms:modified>
  <dc:description/>
  <dc:title>PrivEdge工程验证与历史记录附件</dc:title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DC7D8A845ADA456D8F9C007EAF004E53_13</vt:lpwstr>
  </property>
</Properties>
</file>