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24240" w14:textId="77777777" w:rsidR="00885BD9" w:rsidRDefault="00885BD9" w:rsidP="00637BF7">
      <w:pPr>
        <w:rPr>
          <w:rFonts w:ascii="Times New Roman" w:hAnsi="Times New Roman"/>
        </w:rPr>
      </w:pPr>
      <w:r w:rsidRPr="00885BD9">
        <w:rPr>
          <w:rFonts w:ascii="Times New Roman" w:hAnsi="Times New Roman"/>
        </w:rPr>
        <w:t xml:space="preserve">This manuscript experimentally investigates the deformation, strength and energy absorption of auxetic </w:t>
      </w:r>
      <w:proofErr w:type="spellStart"/>
      <w:r w:rsidRPr="00885BD9">
        <w:rPr>
          <w:rFonts w:ascii="Times New Roman" w:hAnsi="Times New Roman"/>
        </w:rPr>
        <w:t>metastructure</w:t>
      </w:r>
      <w:proofErr w:type="spellEnd"/>
      <w:r w:rsidRPr="00885BD9">
        <w:rPr>
          <w:rFonts w:ascii="Times New Roman" w:hAnsi="Times New Roman"/>
        </w:rPr>
        <w:t xml:space="preserve">-reinforced granular composites under monotonic, constant shear stress and cyclic triaxial loading paths. It reveals the nonlinear enhancement of energy absorption and an efficiency crossover phenomenon between single-layer and triple-layer configurations, offering new experimental evidence for </w:t>
      </w:r>
      <w:proofErr w:type="spellStart"/>
      <w:r w:rsidRPr="00885BD9">
        <w:rPr>
          <w:rFonts w:ascii="Times New Roman" w:hAnsi="Times New Roman"/>
        </w:rPr>
        <w:t>metastructure</w:t>
      </w:r>
      <w:proofErr w:type="spellEnd"/>
      <w:r w:rsidRPr="00885BD9">
        <w:rPr>
          <w:rFonts w:ascii="Times New Roman" w:hAnsi="Times New Roman"/>
        </w:rPr>
        <w:t xml:space="preserve"> application in confined granular systems.</w:t>
      </w:r>
    </w:p>
    <w:p w14:paraId="59A1AE88" w14:textId="13CC4866" w:rsidR="00885BD9" w:rsidRDefault="00885BD9" w:rsidP="00637BF7">
      <w:pPr>
        <w:rPr>
          <w:rFonts w:ascii="Times New Roman" w:hAnsi="Times New Roman"/>
        </w:rPr>
      </w:pPr>
      <w:r w:rsidRPr="00885BD9">
        <w:rPr>
          <w:rFonts w:ascii="Times New Roman" w:hAnsi="Times New Roman"/>
        </w:rPr>
        <w:t>However, the manuscript currently has several notable issues: the core novelty is not sufficiently highlighted against conventional granular reinforcement; some mechanistic explanations remain at the qualitative level and lack in-depth discussion; key experimental details are missing for reproducibility; there are grammatical errors, non-standard terminology and formatting inconsistencies.</w:t>
      </w:r>
    </w:p>
    <w:p w14:paraId="528F5B28" w14:textId="35604BE1" w:rsidR="00637BF7" w:rsidRPr="00C01C38" w:rsidRDefault="00803DF1" w:rsidP="00637BF7">
      <w:pPr>
        <w:rPr>
          <w:rFonts w:ascii="Times New Roman" w:hAnsi="Times New Roman"/>
        </w:rPr>
      </w:pPr>
      <w:r w:rsidRPr="00C01C38">
        <w:rPr>
          <w:rFonts w:ascii="Times New Roman" w:hAnsi="Times New Roman"/>
        </w:rPr>
        <w:t xml:space="preserve">I recommend a </w:t>
      </w:r>
      <w:r w:rsidRPr="00C01C38">
        <w:rPr>
          <w:rFonts w:ascii="Times New Roman" w:hAnsi="Times New Roman"/>
          <w:b/>
          <w:bCs/>
        </w:rPr>
        <w:t>Major Revision</w:t>
      </w:r>
      <w:r w:rsidRPr="00C01C38">
        <w:rPr>
          <w:rFonts w:ascii="Times New Roman" w:hAnsi="Times New Roman"/>
        </w:rPr>
        <w:t xml:space="preserve"> focused on clarifying the experimental parameters, and addressing the specific points detailed below.</w:t>
      </w:r>
    </w:p>
    <w:p w14:paraId="71E31F08" w14:textId="77777777" w:rsidR="00803DF1" w:rsidRPr="00C01C38" w:rsidRDefault="00803DF1" w:rsidP="00637BF7">
      <w:pPr>
        <w:rPr>
          <w:rFonts w:ascii="Times New Roman" w:hAnsi="Times New Roman"/>
        </w:rPr>
      </w:pPr>
    </w:p>
    <w:p w14:paraId="45FBF6BE" w14:textId="7B4A0410" w:rsidR="00803DF1" w:rsidRDefault="00986E38" w:rsidP="002D2AF8">
      <w:pPr>
        <w:pStyle w:val="a9"/>
        <w:numPr>
          <w:ilvl w:val="0"/>
          <w:numId w:val="1"/>
        </w:numPr>
        <w:jc w:val="both"/>
        <w:rPr>
          <w:rFonts w:ascii="Times New Roman" w:hAnsi="Times New Roman"/>
        </w:rPr>
      </w:pPr>
      <w:bookmarkStart w:id="0" w:name="OLE_LINK9"/>
      <w:r w:rsidRPr="00C01C38">
        <w:rPr>
          <w:rFonts w:ascii="Times New Roman" w:hAnsi="Times New Roman" w:hint="eastAsia"/>
        </w:rPr>
        <w:t>Line 34</w:t>
      </w:r>
      <w:r>
        <w:rPr>
          <w:rFonts w:ascii="Times New Roman" w:hAnsi="Times New Roman" w:hint="eastAsia"/>
        </w:rPr>
        <w:t>,45</w:t>
      </w:r>
      <w:r w:rsidRPr="00C01C38">
        <w:rPr>
          <w:rFonts w:ascii="Times New Roman" w:hAnsi="Times New Roman" w:hint="eastAsia"/>
        </w:rPr>
        <w:t>:</w:t>
      </w:r>
      <w:r>
        <w:rPr>
          <w:rFonts w:ascii="Times New Roman" w:hAnsi="Times New Roman" w:hint="eastAsia"/>
        </w:rPr>
        <w:t xml:space="preserve"> </w:t>
      </w:r>
      <w:r w:rsidR="004551A7" w:rsidRPr="00C01C38">
        <w:rPr>
          <w:rFonts w:ascii="Times New Roman" w:hAnsi="Times New Roman"/>
        </w:rPr>
        <w:t xml:space="preserve">There are </w:t>
      </w:r>
      <w:bookmarkStart w:id="1" w:name="OLE_LINK4"/>
      <w:r w:rsidR="004551A7" w:rsidRPr="00C01C38">
        <w:rPr>
          <w:rFonts w:ascii="Times New Roman" w:hAnsi="Times New Roman"/>
        </w:rPr>
        <w:t>typographical</w:t>
      </w:r>
      <w:bookmarkEnd w:id="1"/>
      <w:r w:rsidR="004551A7" w:rsidRPr="00C01C38">
        <w:rPr>
          <w:rFonts w:ascii="Times New Roman" w:hAnsi="Times New Roman"/>
        </w:rPr>
        <w:t xml:space="preserve"> errors in the abstract</w:t>
      </w:r>
      <w:r w:rsidR="002D2AF8">
        <w:rPr>
          <w:rFonts w:ascii="Times New Roman" w:hAnsi="Times New Roman" w:hint="eastAsia"/>
        </w:rPr>
        <w:t xml:space="preserve">. The </w:t>
      </w:r>
      <w:r w:rsidR="004551A7" w:rsidRPr="00C01C38">
        <w:rPr>
          <w:rFonts w:ascii="Times New Roman" w:hAnsi="Times New Roman" w:hint="eastAsia"/>
        </w:rPr>
        <w:t>“</w:t>
      </w:r>
      <w:proofErr w:type="spellStart"/>
      <w:r w:rsidR="004551A7" w:rsidRPr="00C01C38">
        <w:rPr>
          <w:rFonts w:ascii="Times New Roman" w:hAnsi="Times New Roman"/>
        </w:rPr>
        <w:t>metastructure-embeded</w:t>
      </w:r>
      <w:proofErr w:type="spellEnd"/>
      <w:r w:rsidR="004551A7" w:rsidRPr="00C01C38">
        <w:rPr>
          <w:rFonts w:ascii="Times New Roman" w:hAnsi="Times New Roman" w:hint="eastAsia"/>
        </w:rPr>
        <w:t>”</w:t>
      </w:r>
      <w:r w:rsidR="004551A7" w:rsidRPr="00C01C38">
        <w:rPr>
          <w:rFonts w:ascii="Times New Roman" w:hAnsi="Times New Roman"/>
        </w:rPr>
        <w:t xml:space="preserve"> should be corrected to </w:t>
      </w:r>
      <w:bookmarkStart w:id="2" w:name="OLE_LINK1"/>
      <w:r w:rsidR="004551A7" w:rsidRPr="00C01C38">
        <w:rPr>
          <w:rFonts w:ascii="Times New Roman" w:hAnsi="Times New Roman" w:hint="eastAsia"/>
        </w:rPr>
        <w:t>“</w:t>
      </w:r>
      <w:bookmarkEnd w:id="2"/>
      <w:proofErr w:type="spellStart"/>
      <w:r w:rsidR="004551A7" w:rsidRPr="00C01C38">
        <w:rPr>
          <w:rFonts w:ascii="Times New Roman" w:hAnsi="Times New Roman"/>
        </w:rPr>
        <w:t>metastructure</w:t>
      </w:r>
      <w:proofErr w:type="spellEnd"/>
      <w:r w:rsidR="004551A7" w:rsidRPr="00C01C38">
        <w:rPr>
          <w:rFonts w:ascii="Times New Roman" w:hAnsi="Times New Roman"/>
        </w:rPr>
        <w:t>-embedded</w:t>
      </w:r>
      <w:r w:rsidR="004551A7" w:rsidRPr="00C01C38">
        <w:rPr>
          <w:rFonts w:ascii="Times New Roman" w:hAnsi="Times New Roman" w:hint="eastAsia"/>
        </w:rPr>
        <w:t>”</w:t>
      </w:r>
      <w:r>
        <w:rPr>
          <w:rFonts w:ascii="Times New Roman" w:hAnsi="Times New Roman" w:hint="eastAsia"/>
        </w:rPr>
        <w:t xml:space="preserve">, and </w:t>
      </w:r>
      <w:r w:rsidR="004551A7" w:rsidRPr="00C01C38">
        <w:rPr>
          <w:rFonts w:ascii="Times New Roman" w:hAnsi="Times New Roman" w:hint="eastAsia"/>
        </w:rPr>
        <w:t>“</w:t>
      </w:r>
      <w:proofErr w:type="spellStart"/>
      <w:r w:rsidR="004551A7" w:rsidRPr="00C01C38">
        <w:rPr>
          <w:rFonts w:ascii="Times New Roman" w:hAnsi="Times New Roman"/>
        </w:rPr>
        <w:t>metastucture</w:t>
      </w:r>
      <w:bookmarkStart w:id="3" w:name="OLE_LINK2"/>
      <w:proofErr w:type="spellEnd"/>
      <w:r w:rsidR="004551A7" w:rsidRPr="00C01C38">
        <w:rPr>
          <w:rFonts w:ascii="Times New Roman" w:hAnsi="Times New Roman" w:hint="eastAsia"/>
        </w:rPr>
        <w:t>”</w:t>
      </w:r>
      <w:bookmarkEnd w:id="3"/>
      <w:r w:rsidR="004551A7" w:rsidRPr="00C01C38">
        <w:rPr>
          <w:rFonts w:ascii="Times New Roman" w:hAnsi="Times New Roman"/>
        </w:rPr>
        <w:t xml:space="preserve"> should be corrected to “</w:t>
      </w:r>
      <w:proofErr w:type="spellStart"/>
      <w:r w:rsidR="004551A7" w:rsidRPr="00C01C38">
        <w:rPr>
          <w:rFonts w:ascii="Times New Roman" w:hAnsi="Times New Roman"/>
        </w:rPr>
        <w:t>metastructure</w:t>
      </w:r>
      <w:proofErr w:type="spellEnd"/>
      <w:r w:rsidR="004551A7" w:rsidRPr="00C01C38">
        <w:rPr>
          <w:rFonts w:ascii="Times New Roman" w:hAnsi="Times New Roman" w:hint="eastAsia"/>
        </w:rPr>
        <w:t>”</w:t>
      </w:r>
      <w:r w:rsidR="004551A7" w:rsidRPr="00C01C38">
        <w:rPr>
          <w:rFonts w:ascii="Times New Roman" w:hAnsi="Times New Roman"/>
        </w:rPr>
        <w:t>. Please ensure consistent spelling throughout the manuscript.</w:t>
      </w:r>
    </w:p>
    <w:p w14:paraId="61DF41FC" w14:textId="32F21DBE" w:rsidR="00986E38" w:rsidRDefault="00986E38" w:rsidP="002D2AF8">
      <w:pPr>
        <w:pStyle w:val="a9"/>
        <w:numPr>
          <w:ilvl w:val="0"/>
          <w:numId w:val="1"/>
        </w:numPr>
        <w:jc w:val="both"/>
        <w:rPr>
          <w:rFonts w:ascii="Times New Roman" w:hAnsi="Times New Roman"/>
        </w:rPr>
      </w:pPr>
      <w:r w:rsidRPr="00986E38">
        <w:rPr>
          <w:rFonts w:ascii="Times New Roman" w:hAnsi="Times New Roman"/>
        </w:rPr>
        <w:t xml:space="preserve">Lines 96–108: The research gap description is not sufficiently focused. While the authors point out that existing studies mostly focus on standalone </w:t>
      </w:r>
      <w:proofErr w:type="spellStart"/>
      <w:r w:rsidRPr="00986E38">
        <w:rPr>
          <w:rFonts w:ascii="Times New Roman" w:hAnsi="Times New Roman"/>
        </w:rPr>
        <w:t>metastructures</w:t>
      </w:r>
      <w:proofErr w:type="spellEnd"/>
      <w:r w:rsidRPr="00986E38">
        <w:rPr>
          <w:rFonts w:ascii="Times New Roman" w:hAnsi="Times New Roman"/>
        </w:rPr>
        <w:t xml:space="preserve"> and simplified uniaxial loading, they do not clearly elaborate the essential difference between auxetic </w:t>
      </w:r>
      <w:proofErr w:type="spellStart"/>
      <w:r w:rsidRPr="00986E38">
        <w:rPr>
          <w:rFonts w:ascii="Times New Roman" w:hAnsi="Times New Roman"/>
        </w:rPr>
        <w:t>metastructure</w:t>
      </w:r>
      <w:proofErr w:type="spellEnd"/>
      <w:r w:rsidRPr="00986E38">
        <w:rPr>
          <w:rFonts w:ascii="Times New Roman" w:hAnsi="Times New Roman"/>
        </w:rPr>
        <w:t xml:space="preserve"> reinforcement and conventional geotechnical reinforcement. Please clarify how the negative Poisson’s ratio behavior generates a self-adaptive confinement effect that cannot be achieved by traditional reinforcement.</w:t>
      </w:r>
    </w:p>
    <w:p w14:paraId="1B34A0E1" w14:textId="4DC48B2B" w:rsidR="00986E38" w:rsidRDefault="00986E38" w:rsidP="002D2AF8">
      <w:pPr>
        <w:pStyle w:val="a9"/>
        <w:numPr>
          <w:ilvl w:val="0"/>
          <w:numId w:val="1"/>
        </w:numPr>
        <w:jc w:val="both"/>
        <w:rPr>
          <w:rFonts w:ascii="Times New Roman" w:hAnsi="Times New Roman"/>
        </w:rPr>
      </w:pPr>
      <w:r w:rsidRPr="00986E38">
        <w:rPr>
          <w:rFonts w:ascii="Times New Roman" w:hAnsi="Times New Roman"/>
        </w:rPr>
        <w:t xml:space="preserve">Line 112: The rationale for selecting the re-entrant topology as the representative </w:t>
      </w:r>
      <w:proofErr w:type="spellStart"/>
      <w:r w:rsidRPr="00986E38">
        <w:rPr>
          <w:rFonts w:ascii="Times New Roman" w:hAnsi="Times New Roman"/>
        </w:rPr>
        <w:t>metastructure</w:t>
      </w:r>
      <w:proofErr w:type="spellEnd"/>
      <w:r w:rsidRPr="00986E38">
        <w:rPr>
          <w:rFonts w:ascii="Times New Roman" w:hAnsi="Times New Roman"/>
        </w:rPr>
        <w:t xml:space="preserve"> is missing. Please briefly explain its advantages over other auxetic topologies (e.g., chiral structures) in granular confinement applications.</w:t>
      </w:r>
    </w:p>
    <w:p w14:paraId="4C54AE9B" w14:textId="52AE8D6C" w:rsidR="00B6028A" w:rsidRDefault="00B6028A" w:rsidP="002D2AF8">
      <w:pPr>
        <w:pStyle w:val="a9"/>
        <w:numPr>
          <w:ilvl w:val="0"/>
          <w:numId w:val="1"/>
        </w:numPr>
        <w:jc w:val="both"/>
        <w:rPr>
          <w:rFonts w:ascii="Times New Roman" w:hAnsi="Times New Roman"/>
        </w:rPr>
      </w:pPr>
      <w:r w:rsidRPr="00B6028A">
        <w:rPr>
          <w:rFonts w:ascii="Times New Roman" w:hAnsi="Times New Roman"/>
        </w:rPr>
        <w:t xml:space="preserve">Lines 162–163: Key geometric parameters of the </w:t>
      </w:r>
      <w:proofErr w:type="spellStart"/>
      <w:r w:rsidRPr="00B6028A">
        <w:rPr>
          <w:rFonts w:ascii="Times New Roman" w:hAnsi="Times New Roman"/>
        </w:rPr>
        <w:t>metastructure</w:t>
      </w:r>
      <w:proofErr w:type="spellEnd"/>
      <w:r w:rsidRPr="00B6028A">
        <w:rPr>
          <w:rFonts w:ascii="Times New Roman" w:hAnsi="Times New Roman"/>
        </w:rPr>
        <w:t xml:space="preserve"> unit cell (e.g., unit cell dimension, re-entrant angle, rib thickness) are only illustrated in Figure 2</w:t>
      </w:r>
      <w:r>
        <w:rPr>
          <w:rFonts w:ascii="Times New Roman" w:hAnsi="Times New Roman" w:hint="eastAsia"/>
        </w:rPr>
        <w:t xml:space="preserve">. </w:t>
      </w:r>
      <w:proofErr w:type="gramStart"/>
      <w:r w:rsidRPr="00B6028A">
        <w:rPr>
          <w:rFonts w:ascii="Times New Roman" w:hAnsi="Times New Roman"/>
        </w:rPr>
        <w:t>(</w:t>
      </w:r>
      <w:proofErr w:type="gramEnd"/>
      <w:r w:rsidRPr="00B6028A">
        <w:rPr>
          <w:rFonts w:ascii="Times New Roman" w:hAnsi="Times New Roman"/>
        </w:rPr>
        <w:t>a) but not systematically listed in Table 2, resulting in information inconsistency between the figure and table. Please supplement these geometric parameters into Table 2 to align the information across figures and tables, and to ensure experimental reproducibility.</w:t>
      </w:r>
    </w:p>
    <w:p w14:paraId="3F1AAFF5" w14:textId="11A001FD" w:rsidR="00B6028A" w:rsidRDefault="00B6028A" w:rsidP="002D2AF8">
      <w:pPr>
        <w:pStyle w:val="a9"/>
        <w:numPr>
          <w:ilvl w:val="0"/>
          <w:numId w:val="1"/>
        </w:numPr>
        <w:jc w:val="both"/>
        <w:rPr>
          <w:rFonts w:ascii="Times New Roman" w:hAnsi="Times New Roman"/>
        </w:rPr>
      </w:pPr>
      <w:r w:rsidRPr="00B6028A">
        <w:rPr>
          <w:rFonts w:ascii="Times New Roman" w:hAnsi="Times New Roman"/>
        </w:rPr>
        <w:t xml:space="preserve">Line 202: The </w:t>
      </w:r>
      <w:proofErr w:type="spellStart"/>
      <w:r w:rsidRPr="00B6028A">
        <w:rPr>
          <w:rFonts w:ascii="Times New Roman" w:hAnsi="Times New Roman"/>
        </w:rPr>
        <w:t>pluviation</w:t>
      </w:r>
      <w:proofErr w:type="spellEnd"/>
      <w:r w:rsidRPr="00B6028A">
        <w:rPr>
          <w:rFonts w:ascii="Times New Roman" w:hAnsi="Times New Roman"/>
        </w:rPr>
        <w:t xml:space="preserve"> method is adopted for specimen preparation, but key control parameters and the procedure to achieve 30% and 70% relative densities are not provided. Please supplement these details to ensure repeatability.</w:t>
      </w:r>
    </w:p>
    <w:p w14:paraId="7537EC2F" w14:textId="581412C9" w:rsidR="00107D84" w:rsidRDefault="00107D84" w:rsidP="002D2AF8">
      <w:pPr>
        <w:pStyle w:val="a9"/>
        <w:numPr>
          <w:ilvl w:val="0"/>
          <w:numId w:val="1"/>
        </w:numPr>
        <w:jc w:val="both"/>
        <w:rPr>
          <w:rFonts w:ascii="Times New Roman" w:hAnsi="Times New Roman"/>
        </w:rPr>
      </w:pPr>
      <w:r w:rsidRPr="00107D84">
        <w:rPr>
          <w:rFonts w:ascii="Times New Roman" w:hAnsi="Times New Roman"/>
        </w:rPr>
        <w:t xml:space="preserve">Lines 213–217: Only the target </w:t>
      </w:r>
      <w:proofErr w:type="spellStart"/>
      <w:r w:rsidRPr="00107D84">
        <w:rPr>
          <w:rFonts w:ascii="Times New Roman" w:hAnsi="Times New Roman"/>
        </w:rPr>
        <w:t>Skempton</w:t>
      </w:r>
      <w:proofErr w:type="spellEnd"/>
      <w:r w:rsidRPr="00107D84">
        <w:rPr>
          <w:rFonts w:ascii="Times New Roman" w:hAnsi="Times New Roman"/>
        </w:rPr>
        <w:t xml:space="preserve"> B-value (≥ 0.95) is given. Please add the actual measured range of B-values to verify the saturation quality of specimens.</w:t>
      </w:r>
    </w:p>
    <w:p w14:paraId="53D3036B" w14:textId="3C88139C" w:rsidR="00CF300E" w:rsidRDefault="00CF300E" w:rsidP="002D2AF8">
      <w:pPr>
        <w:pStyle w:val="a9"/>
        <w:numPr>
          <w:ilvl w:val="0"/>
          <w:numId w:val="1"/>
        </w:numPr>
        <w:jc w:val="both"/>
        <w:rPr>
          <w:rFonts w:ascii="Times New Roman" w:hAnsi="Times New Roman"/>
        </w:rPr>
      </w:pPr>
      <w:r w:rsidRPr="00CF300E">
        <w:rPr>
          <w:rFonts w:ascii="Times New Roman" w:hAnsi="Times New Roman"/>
        </w:rPr>
        <w:t xml:space="preserve">Lines 240–242: Only one deviatoric stress level (250 kPa) and two confining pressures are </w:t>
      </w:r>
      <w:r w:rsidRPr="00CF300E">
        <w:rPr>
          <w:rFonts w:ascii="Times New Roman" w:hAnsi="Times New Roman"/>
        </w:rPr>
        <w:lastRenderedPageBreak/>
        <w:t>used in CSS tests, which is relatively limited. Please explain the basis for selecting this deviatoric stress level</w:t>
      </w:r>
      <w:r>
        <w:rPr>
          <w:rFonts w:ascii="Times New Roman" w:hAnsi="Times New Roman" w:hint="eastAsia"/>
        </w:rPr>
        <w:t>.</w:t>
      </w:r>
    </w:p>
    <w:p w14:paraId="7B960A86" w14:textId="44FD8289" w:rsidR="004551A7" w:rsidRDefault="00986E38" w:rsidP="002D2AF8">
      <w:pPr>
        <w:pStyle w:val="a9"/>
        <w:numPr>
          <w:ilvl w:val="0"/>
          <w:numId w:val="1"/>
        </w:numPr>
        <w:jc w:val="both"/>
        <w:rPr>
          <w:rFonts w:ascii="Times New Roman" w:hAnsi="Times New Roman"/>
        </w:rPr>
      </w:pPr>
      <w:r w:rsidRPr="00C01C38">
        <w:rPr>
          <w:rFonts w:ascii="Times New Roman" w:hAnsi="Times New Roman" w:hint="eastAsia"/>
        </w:rPr>
        <w:t xml:space="preserve">Line 327-328: </w:t>
      </w:r>
      <w:r w:rsidR="00C01C38" w:rsidRPr="00C01C38">
        <w:rPr>
          <w:rFonts w:ascii="Times New Roman" w:hAnsi="Times New Roman"/>
        </w:rPr>
        <w:t xml:space="preserve">There is a recurring typographical error within the graphs in Figure 8. The label </w:t>
      </w:r>
      <w:r w:rsidR="00CF300E">
        <w:rPr>
          <w:rFonts w:ascii="Times New Roman" w:hAnsi="Times New Roman"/>
        </w:rPr>
        <w:t>“</w:t>
      </w:r>
      <w:proofErr w:type="spellStart"/>
      <w:r w:rsidR="00C01C38" w:rsidRPr="00C01C38">
        <w:rPr>
          <w:rFonts w:ascii="Times New Roman" w:hAnsi="Times New Roman"/>
        </w:rPr>
        <w:t>Oneset</w:t>
      </w:r>
      <w:proofErr w:type="spellEnd"/>
      <w:r w:rsidR="00C01C38" w:rsidRPr="00C01C38">
        <w:rPr>
          <w:rFonts w:ascii="Times New Roman" w:hAnsi="Times New Roman"/>
        </w:rPr>
        <w:t xml:space="preserve"> of instability</w:t>
      </w:r>
      <w:r w:rsidR="00CF300E">
        <w:rPr>
          <w:rFonts w:ascii="Times New Roman" w:hAnsi="Times New Roman"/>
        </w:rPr>
        <w:t>”</w:t>
      </w:r>
      <w:r w:rsidR="00C01C38" w:rsidRPr="00C01C38">
        <w:rPr>
          <w:rFonts w:ascii="Times New Roman" w:hAnsi="Times New Roman"/>
        </w:rPr>
        <w:t xml:space="preserve"> should be corrected to </w:t>
      </w:r>
      <w:r w:rsidR="00CF300E">
        <w:rPr>
          <w:rFonts w:ascii="Times New Roman" w:hAnsi="Times New Roman"/>
        </w:rPr>
        <w:t>“</w:t>
      </w:r>
      <w:r w:rsidR="00C01C38" w:rsidRPr="00C01C38">
        <w:rPr>
          <w:rFonts w:ascii="Times New Roman" w:hAnsi="Times New Roman"/>
        </w:rPr>
        <w:t>Onset of instability</w:t>
      </w:r>
      <w:r w:rsidR="00CF300E">
        <w:rPr>
          <w:rFonts w:ascii="Times New Roman" w:hAnsi="Times New Roman"/>
        </w:rPr>
        <w:t>”</w:t>
      </w:r>
      <w:r w:rsidR="00C01C38" w:rsidRPr="00C01C38">
        <w:rPr>
          <w:rFonts w:ascii="Times New Roman" w:hAnsi="Times New Roman"/>
        </w:rPr>
        <w:t>.</w:t>
      </w:r>
    </w:p>
    <w:p w14:paraId="4605D502" w14:textId="77777777" w:rsidR="00CF300E" w:rsidRPr="00C01C38" w:rsidRDefault="00CF300E" w:rsidP="002D2AF8">
      <w:pPr>
        <w:pStyle w:val="a9"/>
        <w:numPr>
          <w:ilvl w:val="0"/>
          <w:numId w:val="1"/>
        </w:numPr>
        <w:jc w:val="both"/>
        <w:rPr>
          <w:rFonts w:ascii="Times New Roman" w:hAnsi="Times New Roman"/>
        </w:rPr>
      </w:pPr>
      <w:r w:rsidRPr="00CF300E">
        <w:rPr>
          <w:rFonts w:ascii="Times New Roman" w:hAnsi="Times New Roman"/>
        </w:rPr>
        <w:t>Lines 354–358: The residual state line shifts toward higher void ratios and higher mean effective stresses with more reinforcement layers. Please further interpret the physical mechanism</w:t>
      </w:r>
      <w:r>
        <w:rPr>
          <w:rFonts w:ascii="Times New Roman" w:hAnsi="Times New Roman" w:hint="eastAsia"/>
        </w:rPr>
        <w:t>.</w:t>
      </w:r>
    </w:p>
    <w:p w14:paraId="21188DD4" w14:textId="17A2DF88" w:rsidR="00CF300E" w:rsidRDefault="007D5227" w:rsidP="002D2AF8">
      <w:pPr>
        <w:pStyle w:val="a9"/>
        <w:numPr>
          <w:ilvl w:val="0"/>
          <w:numId w:val="1"/>
        </w:numPr>
        <w:jc w:val="both"/>
        <w:rPr>
          <w:rFonts w:ascii="Times New Roman" w:hAnsi="Times New Roman"/>
        </w:rPr>
      </w:pPr>
      <w:r w:rsidRPr="007D5227">
        <w:rPr>
          <w:rFonts w:ascii="Times New Roman" w:hAnsi="Times New Roman"/>
        </w:rPr>
        <w:t>Lines 408–410: Please provide the specific fitting equations of peak stress ratio vs. state parameter for each reinforcement condition to facilitate quantitative comparison.</w:t>
      </w:r>
    </w:p>
    <w:p w14:paraId="50723DEB" w14:textId="2B36DE1D" w:rsidR="00D06C4E" w:rsidRDefault="00D06C4E" w:rsidP="002D2AF8">
      <w:pPr>
        <w:pStyle w:val="a9"/>
        <w:numPr>
          <w:ilvl w:val="0"/>
          <w:numId w:val="1"/>
        </w:numPr>
        <w:jc w:val="both"/>
        <w:rPr>
          <w:rFonts w:ascii="Times New Roman" w:hAnsi="Times New Roman"/>
        </w:rPr>
      </w:pPr>
      <w:bookmarkStart w:id="4" w:name="OLE_LINK7"/>
      <w:r w:rsidRPr="00D06C4E">
        <w:rPr>
          <w:rFonts w:ascii="Times New Roman" w:hAnsi="Times New Roman"/>
        </w:rPr>
        <w:t>Lines 466–470: Only qualitative description is given that reinforcement delays pore pressure accumulation. Please add quantitative comparison of the number of cycles to instability</w:t>
      </w:r>
      <w:r>
        <w:rPr>
          <w:rFonts w:ascii="Times New Roman" w:hAnsi="Times New Roman" w:hint="eastAsia"/>
        </w:rPr>
        <w:t xml:space="preserve"> </w:t>
      </w:r>
      <w:r w:rsidRPr="00D06C4E">
        <w:rPr>
          <w:rFonts w:ascii="Times New Roman" w:hAnsi="Times New Roman"/>
        </w:rPr>
        <w:t>for different configurations.</w:t>
      </w:r>
      <w:bookmarkEnd w:id="4"/>
    </w:p>
    <w:p w14:paraId="029C0109" w14:textId="000D7444" w:rsidR="002D2AF8" w:rsidRDefault="002D2AF8" w:rsidP="002D2AF8">
      <w:pPr>
        <w:pStyle w:val="a9"/>
        <w:numPr>
          <w:ilvl w:val="0"/>
          <w:numId w:val="1"/>
        </w:numPr>
        <w:jc w:val="both"/>
        <w:rPr>
          <w:rFonts w:ascii="Times New Roman" w:hAnsi="Times New Roman"/>
        </w:rPr>
      </w:pPr>
      <w:r w:rsidRPr="002D2AF8">
        <w:rPr>
          <w:rFonts w:ascii="Times New Roman" w:hAnsi="Times New Roman"/>
        </w:rPr>
        <w:t>Lines 488–493: In Equation (2), the physical meaning of</w:t>
      </w:r>
      <m:oMath>
        <m:sSub>
          <m:sSubPr>
            <m:ctrlPr>
              <w:rPr>
                <w:rFonts w:ascii="Cambria Math" w:hAnsi="Cambria Math"/>
                <w:i/>
              </w:rPr>
            </m:ctrlPr>
          </m:sSubPr>
          <m:e>
            <m:r>
              <w:rPr>
                <w:rFonts w:ascii="Cambria Math" w:hAnsi="Cambria Math"/>
              </w:rPr>
              <m:t xml:space="preserve"> W</m:t>
            </m:r>
          </m:e>
          <m:sub>
            <m:r>
              <w:rPr>
                <w:rFonts w:ascii="Cambria Math" w:hAnsi="Cambria Math"/>
              </w:rPr>
              <m:t>1</m:t>
            </m:r>
          </m:sub>
        </m:sSub>
      </m:oMath>
      <w:r w:rsidRPr="002D2AF8">
        <w:rPr>
          <w:rFonts w:ascii="Times New Roman" w:hAnsi="Times New Roman"/>
        </w:rPr>
        <w:t>under drained constant</w:t>
      </w:r>
      <w:bookmarkStart w:id="5" w:name="OLE_LINK8"/>
      <w:r w:rsidRPr="002D2AF8">
        <w:rPr>
          <w:rFonts w:ascii="Times New Roman" w:hAnsi="Times New Roman"/>
        </w:rPr>
        <w:t>-</w:t>
      </w:r>
      <m:oMath>
        <m:sSubSup>
          <m:sSubSupPr>
            <m:ctrlPr>
              <w:rPr>
                <w:rFonts w:ascii="Cambria Math" w:hAnsi="Cambria Math"/>
                <w:i/>
              </w:rPr>
            </m:ctrlPr>
          </m:sSubSupPr>
          <m:e>
            <m:r>
              <w:rPr>
                <w:rFonts w:ascii="Cambria Math" w:hAnsi="Cambria Math"/>
              </w:rPr>
              <m:t>σ</m:t>
            </m:r>
          </m:e>
          <m:sub>
            <m:r>
              <w:rPr>
                <w:rFonts w:ascii="Cambria Math" w:hAnsi="Cambria Math"/>
              </w:rPr>
              <m:t>3</m:t>
            </m:r>
          </m:sub>
          <m:sup>
            <m:r>
              <w:rPr>
                <w:rFonts w:ascii="Cambria Math" w:hAnsi="Cambria Math"/>
              </w:rPr>
              <m:t>'</m:t>
            </m:r>
          </m:sup>
        </m:sSubSup>
      </m:oMath>
      <w:bookmarkEnd w:id="5"/>
      <w:r w:rsidRPr="002D2AF8">
        <w:rPr>
          <w:rFonts w:ascii="Times New Roman" w:hAnsi="Times New Roman"/>
        </w:rPr>
        <w:t xml:space="preserve"> conditions needs clarification. Since</w:t>
      </w:r>
      <w:r>
        <w:rPr>
          <w:rFonts w:ascii="Times New Roman" w:hAnsi="Times New Roman" w:hint="eastAsia"/>
        </w:rPr>
        <w:t xml:space="preserve"> </w:t>
      </w:r>
      <m:oMath>
        <m:sSubSup>
          <m:sSubSupPr>
            <m:ctrlPr>
              <w:rPr>
                <w:rFonts w:ascii="Cambria Math" w:hAnsi="Cambria Math"/>
                <w:i/>
              </w:rPr>
            </m:ctrlPr>
          </m:sSubSupPr>
          <m:e>
            <m:r>
              <w:rPr>
                <w:rFonts w:ascii="Cambria Math" w:hAnsi="Cambria Math"/>
              </w:rPr>
              <m:t>σ</m:t>
            </m:r>
          </m:e>
          <m:sub>
            <m:r>
              <w:rPr>
                <w:rFonts w:ascii="Cambria Math" w:hAnsi="Cambria Math"/>
              </w:rPr>
              <m:t>3</m:t>
            </m:r>
          </m:sub>
          <m:sup>
            <m:r>
              <w:rPr>
                <w:rFonts w:ascii="Cambria Math" w:hAnsi="Cambria Math"/>
              </w:rPr>
              <m:t>'</m:t>
            </m:r>
          </m:sup>
        </m:sSubSup>
      </m:oMath>
      <w:r w:rsidRPr="002D2AF8">
        <w:rPr>
          <w:rFonts w:ascii="Times New Roman" w:hAnsi="Times New Roman"/>
        </w:rPr>
        <w:t xml:space="preserve"> is constant while </w:t>
      </w:r>
      <m:oMath>
        <m:sSup>
          <m:sSupPr>
            <m:ctrlPr>
              <w:rPr>
                <w:rFonts w:ascii="Cambria Math" w:hAnsi="Cambria Math"/>
                <w:i/>
              </w:rPr>
            </m:ctrlPr>
          </m:sSupPr>
          <m:e>
            <m:r>
              <w:rPr>
                <w:rFonts w:ascii="Cambria Math" w:hAnsi="Cambria Math"/>
              </w:rPr>
              <m:t>p</m:t>
            </m:r>
          </m:e>
          <m:sup>
            <m:r>
              <w:rPr>
                <w:rFonts w:ascii="Cambria Math" w:hAnsi="Cambria Math"/>
              </w:rPr>
              <m:t>'</m:t>
            </m:r>
          </m:sup>
        </m:sSup>
      </m:oMath>
      <w:r w:rsidRPr="002D2AF8">
        <w:rPr>
          <w:rFonts w:ascii="Times New Roman" w:hAnsi="Times New Roman"/>
        </w:rPr>
        <w:t xml:space="preserve"> increases with deviatoric stress, please explain why only the compressive branch is considered in energy</w:t>
      </w:r>
      <w:r>
        <w:rPr>
          <w:rFonts w:ascii="Times New Roman" w:hAnsi="Times New Roman" w:hint="eastAsia"/>
        </w:rPr>
        <w:t xml:space="preserve"> </w:t>
      </w:r>
      <w:r w:rsidRPr="002D2AF8">
        <w:rPr>
          <w:rFonts w:ascii="Times New Roman" w:hAnsi="Times New Roman"/>
        </w:rPr>
        <w:t>calculation.</w:t>
      </w:r>
    </w:p>
    <w:p w14:paraId="2E560B93" w14:textId="54CF85B5" w:rsidR="007F2D3D" w:rsidRDefault="007F2D3D" w:rsidP="002D2AF8">
      <w:pPr>
        <w:pStyle w:val="a9"/>
        <w:numPr>
          <w:ilvl w:val="0"/>
          <w:numId w:val="1"/>
        </w:numPr>
        <w:jc w:val="both"/>
        <w:rPr>
          <w:rFonts w:ascii="Times New Roman" w:hAnsi="Times New Roman"/>
        </w:rPr>
      </w:pPr>
      <w:r w:rsidRPr="007F2D3D">
        <w:rPr>
          <w:rFonts w:ascii="Times New Roman" w:hAnsi="Times New Roman"/>
        </w:rPr>
        <w:t xml:space="preserve">Lines 546–552: The specific net energy index has a dimensionless numerator divided by mass, resulting in units of </w:t>
      </w:r>
      <m:oMath>
        <m:sSup>
          <m:sSupPr>
            <m:ctrlPr>
              <w:rPr>
                <w:rFonts w:ascii="Cambria Math" w:hAnsi="Cambria Math"/>
                <w:i/>
              </w:rPr>
            </m:ctrlPr>
          </m:sSupPr>
          <m:e>
            <m:r>
              <w:rPr>
                <w:rFonts w:ascii="Cambria Math" w:hAnsi="Cambria Math"/>
              </w:rPr>
              <m:t>g</m:t>
            </m:r>
          </m:e>
          <m:sup>
            <m:r>
              <w:rPr>
                <w:rFonts w:ascii="Cambria Math" w:hAnsi="Cambria Math"/>
              </w:rPr>
              <m:t>-1</m:t>
            </m:r>
          </m:sup>
        </m:sSup>
      </m:oMath>
      <w:r w:rsidRPr="007F2D3D">
        <w:rPr>
          <w:rFonts w:ascii="Times New Roman" w:hAnsi="Times New Roman"/>
        </w:rPr>
        <w:t xml:space="preserve">, which has </w:t>
      </w:r>
      <w:proofErr w:type="gramStart"/>
      <w:r w:rsidRPr="007F2D3D">
        <w:rPr>
          <w:rFonts w:ascii="Times New Roman" w:hAnsi="Times New Roman"/>
        </w:rPr>
        <w:t>unclear</w:t>
      </w:r>
      <w:proofErr w:type="gramEnd"/>
      <w:r w:rsidRPr="007F2D3D">
        <w:rPr>
          <w:rFonts w:ascii="Times New Roman" w:hAnsi="Times New Roman"/>
        </w:rPr>
        <w:t xml:space="preserve"> physical meaning. Please explain the necessity of this normalization approach and its advantages over conventional specific energy absorption (J/kg). In addition, please provide the actual mass values of single-layer and triple-layer </w:t>
      </w:r>
      <w:proofErr w:type="spellStart"/>
      <w:r w:rsidRPr="007F2D3D">
        <w:rPr>
          <w:rFonts w:ascii="Times New Roman" w:hAnsi="Times New Roman"/>
        </w:rPr>
        <w:t>metastructures</w:t>
      </w:r>
      <w:proofErr w:type="spellEnd"/>
      <w:r w:rsidRPr="007F2D3D">
        <w:rPr>
          <w:rFonts w:ascii="Times New Roman" w:hAnsi="Times New Roman"/>
        </w:rPr>
        <w:t xml:space="preserve"> for transparency.</w:t>
      </w:r>
    </w:p>
    <w:p w14:paraId="6E973CB3" w14:textId="7E0BB8C0" w:rsidR="007F2D3D" w:rsidRPr="00C01C38" w:rsidRDefault="007F2D3D" w:rsidP="002D2AF8">
      <w:pPr>
        <w:pStyle w:val="a9"/>
        <w:numPr>
          <w:ilvl w:val="0"/>
          <w:numId w:val="1"/>
        </w:numPr>
        <w:jc w:val="both"/>
        <w:rPr>
          <w:rFonts w:ascii="Times New Roman" w:hAnsi="Times New Roman" w:hint="eastAsia"/>
        </w:rPr>
      </w:pPr>
      <w:r w:rsidRPr="007F2D3D">
        <w:rPr>
          <w:rFonts w:ascii="Times New Roman" w:hAnsi="Times New Roman"/>
        </w:rPr>
        <w:t xml:space="preserve">Lines 560–578: The explanation of the efficiency crossover phenomenon relies on the hypothesis of </w:t>
      </w:r>
      <w:r>
        <w:rPr>
          <w:rFonts w:ascii="Times New Roman" w:hAnsi="Times New Roman"/>
          <w:i/>
          <w:iCs/>
        </w:rPr>
        <w:t>“</w:t>
      </w:r>
      <w:r w:rsidRPr="007F2D3D">
        <w:rPr>
          <w:rFonts w:ascii="Times New Roman" w:hAnsi="Times New Roman"/>
          <w:i/>
          <w:iCs/>
        </w:rPr>
        <w:t>overlapping confinement influence zones</w:t>
      </w:r>
      <w:r>
        <w:rPr>
          <w:rFonts w:ascii="Times New Roman" w:hAnsi="Times New Roman"/>
          <w:i/>
          <w:iCs/>
        </w:rPr>
        <w:t>”</w:t>
      </w:r>
      <w:r w:rsidRPr="007F2D3D">
        <w:rPr>
          <w:rFonts w:ascii="Times New Roman" w:hAnsi="Times New Roman"/>
        </w:rPr>
        <w:t>, which lacks direct experimental evidence. Please discuss how this hypothesis could be verified (e.g., via local deformation measurement or numerical simulation), and analyze the relationship between the crossover cycle number and confining pressure.</w:t>
      </w:r>
      <w:bookmarkEnd w:id="0"/>
    </w:p>
    <w:sectPr w:rsidR="007F2D3D" w:rsidRPr="00C01C3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38617B"/>
    <w:multiLevelType w:val="hybridMultilevel"/>
    <w:tmpl w:val="D30CEBB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94790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6B4"/>
    <w:rsid w:val="00107D84"/>
    <w:rsid w:val="002D2AF8"/>
    <w:rsid w:val="004551A7"/>
    <w:rsid w:val="005612FE"/>
    <w:rsid w:val="00637BF7"/>
    <w:rsid w:val="007366B4"/>
    <w:rsid w:val="00742157"/>
    <w:rsid w:val="007D5227"/>
    <w:rsid w:val="007F2D3D"/>
    <w:rsid w:val="00803DF1"/>
    <w:rsid w:val="00885BD9"/>
    <w:rsid w:val="00986E38"/>
    <w:rsid w:val="00B6028A"/>
    <w:rsid w:val="00C01C38"/>
    <w:rsid w:val="00CF300E"/>
    <w:rsid w:val="00D06C4E"/>
    <w:rsid w:val="00E003AE"/>
    <w:rsid w:val="00E332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EF76B0"/>
  <w15:chartTrackingRefBased/>
  <w15:docId w15:val="{20861512-09CF-4F18-9CA9-30AFC573A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366B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366B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366B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366B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366B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366B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366B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366B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366B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366B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366B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366B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366B4"/>
    <w:rPr>
      <w:rFonts w:cstheme="majorBidi"/>
      <w:color w:val="0F4761" w:themeColor="accent1" w:themeShade="BF"/>
      <w:sz w:val="28"/>
      <w:szCs w:val="28"/>
    </w:rPr>
  </w:style>
  <w:style w:type="character" w:customStyle="1" w:styleId="50">
    <w:name w:val="标题 5 字符"/>
    <w:basedOn w:val="a0"/>
    <w:link w:val="5"/>
    <w:uiPriority w:val="9"/>
    <w:semiHidden/>
    <w:rsid w:val="007366B4"/>
    <w:rPr>
      <w:rFonts w:cstheme="majorBidi"/>
      <w:color w:val="0F4761" w:themeColor="accent1" w:themeShade="BF"/>
      <w:sz w:val="24"/>
    </w:rPr>
  </w:style>
  <w:style w:type="character" w:customStyle="1" w:styleId="60">
    <w:name w:val="标题 6 字符"/>
    <w:basedOn w:val="a0"/>
    <w:link w:val="6"/>
    <w:uiPriority w:val="9"/>
    <w:semiHidden/>
    <w:rsid w:val="007366B4"/>
    <w:rPr>
      <w:rFonts w:cstheme="majorBidi"/>
      <w:b/>
      <w:bCs/>
      <w:color w:val="0F4761" w:themeColor="accent1" w:themeShade="BF"/>
    </w:rPr>
  </w:style>
  <w:style w:type="character" w:customStyle="1" w:styleId="70">
    <w:name w:val="标题 7 字符"/>
    <w:basedOn w:val="a0"/>
    <w:link w:val="7"/>
    <w:uiPriority w:val="9"/>
    <w:semiHidden/>
    <w:rsid w:val="007366B4"/>
    <w:rPr>
      <w:rFonts w:cstheme="majorBidi"/>
      <w:b/>
      <w:bCs/>
      <w:color w:val="595959" w:themeColor="text1" w:themeTint="A6"/>
    </w:rPr>
  </w:style>
  <w:style w:type="character" w:customStyle="1" w:styleId="80">
    <w:name w:val="标题 8 字符"/>
    <w:basedOn w:val="a0"/>
    <w:link w:val="8"/>
    <w:uiPriority w:val="9"/>
    <w:semiHidden/>
    <w:rsid w:val="007366B4"/>
    <w:rPr>
      <w:rFonts w:cstheme="majorBidi"/>
      <w:color w:val="595959" w:themeColor="text1" w:themeTint="A6"/>
    </w:rPr>
  </w:style>
  <w:style w:type="character" w:customStyle="1" w:styleId="90">
    <w:name w:val="标题 9 字符"/>
    <w:basedOn w:val="a0"/>
    <w:link w:val="9"/>
    <w:uiPriority w:val="9"/>
    <w:semiHidden/>
    <w:rsid w:val="007366B4"/>
    <w:rPr>
      <w:rFonts w:eastAsiaTheme="majorEastAsia" w:cstheme="majorBidi"/>
      <w:color w:val="595959" w:themeColor="text1" w:themeTint="A6"/>
    </w:rPr>
  </w:style>
  <w:style w:type="paragraph" w:styleId="a3">
    <w:name w:val="Title"/>
    <w:basedOn w:val="a"/>
    <w:next w:val="a"/>
    <w:link w:val="a4"/>
    <w:uiPriority w:val="10"/>
    <w:qFormat/>
    <w:rsid w:val="007366B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366B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366B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366B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366B4"/>
    <w:pPr>
      <w:spacing w:before="160"/>
      <w:jc w:val="center"/>
    </w:pPr>
    <w:rPr>
      <w:i/>
      <w:iCs/>
      <w:color w:val="404040" w:themeColor="text1" w:themeTint="BF"/>
    </w:rPr>
  </w:style>
  <w:style w:type="character" w:customStyle="1" w:styleId="a8">
    <w:name w:val="引用 字符"/>
    <w:basedOn w:val="a0"/>
    <w:link w:val="a7"/>
    <w:uiPriority w:val="29"/>
    <w:rsid w:val="007366B4"/>
    <w:rPr>
      <w:i/>
      <w:iCs/>
      <w:color w:val="404040" w:themeColor="text1" w:themeTint="BF"/>
    </w:rPr>
  </w:style>
  <w:style w:type="paragraph" w:styleId="a9">
    <w:name w:val="List Paragraph"/>
    <w:basedOn w:val="a"/>
    <w:uiPriority w:val="34"/>
    <w:qFormat/>
    <w:rsid w:val="007366B4"/>
    <w:pPr>
      <w:ind w:left="720"/>
      <w:contextualSpacing/>
    </w:pPr>
  </w:style>
  <w:style w:type="character" w:styleId="aa">
    <w:name w:val="Intense Emphasis"/>
    <w:basedOn w:val="a0"/>
    <w:uiPriority w:val="21"/>
    <w:qFormat/>
    <w:rsid w:val="007366B4"/>
    <w:rPr>
      <w:i/>
      <w:iCs/>
      <w:color w:val="0F4761" w:themeColor="accent1" w:themeShade="BF"/>
    </w:rPr>
  </w:style>
  <w:style w:type="paragraph" w:styleId="ab">
    <w:name w:val="Intense Quote"/>
    <w:basedOn w:val="a"/>
    <w:next w:val="a"/>
    <w:link w:val="ac"/>
    <w:uiPriority w:val="30"/>
    <w:qFormat/>
    <w:rsid w:val="007366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366B4"/>
    <w:rPr>
      <w:i/>
      <w:iCs/>
      <w:color w:val="0F4761" w:themeColor="accent1" w:themeShade="BF"/>
    </w:rPr>
  </w:style>
  <w:style w:type="character" w:styleId="ad">
    <w:name w:val="Intense Reference"/>
    <w:basedOn w:val="a0"/>
    <w:uiPriority w:val="32"/>
    <w:qFormat/>
    <w:rsid w:val="007366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201</TotalTime>
  <Pages>2</Pages>
  <Words>723</Words>
  <Characters>4125</Characters>
  <Application>Microsoft Office Word</Application>
  <DocSecurity>0</DocSecurity>
  <Lines>34</Lines>
  <Paragraphs>9</Paragraphs>
  <ScaleCrop>false</ScaleCrop>
  <Company/>
  <LinksUpToDate>false</LinksUpToDate>
  <CharactersWithSpaces>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Dragon Li</dc:creator>
  <cp:keywords/>
  <dc:description/>
  <cp:lastModifiedBy>Dragon Li</cp:lastModifiedBy>
  <cp:revision>2</cp:revision>
  <dcterms:created xsi:type="dcterms:W3CDTF">2026-06-19T15:12:00Z</dcterms:created>
  <dcterms:modified xsi:type="dcterms:W3CDTF">2026-06-19T18:33:00Z</dcterms:modified>
</cp:coreProperties>
</file>