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5B28" w14:textId="78A071FA" w:rsidR="00637BF7" w:rsidRPr="00C01C38" w:rsidRDefault="00885BD9" w:rsidP="00587F65">
      <w:pPr>
        <w:jc w:val="both"/>
        <w:rPr>
          <w:rFonts w:ascii="Times New Roman" w:hAnsi="Times New Roman"/>
        </w:rPr>
      </w:pPr>
      <w:r>
        <w:rPr>
          <w:rFonts w:ascii="Times New Roman" w:eastAsia="Times New Roman" w:hAnsi="Times New Roman"/>
        </w:rPr>
        <w:t>This revised manuscript investigates the energy-absorbing behaviour of SCF/PLA, CCF/PLA and CCF/Epoxy honeycomb structures for battery-pack protection through quasi-static crushing tests and finite-element simulations. The revision has been substantially improved by adding battery-integrated tests for all three material systems, CT observations, material-characterisation results, mesh-sensitivity analysis and a clearer discussion of modelling limitations. The topic is relevant to Engineering Structures, and the expanded experimental programme provides useful evidence for the design of lightweight protective structures. The remaining issues mainly concern consistency of the reported values, clarification of experimental and statistical information, moderation of several claims, and editorial presentation. I recommend a minor revision based on the following constructive points.</w:t>
      </w:r>
    </w:p>
    <w:p w14:paraId="71E31F08" w14:textId="77777777" w:rsidR="00803DF1" w:rsidRPr="00DE24A3" w:rsidRDefault="00803DF1" w:rsidP="00637BF7">
      <w:pPr>
        <w:jc w:val="both"/>
        <w:rPr>
          <w:rFonts w:ascii="Times New Roman" w:hAnsi="Times New Roman"/>
        </w:rPr>
      </w:pPr>
    </w:p>
    <w:p w14:paraId="45FBF6BE" w14:textId="7B4A0410" w:rsidR="00803DF1" w:rsidRDefault="00986E38" w:rsidP="002D2AF8">
      <w:pPr>
        <w:pStyle w:val="a9"/>
        <w:numPr>
          <w:ilvl w:val="0"/>
          <w:numId w:val="1"/>
        </w:numPr>
        <w:jc w:val="both"/>
        <w:rPr>
          <w:rFonts w:ascii="Times New Roman" w:hAnsi="Times New Roman"/>
        </w:rPr>
      </w:pPr>
      <w:bookmarkStart w:id="0" w:name="OLE_LINK4"/>
      <w:bookmarkStart w:id="1" w:name="OLE_LINK1"/>
      <w:bookmarkStart w:id="2" w:name="OLE_LINK2"/>
      <w:bookmarkEnd w:id="0"/>
      <w:bookmarkEnd w:id="1"/>
      <w:bookmarkEnd w:id="2"/>
      <w:r>
        <w:rPr>
          <w:rFonts w:ascii="Times New Roman" w:eastAsia="Times New Roman" w:hAnsi="Times New Roman"/>
        </w:rPr>
        <w:t>Abstract, Highlights, Section 4.2, Table 8 and Conclusion: Several central numerical values are not fully consistent across the manuscript. For example, the reported SEA values for CCF/PLA and CCF/Epoxy differ between the Abstract and Table 8, and the highest CCF/Epoxy SEA is described differently in the Results and Conclusion. Please conduct a careful final numerical audit and ensure that all EA, SEA, peak-load, compressive-strength, mean and variance values are identical throughout the Abstract, Highlights, main text, figures, tables and Conclusion.</w:t>
      </w:r>
    </w:p>
    <w:p w14:paraId="61DF41FC" w14:textId="32F21DBE" w:rsidR="00986E38" w:rsidRDefault="00986E38" w:rsidP="002D2AF8">
      <w:pPr>
        <w:pStyle w:val="a9"/>
        <w:numPr>
          <w:ilvl w:val="0"/>
          <w:numId w:val="1"/>
        </w:numPr>
        <w:jc w:val="both"/>
        <w:rPr>
          <w:rFonts w:ascii="Times New Roman" w:hAnsi="Times New Roman"/>
        </w:rPr>
      </w:pPr>
      <w:r>
        <w:rPr>
          <w:rFonts w:ascii="Times New Roman" w:eastAsia="Times New Roman" w:hAnsi="Times New Roman"/>
        </w:rPr>
        <w:t>Sections 2.1.3, 2.2, 3.1.4 and 4.2: The identity and properties of the battery cell are described inconsistently, including different manufacturers, models and nominal capacities. Please provide one unambiguous specification for the experimentally tested cell, including manufacturer, model, chemistry, capacity, mass, dimensions and state of charge. If the FE model represents a different reference cell, please distinguish this clearly and revise the cell-specific predictive statements and energy-density calculations accordingly.</w:t>
      </w:r>
    </w:p>
    <w:p w14:paraId="1B34A0E1" w14:textId="4DC48B2B" w:rsidR="00986E38" w:rsidRDefault="00986E38" w:rsidP="002D2AF8">
      <w:pPr>
        <w:pStyle w:val="a9"/>
        <w:numPr>
          <w:ilvl w:val="0"/>
          <w:numId w:val="1"/>
        </w:numPr>
        <w:jc w:val="both"/>
        <w:rPr>
          <w:rFonts w:ascii="Times New Roman" w:hAnsi="Times New Roman"/>
        </w:rPr>
      </w:pPr>
      <w:r>
        <w:rPr>
          <w:rFonts w:ascii="Times New Roman" w:eastAsia="Times New Roman" w:hAnsi="Times New Roman"/>
        </w:rPr>
        <w:t>Section 2.2, Figures 5, 6 and 10, and Table 8: The statistical reporting requires further clarification. Please state the number of replicates for every test condition, define the confidence level and calculation method used for the uncertainty bands, specify whether the reported variance is a sample or population variance, and provide the units of all statistical quantities. The procedure used to align individual curves and determine the specimen-specific densification point should also be described briefly.</w:t>
      </w:r>
    </w:p>
    <w:p w14:paraId="4C54AE9B" w14:textId="52AE8D6C" w:rsidR="00B6028A" w:rsidRDefault="00B6028A" w:rsidP="002D2AF8">
      <w:pPr>
        <w:pStyle w:val="a9"/>
        <w:numPr>
          <w:ilvl w:val="0"/>
          <w:numId w:val="1"/>
        </w:numPr>
        <w:jc w:val="both"/>
        <w:rPr>
          <w:rFonts w:ascii="Times New Roman" w:hAnsi="Times New Roman"/>
        </w:rPr>
      </w:pPr>
      <w:r>
        <w:rPr>
          <w:rFonts w:ascii="Times New Roman" w:eastAsia="Times New Roman" w:hAnsi="Times New Roman"/>
        </w:rPr>
        <w:t xml:space="preserve">Section 4.4 and Figures 12-14: The wording used to describe the FE validation and the height-dependent empirical relations is somewhat stronger than the presented evidence. A 20% peak-load difference and the visible post-peak mismatch should not be characterised as strong agreement without quantitative error measures. Please report the relevant curve or scalar errors, identify the fitting and hold-out heights, and clarify that a hold-out point generated by the same FE framework represents numerical interpolation rather than </w:t>
      </w:r>
      <w:r>
        <w:rPr>
          <w:rFonts w:ascii="Times New Roman" w:eastAsia="Times New Roman" w:hAnsi="Times New Roman"/>
        </w:rPr>
        <w:lastRenderedPageBreak/>
        <w:t>independent experimental validation.</w:t>
      </w:r>
    </w:p>
    <w:p w14:paraId="3F1AAFF5" w14:textId="11A001FD" w:rsidR="00B6028A" w:rsidRDefault="00B6028A" w:rsidP="002D2AF8">
      <w:pPr>
        <w:pStyle w:val="a9"/>
        <w:numPr>
          <w:ilvl w:val="0"/>
          <w:numId w:val="1"/>
        </w:numPr>
        <w:jc w:val="both"/>
        <w:rPr>
          <w:rFonts w:ascii="Times New Roman" w:hAnsi="Times New Roman"/>
        </w:rPr>
      </w:pPr>
      <w:r>
        <w:rPr>
          <w:rFonts w:ascii="Times New Roman" w:eastAsia="Times New Roman" w:hAnsi="Times New Roman"/>
        </w:rPr>
        <w:t>Table 8 and the related discussion: The three material systems differ in wall thickness, specimen mass, fibre architecture, void content and other geometric or manufacturing parameters. Therefore, the reported ranking should be framed as a comparison among the tested material-geometry-process configurations rather than an isolated material comparison. Please report the relative density or solid fraction and the precise load-bearing area used for calculating compressive strength, and revise the discussion and conclusions to state this comparison boundary explicitly.</w:t>
      </w:r>
    </w:p>
    <w:p w14:paraId="7537EC2F" w14:textId="4957235E" w:rsidR="00107D84" w:rsidRDefault="00107D84" w:rsidP="002D2AF8">
      <w:pPr>
        <w:pStyle w:val="a9"/>
        <w:numPr>
          <w:ilvl w:val="0"/>
          <w:numId w:val="1"/>
        </w:numPr>
        <w:jc w:val="both"/>
        <w:rPr>
          <w:rFonts w:ascii="Times New Roman" w:hAnsi="Times New Roman"/>
        </w:rPr>
      </w:pPr>
      <w:r>
        <w:rPr>
          <w:rFonts w:ascii="Times New Roman" w:eastAsia="Times New Roman" w:hAnsi="Times New Roman"/>
        </w:rPr>
        <w:t xml:space="preserve">Figures 5 and 10, Table 8, references and language: Please perform a final editorial check. In particular, correct the Figure 5 legend and the inconsistency between its caption and displacement axis; reconcile the panel labels and caption of Figure 10; either add EA to Table 8 or revise the text describing the table; remove duplicated or apparently unrelated references; and correct remaining typographical and terminology errors such as </w:t>
      </w:r>
      <w:r w:rsidR="0032331A">
        <w:rPr>
          <w:rFonts w:ascii="Times New Roman" w:hAnsi="Times New Roman"/>
        </w:rPr>
        <w:t>‘</w:t>
      </w:r>
      <w:r>
        <w:rPr>
          <w:rFonts w:ascii="Times New Roman" w:eastAsia="Times New Roman" w:hAnsi="Times New Roman"/>
        </w:rPr>
        <w:t>CCF/</w:t>
      </w:r>
      <w:proofErr w:type="spellStart"/>
      <w:r>
        <w:rPr>
          <w:rFonts w:ascii="Times New Roman" w:eastAsia="Times New Roman" w:hAnsi="Times New Roman"/>
        </w:rPr>
        <w:t>Eopxy</w:t>
      </w:r>
      <w:proofErr w:type="spellEnd"/>
      <w:r w:rsidR="0032331A">
        <w:rPr>
          <w:rFonts w:ascii="Times New Roman" w:hAnsi="Times New Roman"/>
        </w:rPr>
        <w:t>’</w:t>
      </w:r>
      <w:r>
        <w:rPr>
          <w:rFonts w:ascii="Times New Roman" w:eastAsia="Times New Roman" w:hAnsi="Times New Roman"/>
        </w:rPr>
        <w:t xml:space="preserve">, </w:t>
      </w:r>
      <w:r w:rsidR="0032331A">
        <w:rPr>
          <w:rFonts w:ascii="Times New Roman" w:hAnsi="Times New Roman"/>
        </w:rPr>
        <w:t>‘</w:t>
      </w:r>
      <w:proofErr w:type="spellStart"/>
      <w:r>
        <w:rPr>
          <w:rFonts w:ascii="Times New Roman" w:eastAsia="Times New Roman" w:hAnsi="Times New Roman"/>
        </w:rPr>
        <w:t>fibre</w:t>
      </w:r>
      <w:proofErr w:type="spellEnd"/>
      <w:r>
        <w:rPr>
          <w:rFonts w:ascii="Times New Roman" w:eastAsia="Times New Roman" w:hAnsi="Times New Roman"/>
        </w:rPr>
        <w:t xml:space="preserve"> bindle</w:t>
      </w:r>
      <w:r w:rsidR="0032331A">
        <w:rPr>
          <w:rFonts w:ascii="Times New Roman" w:hAnsi="Times New Roman"/>
        </w:rPr>
        <w:t>’</w:t>
      </w:r>
      <w:r>
        <w:rPr>
          <w:rFonts w:ascii="Times New Roman" w:eastAsia="Times New Roman" w:hAnsi="Times New Roman"/>
        </w:rPr>
        <w:t xml:space="preserve"> and inconsistent </w:t>
      </w:r>
      <w:proofErr w:type="spellStart"/>
      <w:r>
        <w:rPr>
          <w:rFonts w:ascii="Times New Roman" w:eastAsia="Times New Roman" w:hAnsi="Times New Roman"/>
        </w:rPr>
        <w:t>capitalisation</w:t>
      </w:r>
      <w:proofErr w:type="spellEnd"/>
      <w:r>
        <w:rPr>
          <w:rFonts w:ascii="Times New Roman" w:eastAsia="Times New Roman" w:hAnsi="Times New Roman"/>
        </w:rPr>
        <w:t>.</w:t>
      </w:r>
    </w:p>
    <w:p w14:paraId="53D3036B" w14:textId="1C6F074E" w:rsidR="00CF300E" w:rsidRPr="00EF17BE" w:rsidRDefault="00CF300E" w:rsidP="00EF17BE">
      <w:pPr>
        <w:pStyle w:val="a9"/>
        <w:ind w:left="440"/>
        <w:jc w:val="both"/>
        <w:rPr>
          <w:rFonts w:ascii="Times New Roman" w:hAnsi="Times New Roman"/>
        </w:rPr>
      </w:pPr>
    </w:p>
    <w:sectPr w:rsidR="00CF300E" w:rsidRPr="00EF17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8617B"/>
    <w:multiLevelType w:val="hybridMultilevel"/>
    <w:tmpl w:val="D30CEBB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9479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6B4"/>
    <w:rsid w:val="000B63DA"/>
    <w:rsid w:val="00107D84"/>
    <w:rsid w:val="002B5AC0"/>
    <w:rsid w:val="002D2AF8"/>
    <w:rsid w:val="0032331A"/>
    <w:rsid w:val="004551A7"/>
    <w:rsid w:val="005612FE"/>
    <w:rsid w:val="00586A06"/>
    <w:rsid w:val="00587F65"/>
    <w:rsid w:val="00637BF7"/>
    <w:rsid w:val="007366B4"/>
    <w:rsid w:val="00742157"/>
    <w:rsid w:val="007D5227"/>
    <w:rsid w:val="007F2D3D"/>
    <w:rsid w:val="00803DF1"/>
    <w:rsid w:val="00885BD9"/>
    <w:rsid w:val="00953B7F"/>
    <w:rsid w:val="00986E38"/>
    <w:rsid w:val="009E2A5E"/>
    <w:rsid w:val="00B6028A"/>
    <w:rsid w:val="00C01C38"/>
    <w:rsid w:val="00CF300E"/>
    <w:rsid w:val="00D06C4E"/>
    <w:rsid w:val="00DE24A3"/>
    <w:rsid w:val="00E003AE"/>
    <w:rsid w:val="00E33204"/>
    <w:rsid w:val="00EF1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F76B0"/>
  <w15:chartTrackingRefBased/>
  <w15:docId w15:val="{20861512-09CF-4F18-9CA9-30AFC573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66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66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66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366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66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366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66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66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366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66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366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366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366B4"/>
    <w:rPr>
      <w:rFonts w:cstheme="majorBidi"/>
      <w:color w:val="0F4761" w:themeColor="accent1" w:themeShade="BF"/>
      <w:sz w:val="28"/>
      <w:szCs w:val="28"/>
    </w:rPr>
  </w:style>
  <w:style w:type="character" w:customStyle="1" w:styleId="50">
    <w:name w:val="标题 5 字符"/>
    <w:basedOn w:val="a0"/>
    <w:link w:val="5"/>
    <w:uiPriority w:val="9"/>
    <w:semiHidden/>
    <w:rsid w:val="007366B4"/>
    <w:rPr>
      <w:rFonts w:cstheme="majorBidi"/>
      <w:color w:val="0F4761" w:themeColor="accent1" w:themeShade="BF"/>
      <w:sz w:val="24"/>
    </w:rPr>
  </w:style>
  <w:style w:type="character" w:customStyle="1" w:styleId="60">
    <w:name w:val="标题 6 字符"/>
    <w:basedOn w:val="a0"/>
    <w:link w:val="6"/>
    <w:uiPriority w:val="9"/>
    <w:semiHidden/>
    <w:rsid w:val="007366B4"/>
    <w:rPr>
      <w:rFonts w:cstheme="majorBidi"/>
      <w:b/>
      <w:bCs/>
      <w:color w:val="0F4761" w:themeColor="accent1" w:themeShade="BF"/>
    </w:rPr>
  </w:style>
  <w:style w:type="character" w:customStyle="1" w:styleId="70">
    <w:name w:val="标题 7 字符"/>
    <w:basedOn w:val="a0"/>
    <w:link w:val="7"/>
    <w:uiPriority w:val="9"/>
    <w:semiHidden/>
    <w:rsid w:val="007366B4"/>
    <w:rPr>
      <w:rFonts w:cstheme="majorBidi"/>
      <w:b/>
      <w:bCs/>
      <w:color w:val="595959" w:themeColor="text1" w:themeTint="A6"/>
    </w:rPr>
  </w:style>
  <w:style w:type="character" w:customStyle="1" w:styleId="80">
    <w:name w:val="标题 8 字符"/>
    <w:basedOn w:val="a0"/>
    <w:link w:val="8"/>
    <w:uiPriority w:val="9"/>
    <w:semiHidden/>
    <w:rsid w:val="007366B4"/>
    <w:rPr>
      <w:rFonts w:cstheme="majorBidi"/>
      <w:color w:val="595959" w:themeColor="text1" w:themeTint="A6"/>
    </w:rPr>
  </w:style>
  <w:style w:type="character" w:customStyle="1" w:styleId="90">
    <w:name w:val="标题 9 字符"/>
    <w:basedOn w:val="a0"/>
    <w:link w:val="9"/>
    <w:uiPriority w:val="9"/>
    <w:semiHidden/>
    <w:rsid w:val="007366B4"/>
    <w:rPr>
      <w:rFonts w:eastAsiaTheme="majorEastAsia" w:cstheme="majorBidi"/>
      <w:color w:val="595959" w:themeColor="text1" w:themeTint="A6"/>
    </w:rPr>
  </w:style>
  <w:style w:type="paragraph" w:styleId="a3">
    <w:name w:val="Title"/>
    <w:basedOn w:val="a"/>
    <w:next w:val="a"/>
    <w:link w:val="a4"/>
    <w:uiPriority w:val="10"/>
    <w:qFormat/>
    <w:rsid w:val="007366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66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66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66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66B4"/>
    <w:pPr>
      <w:spacing w:before="160"/>
      <w:jc w:val="center"/>
    </w:pPr>
    <w:rPr>
      <w:i/>
      <w:iCs/>
      <w:color w:val="404040" w:themeColor="text1" w:themeTint="BF"/>
    </w:rPr>
  </w:style>
  <w:style w:type="character" w:customStyle="1" w:styleId="a8">
    <w:name w:val="引用 字符"/>
    <w:basedOn w:val="a0"/>
    <w:link w:val="a7"/>
    <w:uiPriority w:val="29"/>
    <w:rsid w:val="007366B4"/>
    <w:rPr>
      <w:i/>
      <w:iCs/>
      <w:color w:val="404040" w:themeColor="text1" w:themeTint="BF"/>
    </w:rPr>
  </w:style>
  <w:style w:type="paragraph" w:styleId="a9">
    <w:name w:val="List Paragraph"/>
    <w:basedOn w:val="a"/>
    <w:uiPriority w:val="34"/>
    <w:qFormat/>
    <w:rsid w:val="007366B4"/>
    <w:pPr>
      <w:ind w:left="720"/>
      <w:contextualSpacing/>
    </w:pPr>
  </w:style>
  <w:style w:type="character" w:styleId="aa">
    <w:name w:val="Intense Emphasis"/>
    <w:basedOn w:val="a0"/>
    <w:uiPriority w:val="21"/>
    <w:qFormat/>
    <w:rsid w:val="007366B4"/>
    <w:rPr>
      <w:i/>
      <w:iCs/>
      <w:color w:val="0F4761" w:themeColor="accent1" w:themeShade="BF"/>
    </w:rPr>
  </w:style>
  <w:style w:type="paragraph" w:styleId="ab">
    <w:name w:val="Intense Quote"/>
    <w:basedOn w:val="a"/>
    <w:next w:val="a"/>
    <w:link w:val="ac"/>
    <w:uiPriority w:val="30"/>
    <w:qFormat/>
    <w:rsid w:val="00736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66B4"/>
    <w:rPr>
      <w:i/>
      <w:iCs/>
      <w:color w:val="0F4761" w:themeColor="accent1" w:themeShade="BF"/>
    </w:rPr>
  </w:style>
  <w:style w:type="character" w:styleId="ad">
    <w:name w:val="Intense Reference"/>
    <w:basedOn w:val="a0"/>
    <w:uiPriority w:val="32"/>
    <w:qFormat/>
    <w:rsid w:val="007366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2</Pages>
  <Words>565</Words>
  <Characters>3573</Characters>
  <Application>Microsoft Office Word</Application>
  <DocSecurity>0</DocSecurity>
  <Lines>51</Lines>
  <Paragraphs>8</Paragraphs>
  <ScaleCrop>false</ScaleCrop>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Peer-review report - Minor revision</dc:title>
  <dc:subject>ENGSTRUCT-D-26-05606</dc:subject>
  <dc:creator>Dragon Li</dc:creator>
  <cp:keywords/>
  <dc:description>Prepared from the supplied structured review notes using the supplied review format.</dc:description>
  <cp:lastModifiedBy>Dragon Li</cp:lastModifiedBy>
  <cp:revision>6</cp:revision>
  <dcterms:created xsi:type="dcterms:W3CDTF">2026-06-19T15:12:00Z</dcterms:created>
  <dcterms:modified xsi:type="dcterms:W3CDTF">2026-07-27T00:58:00Z</dcterms:modified>
</cp:coreProperties>
</file>