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5157213B">
      <w:pPr>
        <w:widowControl w:val="0"/>
        <w:spacing w:after="156" w:afterLines="50" w:line="360" w:lineRule="auto"/>
        <w:ind w:right="-210" w:rightChars="-10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本科生毕业设计（论文）</w:t>
      </w:r>
    </w:p>
    <w:p w14:paraId="7CBBF2B9">
      <w:pPr>
        <w:widowControl w:val="0"/>
        <w:spacing w:line="360" w:lineRule="auto"/>
        <w:jc w:val="center"/>
        <w:rPr>
          <w:rFonts w:hint="default" w:ascii="Times New Roman" w:hAnsi="Times New Roman" w:eastAsia="黑体" w:cs="Times New Roman"/>
          <w:b/>
          <w:bCs/>
          <w:spacing w:val="200"/>
          <w:kern w:val="2"/>
          <w:sz w:val="84"/>
          <w:szCs w:val="84"/>
          <w:lang w:val="en-US" w:eastAsia="zh-CN" w:bidi="ar-SA"/>
        </w:rPr>
      </w:pPr>
      <w:r>
        <w:rPr>
          <w:rFonts w:hint="eastAsia" w:ascii="Times New Roman" w:hAnsi="Times New Roman" w:eastAsia="黑体" w:cs="Times New Roman"/>
          <w:b/>
          <w:bCs/>
          <w:spacing w:val="200"/>
          <w:kern w:val="2"/>
          <w:sz w:val="84"/>
          <w:szCs w:val="84"/>
          <w:lang w:val="en-US" w:eastAsia="zh-CN" w:bidi="ar-SA"/>
        </w:rPr>
        <w:t>毕业论文</w:t>
      </w:r>
    </w:p>
    <w:p w14:paraId="515B9A6B">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912"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967"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基于SpringCloud的食品安全溯源系统的设计与实现</w:t>
            </w:r>
          </w:p>
        </w:tc>
      </w:tr>
      <w:tr w14:paraId="1EEE45C6">
        <w:trPr>
          <w:trHeight w:val="680" w:hRule="atLeast"/>
        </w:trPr>
        <w:tc>
          <w:tcPr>
            <w:tcW w:w="1912"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967"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p>
        </w:tc>
      </w:tr>
      <w:tr w14:paraId="37F0143C">
        <w:trPr>
          <w:trHeight w:val="680" w:hRule="atLeast"/>
        </w:trPr>
        <w:tc>
          <w:tcPr>
            <w:tcW w:w="1912"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435" w:type="dxa"/>
            <w:tcBorders>
              <w:bottom w:val="single" w:color="auto" w:sz="4" w:space="0"/>
            </w:tcBorders>
            <w:shd w:val="clear" w:color="auto" w:fill="auto"/>
            <w:vAlign w:val="bottom"/>
          </w:tcPr>
          <w:p w14:paraId="709D3794">
            <w:pPr>
              <w:widowControl/>
              <w:adjustRightInd w:val="0"/>
              <w:snapToGrid w:val="0"/>
              <w:jc w:val="center"/>
              <w:rPr>
                <w:rFonts w:ascii="Times New Roman" w:hAnsi="Times New Roman" w:eastAsia="宋体" w:cs="Times New Roman"/>
                <w:bCs/>
                <w:color w:val="000000"/>
                <w:sz w:val="32"/>
                <w:szCs w:val="32"/>
              </w:rPr>
            </w:pPr>
          </w:p>
        </w:tc>
        <w:tc>
          <w:tcPr>
            <w:tcW w:w="2295"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37" w:type="dxa"/>
            <w:tcBorders>
              <w:bottom w:val="single" w:color="auto" w:sz="4" w:space="0"/>
            </w:tcBorders>
            <w:shd w:val="clear" w:color="auto" w:fill="auto"/>
            <w:vAlign w:val="bottom"/>
          </w:tcPr>
          <w:p w14:paraId="363F5D6E">
            <w:pPr>
              <w:widowControl/>
              <w:adjustRightInd w:val="0"/>
              <w:snapToGrid w:val="0"/>
              <w:jc w:val="center"/>
              <w:rPr>
                <w:rFonts w:ascii="Times New Roman" w:hAnsi="Times New Roman" w:eastAsia="宋体" w:cs="Times New Roman"/>
                <w:bCs/>
                <w:color w:val="000000"/>
                <w:sz w:val="32"/>
                <w:szCs w:val="32"/>
              </w:rPr>
            </w:pPr>
          </w:p>
        </w:tc>
      </w:tr>
      <w:tr w14:paraId="33DCD104">
        <w:trPr>
          <w:trHeight w:val="680" w:hRule="atLeast"/>
        </w:trPr>
        <w:tc>
          <w:tcPr>
            <w:tcW w:w="1912"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967"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计算机科学与技术辅修202</w:t>
            </w:r>
            <w:r>
              <w:rPr>
                <w:rFonts w:hint="eastAsia" w:ascii="宋体" w:hAnsi="宋体" w:eastAsia="宋体" w:cs="Times New Roman"/>
                <w:bCs/>
                <w:color w:val="000000"/>
                <w:sz w:val="32"/>
                <w:szCs w:val="32"/>
                <w:lang w:val="en-US" w:eastAsia="zh-CN"/>
              </w:rPr>
              <w:t>2</w:t>
            </w:r>
            <w:r>
              <w:rPr>
                <w:rFonts w:hint="eastAsia" w:ascii="宋体" w:hAnsi="宋体" w:eastAsia="宋体" w:cs="Times New Roman"/>
                <w:bCs/>
                <w:color w:val="000000"/>
                <w:sz w:val="32"/>
                <w:szCs w:val="32"/>
              </w:rPr>
              <w:t>级</w:t>
            </w:r>
          </w:p>
        </w:tc>
      </w:tr>
      <w:tr w14:paraId="532589DB">
        <w:trPr>
          <w:trHeight w:val="680" w:hRule="atLeast"/>
        </w:trPr>
        <w:tc>
          <w:tcPr>
            <w:tcW w:w="1912"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435"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295"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37"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912"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435"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295"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37"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bookmarkStart w:id="71" w:name="_GoBack"/>
            <w:bookmarkEnd w:id="71"/>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w:t>
      </w:r>
      <w:r>
        <w:rPr>
          <w:rFonts w:hint="eastAsia" w:ascii="Times New Roman" w:hAnsi="Times New Roman" w:eastAsia="宋体" w:cs="Times New Roman"/>
          <w:kern w:val="2"/>
          <w:sz w:val="32"/>
          <w:szCs w:val="32"/>
          <w:lang w:val="en-US" w:eastAsia="zh-CN" w:bidi="ar-SA"/>
        </w:rPr>
        <w:t>4</w:t>
      </w:r>
      <w:r>
        <w:rPr>
          <w:rFonts w:ascii="Times New Roman" w:hAnsi="Times New Roman" w:eastAsia="宋体" w:cs="Times New Roman"/>
          <w:kern w:val="2"/>
          <w:sz w:val="32"/>
          <w:szCs w:val="32"/>
          <w:lang w:val="en-US" w:eastAsia="zh-CN" w:bidi="ar-SA"/>
        </w:rPr>
        <w:t>月</w:t>
      </w:r>
      <w:r>
        <w:rPr>
          <w:rFonts w:hint="eastAsia" w:ascii="Times New Roman" w:hAnsi="Times New Roman" w:eastAsia="宋体" w:cs="Times New Roman"/>
          <w:kern w:val="2"/>
          <w:sz w:val="32"/>
          <w:szCs w:val="32"/>
          <w:lang w:val="en-US" w:eastAsia="zh-CN" w:bidi="ar-SA"/>
        </w:rPr>
        <w:t>5</w:t>
      </w:r>
      <w:r>
        <w:rPr>
          <w:rFonts w:ascii="Times New Roman" w:hAnsi="Times New Roman" w:eastAsia="宋体" w:cs="Times New Roman"/>
          <w:kern w:val="2"/>
          <w:sz w:val="32"/>
          <w:szCs w:val="32"/>
          <w:lang w:val="en-US" w:eastAsia="zh-CN" w:bidi="ar-SA"/>
        </w:rPr>
        <w:t>日</w:t>
      </w:r>
    </w:p>
    <w:p w14:paraId="184EF96E">
      <w:pPr>
        <w:jc w:val="center"/>
        <w:rPr>
          <w:rFonts w:hint="eastAsia" w:ascii="黑体" w:hAnsi="黑体" w:eastAsia="黑体" w:cs="黑体"/>
          <w:sz w:val="32"/>
          <w:szCs w:val="32"/>
        </w:rPr>
      </w:pPr>
      <w:r>
        <w:rPr>
          <w:rFonts w:ascii="Times New Roman" w:hAnsi="Times New Roman" w:eastAsia="宋体" w:cs="Times New Roman"/>
          <w:b/>
          <w:bCs/>
          <w:sz w:val="30"/>
        </w:rPr>
        <w:br w:type="page"/>
      </w:r>
    </w:p>
    <w:p w14:paraId="60770A89">
      <w:pPr>
        <w:spacing w:line="480" w:lineRule="auto"/>
        <w:ind w:firstLine="641" w:firstLineChars="200"/>
        <w:jc w:val="center"/>
        <w:rPr>
          <w:rFonts w:ascii="Calibri" w:hAnsi="Calibri" w:eastAsia="宋体" w:cs="Times New Roman"/>
          <w:b/>
          <w:sz w:val="32"/>
          <w:szCs w:val="32"/>
        </w:rPr>
      </w:pPr>
    </w:p>
    <w:p w14:paraId="782E316E">
      <w:pPr>
        <w:spacing w:before="0" w:line="480" w:lineRule="auto"/>
        <w:ind w:firstLine="641" w:firstLineChars="200"/>
        <w:jc w:val="center"/>
        <w:rPr>
          <w:rFonts w:ascii="Calibri" w:hAnsi="Calibri" w:eastAsia="宋体" w:cs="Times New Roman"/>
          <w:b/>
          <w:sz w:val="32"/>
          <w:szCs w:val="32"/>
        </w:rPr>
      </w:pPr>
    </w:p>
    <w:p w14:paraId="7BC01A97">
      <w:pPr>
        <w:spacing w:line="480" w:lineRule="auto"/>
        <w:ind w:firstLine="641" w:firstLineChars="200"/>
        <w:jc w:val="center"/>
        <w:rPr>
          <w:rFonts w:ascii="Calibri" w:hAnsi="Calibri" w:eastAsia="宋体" w:cs="Times New Roman"/>
          <w:b/>
          <w:sz w:val="32"/>
          <w:szCs w:val="32"/>
        </w:rPr>
      </w:pPr>
      <w:r>
        <w:rPr>
          <w:rFonts w:hint="eastAsia" w:ascii="Calibri" w:hAnsi="Calibri" w:eastAsia="宋体" w:cs="Times New Roman"/>
          <w:b/>
          <w:sz w:val="32"/>
          <w:szCs w:val="32"/>
        </w:rPr>
        <w:t>毕业设计（论文）原创性声明</w:t>
      </w:r>
    </w:p>
    <w:p w14:paraId="4346E96B">
      <w:pPr>
        <w:spacing w:line="480" w:lineRule="auto"/>
        <w:ind w:firstLine="420" w:firstLineChars="200"/>
        <w:rPr>
          <w:rFonts w:ascii="Calibri" w:hAnsi="Calibri" w:eastAsia="宋体" w:cs="Times New Roman"/>
        </w:rPr>
      </w:pPr>
    </w:p>
    <w:p w14:paraId="2BF8DC0F">
      <w:pPr>
        <w:spacing w:line="480" w:lineRule="auto"/>
        <w:ind w:firstLine="480" w:firstLineChars="200"/>
        <w:rPr>
          <w:rFonts w:ascii="Calibri" w:hAnsi="Calibri" w:eastAsia="宋体" w:cs="Times New Roman"/>
          <w:sz w:val="24"/>
        </w:rPr>
      </w:pPr>
    </w:p>
    <w:p w14:paraId="61AC4360">
      <w:pPr>
        <w:spacing w:line="480" w:lineRule="auto"/>
        <w:ind w:firstLine="480" w:firstLineChars="200"/>
        <w:rPr>
          <w:rFonts w:ascii="Calibri" w:hAnsi="Calibri" w:eastAsia="宋体" w:cs="Times New Roman"/>
          <w:sz w:val="24"/>
        </w:rPr>
      </w:pPr>
      <w:r>
        <w:rPr>
          <w:rFonts w:hint="eastAsia" w:ascii="Calibri" w:hAnsi="Calibri" w:eastAsia="宋体" w:cs="Times New Roman"/>
          <w:sz w:val="24"/>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3D8DD30A">
      <w:pPr>
        <w:spacing w:line="480" w:lineRule="auto"/>
        <w:ind w:firstLine="480" w:firstLineChars="200"/>
        <w:rPr>
          <w:rFonts w:ascii="Calibri" w:hAnsi="Calibri" w:eastAsia="宋体" w:cs="Times New Roman"/>
          <w:sz w:val="24"/>
        </w:rPr>
      </w:pPr>
    </w:p>
    <w:p w14:paraId="3DCFFF6D">
      <w:pPr>
        <w:spacing w:line="480" w:lineRule="auto"/>
        <w:ind w:firstLine="480" w:firstLineChars="200"/>
        <w:rPr>
          <w:rFonts w:ascii="Calibri" w:hAnsi="Calibri" w:eastAsia="宋体" w:cs="Times New Roman"/>
          <w:sz w:val="24"/>
        </w:rPr>
        <w:sectPr>
          <w:pgSz w:w="11906" w:h="16838"/>
          <w:pgMar w:top="1440" w:right="1800" w:bottom="1440" w:left="1800" w:header="851" w:footer="992" w:gutter="0"/>
          <w:pgNumType w:start="1"/>
          <w:cols w:space="425" w:num="1"/>
          <w:docGrid w:type="lines" w:linePitch="312" w:charSpace="0"/>
        </w:sectPr>
      </w:pPr>
      <w:r>
        <w:rPr>
          <w:rFonts w:hint="eastAsia" w:ascii="Calibri" w:hAnsi="Calibri" w:eastAsia="宋体" w:cs="Times New Roman"/>
          <w:sz w:val="24"/>
        </w:rPr>
        <w:t xml:space="preserve">毕业论文作者（签字）：          </w:t>
      </w:r>
      <w:r>
        <w:rPr>
          <w:rFonts w:ascii="Calibri" w:hAnsi="Calibri" w:eastAsia="宋体" w:cs="Times New Roman"/>
          <w:sz w:val="24"/>
        </w:rPr>
        <w:t xml:space="preserve">  </w:t>
      </w:r>
      <w:r>
        <w:rPr>
          <w:rFonts w:hint="eastAsia" w:ascii="Calibri" w:hAnsi="Calibri" w:eastAsia="宋体" w:cs="Times New Roman"/>
          <w:sz w:val="24"/>
        </w:rPr>
        <w:t xml:space="preserve">   签字日期：      年     月    日</w:t>
      </w:r>
    </w:p>
    <w:p w14:paraId="2550EC0F">
      <w:pPr>
        <w:spacing w:before="0" w:line="480" w:lineRule="auto"/>
        <w:ind w:firstLine="641" w:firstLineChars="200"/>
        <w:jc w:val="center"/>
        <w:rPr>
          <w:rFonts w:ascii="Calibri" w:hAnsi="Calibri" w:eastAsia="宋体" w:cs="Times New Roman"/>
          <w:b/>
          <w:sz w:val="32"/>
          <w:szCs w:val="32"/>
        </w:rPr>
      </w:pPr>
      <w:r>
        <w:rPr>
          <w:rFonts w:hint="eastAsia" w:ascii="Calibri" w:hAnsi="Calibri" w:eastAsia="宋体" w:cs="Times New Roman"/>
          <w:b/>
          <w:sz w:val="32"/>
          <w:szCs w:val="32"/>
        </w:rPr>
        <w:t>成绩评定</w:t>
      </w:r>
    </w:p>
    <w:p w14:paraId="69BC1FD9">
      <w:pPr>
        <w:widowControl/>
        <w:spacing w:line="480" w:lineRule="auto"/>
        <w:rPr>
          <w:rFonts w:ascii="宋体" w:hAnsi="宋体" w:eastAsia="宋体" w:cs="Times New Roman"/>
          <w:sz w:val="24"/>
        </w:rPr>
      </w:pPr>
      <w:r>
        <w:rPr>
          <w:rFonts w:hint="eastAsia" w:ascii="宋体" w:hAnsi="宋体" w:eastAsia="宋体" w:cs="Times New Roman"/>
          <w:sz w:val="28"/>
          <w:szCs w:val="28"/>
        </w:rPr>
        <w:t xml:space="preserve">    </w:t>
      </w:r>
    </w:p>
    <w:p w14:paraId="20626806">
      <w:pPr>
        <w:wordWrap w:val="0"/>
        <w:spacing w:line="480" w:lineRule="auto"/>
        <w:ind w:firstLine="566" w:firstLineChars="236"/>
        <w:jc w:val="right"/>
        <w:rPr>
          <w:rFonts w:ascii="Calibri" w:hAnsi="Calibri" w:eastAsia="宋体" w:cs="Times New Roman"/>
          <w:sz w:val="24"/>
        </w:rPr>
      </w:pPr>
    </w:p>
    <w:p w14:paraId="3A809193">
      <w:pPr>
        <w:wordWrap w:val="0"/>
        <w:spacing w:line="480" w:lineRule="auto"/>
        <w:ind w:firstLine="566" w:firstLineChars="236"/>
        <w:jc w:val="right"/>
        <w:rPr>
          <w:rFonts w:ascii="Calibri" w:hAnsi="Calibri" w:eastAsia="宋体" w:cs="Times New Roman"/>
          <w:sz w:val="24"/>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138"/>
        <w:gridCol w:w="2132"/>
        <w:gridCol w:w="2139"/>
      </w:tblGrid>
      <w:tr w14:paraId="2A3BD1E3">
        <w:trPr>
          <w:trHeight w:val="808" w:hRule="atLeast"/>
        </w:trPr>
        <w:tc>
          <w:tcPr>
            <w:tcW w:w="2310" w:type="dxa"/>
            <w:vAlign w:val="center"/>
          </w:tcPr>
          <w:p w14:paraId="47F937BB">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成绩项</w:t>
            </w:r>
          </w:p>
        </w:tc>
        <w:tc>
          <w:tcPr>
            <w:tcW w:w="2310" w:type="dxa"/>
            <w:vAlign w:val="center"/>
          </w:tcPr>
          <w:p w14:paraId="7DC5E80F">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论文成绩</w:t>
            </w:r>
            <w:r>
              <w:rPr>
                <w:rFonts w:ascii="Calibri" w:hAnsi="Calibri" w:eastAsia="宋体" w:cs="Times New Roman"/>
                <w:b/>
                <w:kern w:val="0"/>
                <w:sz w:val="24"/>
              </w:rPr>
              <w:t>（</w:t>
            </w:r>
            <w:r>
              <w:rPr>
                <w:rFonts w:hint="eastAsia" w:ascii="Calibri" w:hAnsi="Calibri" w:eastAsia="宋体" w:cs="Times New Roman"/>
                <w:b/>
                <w:kern w:val="0"/>
                <w:sz w:val="24"/>
              </w:rPr>
              <w:t>百分制</w:t>
            </w:r>
            <w:r>
              <w:rPr>
                <w:rFonts w:ascii="Calibri" w:hAnsi="Calibri" w:eastAsia="宋体" w:cs="Times New Roman"/>
                <w:b/>
                <w:kern w:val="0"/>
                <w:sz w:val="24"/>
              </w:rPr>
              <w:t>）</w:t>
            </w:r>
          </w:p>
        </w:tc>
        <w:tc>
          <w:tcPr>
            <w:tcW w:w="2310" w:type="dxa"/>
            <w:vAlign w:val="center"/>
          </w:tcPr>
          <w:p w14:paraId="0C4FE216">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折合</w:t>
            </w:r>
            <w:r>
              <w:rPr>
                <w:rFonts w:ascii="Calibri" w:hAnsi="Calibri" w:eastAsia="宋体" w:cs="Times New Roman"/>
                <w:b/>
                <w:kern w:val="0"/>
                <w:sz w:val="24"/>
              </w:rPr>
              <w:t>比例</w:t>
            </w:r>
          </w:p>
        </w:tc>
        <w:tc>
          <w:tcPr>
            <w:tcW w:w="2311" w:type="dxa"/>
            <w:vAlign w:val="center"/>
          </w:tcPr>
          <w:p w14:paraId="078CF444">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实得成绩（折合</w:t>
            </w:r>
            <w:r>
              <w:rPr>
                <w:rFonts w:ascii="Calibri" w:hAnsi="Calibri" w:eastAsia="宋体" w:cs="Times New Roman"/>
                <w:b/>
                <w:kern w:val="0"/>
                <w:sz w:val="24"/>
              </w:rPr>
              <w:t>分</w:t>
            </w:r>
            <w:r>
              <w:rPr>
                <w:rFonts w:hint="eastAsia" w:ascii="Calibri" w:hAnsi="Calibri" w:eastAsia="宋体" w:cs="Times New Roman"/>
                <w:b/>
                <w:kern w:val="0"/>
                <w:sz w:val="24"/>
              </w:rPr>
              <w:t>）</w:t>
            </w:r>
          </w:p>
        </w:tc>
      </w:tr>
      <w:tr w14:paraId="557ED6F4">
        <w:trPr>
          <w:trHeight w:val="834" w:hRule="atLeast"/>
        </w:trPr>
        <w:tc>
          <w:tcPr>
            <w:tcW w:w="2310" w:type="dxa"/>
            <w:vAlign w:val="center"/>
          </w:tcPr>
          <w:p w14:paraId="22744AF7">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指导</w:t>
            </w:r>
            <w:r>
              <w:rPr>
                <w:rFonts w:ascii="宋体" w:hAnsi="宋体" w:eastAsia="宋体" w:cs="Times New Roman"/>
                <w:kern w:val="0"/>
                <w:sz w:val="24"/>
              </w:rPr>
              <w:t>教师</w:t>
            </w:r>
            <w:r>
              <w:rPr>
                <w:rFonts w:hint="eastAsia" w:ascii="宋体" w:hAnsi="宋体" w:eastAsia="宋体" w:cs="Times New Roman"/>
                <w:kern w:val="0"/>
                <w:sz w:val="24"/>
              </w:rPr>
              <w:t>成绩</w:t>
            </w:r>
          </w:p>
        </w:tc>
        <w:tc>
          <w:tcPr>
            <w:tcW w:w="2310" w:type="dxa"/>
            <w:vAlign w:val="center"/>
          </w:tcPr>
          <w:p w14:paraId="08341558">
            <w:pPr>
              <w:widowControl/>
              <w:spacing w:line="480" w:lineRule="auto"/>
              <w:jc w:val="center"/>
              <w:rPr>
                <w:rFonts w:ascii="宋体" w:hAnsi="宋体" w:eastAsia="宋体" w:cs="Times New Roman"/>
                <w:kern w:val="0"/>
                <w:sz w:val="24"/>
              </w:rPr>
            </w:pPr>
          </w:p>
        </w:tc>
        <w:tc>
          <w:tcPr>
            <w:tcW w:w="2310" w:type="dxa"/>
            <w:vAlign w:val="center"/>
          </w:tcPr>
          <w:p w14:paraId="7A592C47">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30</w:t>
            </w:r>
            <w:r>
              <w:rPr>
                <w:rFonts w:ascii="宋体" w:hAnsi="宋体" w:eastAsia="宋体" w:cs="Times New Roman"/>
                <w:kern w:val="0"/>
                <w:sz w:val="24"/>
              </w:rPr>
              <w:t>%</w:t>
            </w:r>
          </w:p>
        </w:tc>
        <w:tc>
          <w:tcPr>
            <w:tcW w:w="2311" w:type="dxa"/>
            <w:vAlign w:val="center"/>
          </w:tcPr>
          <w:p w14:paraId="6BD6B0D3">
            <w:pPr>
              <w:spacing w:line="480" w:lineRule="auto"/>
              <w:jc w:val="center"/>
              <w:rPr>
                <w:rFonts w:ascii="Calibri" w:hAnsi="Calibri" w:eastAsia="宋体" w:cs="Times New Roman"/>
                <w:kern w:val="0"/>
                <w:sz w:val="24"/>
              </w:rPr>
            </w:pPr>
          </w:p>
        </w:tc>
      </w:tr>
      <w:tr w14:paraId="79798DCA">
        <w:trPr>
          <w:trHeight w:val="704" w:hRule="atLeast"/>
        </w:trPr>
        <w:tc>
          <w:tcPr>
            <w:tcW w:w="2310" w:type="dxa"/>
            <w:vAlign w:val="center"/>
          </w:tcPr>
          <w:p w14:paraId="46DFB496">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评阅</w:t>
            </w:r>
            <w:r>
              <w:rPr>
                <w:rFonts w:ascii="宋体" w:hAnsi="宋体" w:eastAsia="宋体" w:cs="Times New Roman"/>
                <w:kern w:val="0"/>
                <w:sz w:val="24"/>
              </w:rPr>
              <w:t>教师</w:t>
            </w:r>
            <w:r>
              <w:rPr>
                <w:rFonts w:hint="eastAsia" w:ascii="宋体" w:hAnsi="宋体" w:eastAsia="宋体" w:cs="Times New Roman"/>
                <w:kern w:val="0"/>
                <w:sz w:val="24"/>
              </w:rPr>
              <w:t>成绩</w:t>
            </w:r>
          </w:p>
        </w:tc>
        <w:tc>
          <w:tcPr>
            <w:tcW w:w="2310" w:type="dxa"/>
            <w:vAlign w:val="center"/>
          </w:tcPr>
          <w:p w14:paraId="479D2146">
            <w:pPr>
              <w:widowControl/>
              <w:spacing w:line="480" w:lineRule="auto"/>
              <w:jc w:val="center"/>
              <w:rPr>
                <w:rFonts w:ascii="宋体" w:hAnsi="宋体" w:eastAsia="宋体" w:cs="Times New Roman"/>
                <w:kern w:val="0"/>
                <w:sz w:val="24"/>
              </w:rPr>
            </w:pPr>
          </w:p>
        </w:tc>
        <w:tc>
          <w:tcPr>
            <w:tcW w:w="2310" w:type="dxa"/>
            <w:vAlign w:val="center"/>
          </w:tcPr>
          <w:p w14:paraId="5A123952">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20</w:t>
            </w:r>
            <w:r>
              <w:rPr>
                <w:rFonts w:ascii="宋体" w:hAnsi="宋体" w:eastAsia="宋体" w:cs="Times New Roman"/>
                <w:kern w:val="0"/>
                <w:sz w:val="24"/>
              </w:rPr>
              <w:t>%</w:t>
            </w:r>
          </w:p>
        </w:tc>
        <w:tc>
          <w:tcPr>
            <w:tcW w:w="2311" w:type="dxa"/>
            <w:vAlign w:val="center"/>
          </w:tcPr>
          <w:p w14:paraId="0565A307">
            <w:pPr>
              <w:spacing w:line="480" w:lineRule="auto"/>
              <w:jc w:val="center"/>
              <w:rPr>
                <w:rFonts w:ascii="Calibri" w:hAnsi="Calibri" w:eastAsia="宋体" w:cs="Times New Roman"/>
                <w:kern w:val="0"/>
                <w:sz w:val="24"/>
              </w:rPr>
            </w:pPr>
          </w:p>
        </w:tc>
      </w:tr>
      <w:tr w14:paraId="6810D69D">
        <w:trPr>
          <w:trHeight w:val="828" w:hRule="atLeast"/>
        </w:trPr>
        <w:tc>
          <w:tcPr>
            <w:tcW w:w="2310" w:type="dxa"/>
            <w:vAlign w:val="center"/>
          </w:tcPr>
          <w:p w14:paraId="0E15DCF8">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答辩</w:t>
            </w:r>
            <w:r>
              <w:rPr>
                <w:rFonts w:ascii="宋体" w:hAnsi="宋体" w:eastAsia="宋体" w:cs="Times New Roman"/>
                <w:kern w:val="0"/>
                <w:sz w:val="24"/>
              </w:rPr>
              <w:t>成绩</w:t>
            </w:r>
          </w:p>
        </w:tc>
        <w:tc>
          <w:tcPr>
            <w:tcW w:w="2310" w:type="dxa"/>
            <w:vAlign w:val="center"/>
          </w:tcPr>
          <w:p w14:paraId="2CA2ED54">
            <w:pPr>
              <w:widowControl/>
              <w:spacing w:line="480" w:lineRule="auto"/>
              <w:jc w:val="center"/>
              <w:rPr>
                <w:rFonts w:ascii="宋体" w:hAnsi="宋体" w:eastAsia="宋体" w:cs="Times New Roman"/>
                <w:kern w:val="0"/>
                <w:sz w:val="24"/>
              </w:rPr>
            </w:pPr>
          </w:p>
        </w:tc>
        <w:tc>
          <w:tcPr>
            <w:tcW w:w="2310" w:type="dxa"/>
            <w:vAlign w:val="center"/>
          </w:tcPr>
          <w:p w14:paraId="717C77F0">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50</w:t>
            </w:r>
            <w:r>
              <w:rPr>
                <w:rFonts w:ascii="宋体" w:hAnsi="宋体" w:eastAsia="宋体" w:cs="Times New Roman"/>
                <w:kern w:val="0"/>
                <w:sz w:val="24"/>
              </w:rPr>
              <w:t>%</w:t>
            </w:r>
          </w:p>
        </w:tc>
        <w:tc>
          <w:tcPr>
            <w:tcW w:w="2311" w:type="dxa"/>
            <w:vAlign w:val="center"/>
          </w:tcPr>
          <w:p w14:paraId="64735BA5">
            <w:pPr>
              <w:spacing w:line="480" w:lineRule="auto"/>
              <w:jc w:val="center"/>
              <w:rPr>
                <w:rFonts w:ascii="Calibri" w:hAnsi="Calibri" w:eastAsia="宋体" w:cs="Times New Roman"/>
                <w:kern w:val="0"/>
                <w:sz w:val="24"/>
              </w:rPr>
            </w:pPr>
          </w:p>
        </w:tc>
      </w:tr>
      <w:tr w14:paraId="52DF7634">
        <w:trPr>
          <w:trHeight w:val="839" w:hRule="atLeast"/>
        </w:trPr>
        <w:tc>
          <w:tcPr>
            <w:tcW w:w="6930" w:type="dxa"/>
            <w:gridSpan w:val="3"/>
            <w:vAlign w:val="center"/>
          </w:tcPr>
          <w:p w14:paraId="3044C261">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总评</w:t>
            </w:r>
            <w:r>
              <w:rPr>
                <w:rFonts w:ascii="Calibri" w:hAnsi="Calibri" w:eastAsia="宋体" w:cs="Times New Roman"/>
                <w:b/>
                <w:kern w:val="0"/>
                <w:sz w:val="24"/>
              </w:rPr>
              <w:t>成绩</w:t>
            </w:r>
          </w:p>
        </w:tc>
        <w:tc>
          <w:tcPr>
            <w:tcW w:w="2311" w:type="dxa"/>
            <w:vAlign w:val="center"/>
          </w:tcPr>
          <w:p w14:paraId="68ED6399">
            <w:pPr>
              <w:spacing w:line="480" w:lineRule="auto"/>
              <w:jc w:val="center"/>
              <w:rPr>
                <w:rFonts w:ascii="Calibri" w:hAnsi="Calibri" w:eastAsia="宋体" w:cs="Times New Roman"/>
                <w:kern w:val="0"/>
                <w:sz w:val="24"/>
              </w:rPr>
            </w:pPr>
          </w:p>
        </w:tc>
      </w:tr>
    </w:tbl>
    <w:p w14:paraId="3BB3A7C9">
      <w:pPr>
        <w:spacing w:line="480" w:lineRule="auto"/>
        <w:ind w:firstLine="566" w:firstLineChars="236"/>
        <w:jc w:val="left"/>
        <w:rPr>
          <w:rFonts w:ascii="宋体" w:hAnsi="宋体" w:eastAsia="宋体" w:cs="Times New Roman"/>
          <w:sz w:val="24"/>
        </w:rPr>
      </w:pPr>
    </w:p>
    <w:p w14:paraId="3AF069B0">
      <w:pPr>
        <w:spacing w:line="480" w:lineRule="auto"/>
        <w:ind w:firstLine="496" w:firstLineChars="236"/>
        <w:jc w:val="left"/>
        <w:rPr>
          <w:rFonts w:ascii="Calibri" w:hAnsi="Calibri" w:eastAsia="宋体" w:cs="Times New Roman"/>
          <w:b/>
          <w:szCs w:val="21"/>
        </w:rPr>
      </w:pPr>
      <w:r>
        <w:rPr>
          <w:rFonts w:hint="eastAsia" w:ascii="宋体" w:hAnsi="宋体" w:eastAsia="宋体" w:cs="Times New Roman"/>
          <w:b/>
          <w:szCs w:val="21"/>
        </w:rPr>
        <w:t>注</w:t>
      </w:r>
      <w:r>
        <w:rPr>
          <w:rFonts w:ascii="宋体" w:hAnsi="宋体" w:eastAsia="宋体" w:cs="Times New Roman"/>
          <w:b/>
          <w:szCs w:val="21"/>
        </w:rPr>
        <w:t>：毕业设计（论文）成绩</w:t>
      </w:r>
      <w:r>
        <w:rPr>
          <w:rFonts w:hint="eastAsia" w:ascii="宋体" w:hAnsi="宋体" w:eastAsia="宋体" w:cs="Times New Roman"/>
          <w:b/>
          <w:szCs w:val="21"/>
        </w:rPr>
        <w:t>按</w:t>
      </w:r>
      <w:r>
        <w:rPr>
          <w:rFonts w:ascii="宋体" w:hAnsi="宋体" w:eastAsia="宋体" w:cs="Times New Roman"/>
          <w:b/>
          <w:szCs w:val="21"/>
        </w:rPr>
        <w:t>百分制评定。答辩</w:t>
      </w:r>
      <w:r>
        <w:rPr>
          <w:rFonts w:hint="eastAsia" w:ascii="宋体" w:hAnsi="宋体" w:eastAsia="宋体" w:cs="Times New Roman"/>
          <w:b/>
          <w:szCs w:val="21"/>
        </w:rPr>
        <w:t>成绩不及格</w:t>
      </w:r>
      <w:r>
        <w:rPr>
          <w:rFonts w:ascii="宋体" w:hAnsi="宋体" w:eastAsia="宋体" w:cs="Times New Roman"/>
          <w:b/>
          <w:szCs w:val="21"/>
        </w:rPr>
        <w:t>的</w:t>
      </w:r>
      <w:r>
        <w:rPr>
          <w:rFonts w:hint="eastAsia" w:ascii="宋体" w:hAnsi="宋体" w:eastAsia="宋体" w:cs="Times New Roman"/>
          <w:b/>
          <w:szCs w:val="21"/>
        </w:rPr>
        <w:t>（评分</w:t>
      </w:r>
      <w:r>
        <w:rPr>
          <w:rFonts w:ascii="宋体" w:hAnsi="宋体" w:eastAsia="宋体" w:cs="Times New Roman"/>
          <w:b/>
          <w:szCs w:val="21"/>
        </w:rPr>
        <w:t>低于</w:t>
      </w:r>
      <w:r>
        <w:rPr>
          <w:rFonts w:hint="eastAsia" w:ascii="宋体" w:hAnsi="宋体" w:eastAsia="宋体" w:cs="Times New Roman"/>
          <w:b/>
          <w:szCs w:val="21"/>
        </w:rPr>
        <w:t>60分的）</w:t>
      </w:r>
      <w:r>
        <w:rPr>
          <w:rFonts w:ascii="宋体" w:hAnsi="宋体" w:eastAsia="宋体" w:cs="Times New Roman"/>
          <w:b/>
          <w:szCs w:val="21"/>
        </w:rPr>
        <w:t>，则该毕业设计（</w:t>
      </w:r>
      <w:r>
        <w:rPr>
          <w:rFonts w:hint="eastAsia" w:ascii="宋体" w:hAnsi="宋体" w:eastAsia="宋体" w:cs="Times New Roman"/>
          <w:b/>
          <w:szCs w:val="21"/>
        </w:rPr>
        <w:t>论文</w:t>
      </w:r>
      <w:r>
        <w:rPr>
          <w:rFonts w:ascii="宋体" w:hAnsi="宋体" w:eastAsia="宋体" w:cs="Times New Roman"/>
          <w:b/>
          <w:szCs w:val="21"/>
        </w:rPr>
        <w:t>）</w:t>
      </w:r>
      <w:r>
        <w:rPr>
          <w:rFonts w:hint="eastAsia" w:ascii="宋体" w:hAnsi="宋体" w:eastAsia="宋体" w:cs="Times New Roman"/>
          <w:b/>
          <w:szCs w:val="21"/>
        </w:rPr>
        <w:t>总评成绩为答辩</w:t>
      </w:r>
      <w:r>
        <w:rPr>
          <w:rFonts w:ascii="宋体" w:hAnsi="宋体" w:eastAsia="宋体" w:cs="Times New Roman"/>
          <w:b/>
          <w:szCs w:val="21"/>
        </w:rPr>
        <w:t>成绩。</w:t>
      </w:r>
    </w:p>
    <w:p w14:paraId="220F3C36">
      <w:pPr>
        <w:spacing w:line="480" w:lineRule="auto"/>
        <w:ind w:firstLine="420"/>
      </w:pPr>
    </w:p>
    <w:p w14:paraId="59DCA1F5">
      <w:pPr>
        <w:pStyle w:val="2"/>
        <w:spacing w:line="480" w:lineRule="auto"/>
        <w:ind w:firstLine="600"/>
        <w:rPr>
          <w:rFonts w:ascii="黑体" w:hAnsi="黑体" w:eastAsia="黑体"/>
          <w:sz w:val="30"/>
          <w:szCs w:val="30"/>
        </w:rPr>
      </w:pPr>
    </w:p>
    <w:p w14:paraId="4E518238">
      <w:pPr>
        <w:pStyle w:val="2"/>
        <w:spacing w:line="480" w:lineRule="auto"/>
        <w:ind w:firstLine="600"/>
        <w:rPr>
          <w:rFonts w:ascii="黑体" w:hAnsi="黑体" w:eastAsia="黑体"/>
          <w:sz w:val="30"/>
          <w:szCs w:val="30"/>
        </w:rPr>
      </w:pPr>
    </w:p>
    <w:p w14:paraId="472FABDB">
      <w:pPr>
        <w:pStyle w:val="2"/>
        <w:spacing w:line="480" w:lineRule="auto"/>
        <w:ind w:firstLine="600"/>
        <w:rPr>
          <w:rFonts w:ascii="黑体" w:hAnsi="黑体" w:eastAsia="黑体"/>
          <w:sz w:val="30"/>
          <w:szCs w:val="30"/>
        </w:rPr>
      </w:pPr>
    </w:p>
    <w:p w14:paraId="6B47FEF2">
      <w:pPr>
        <w:pStyle w:val="2"/>
        <w:spacing w:line="480" w:lineRule="auto"/>
        <w:ind w:firstLine="600"/>
        <w:rPr>
          <w:rFonts w:ascii="黑体" w:hAnsi="黑体" w:eastAsia="黑体"/>
          <w:sz w:val="30"/>
          <w:szCs w:val="30"/>
        </w:rPr>
      </w:pPr>
    </w:p>
    <w:p w14:paraId="65FD725B">
      <w:pPr>
        <w:pStyle w:val="2"/>
        <w:spacing w:line="480" w:lineRule="auto"/>
        <w:ind w:firstLine="600"/>
        <w:rPr>
          <w:rFonts w:ascii="黑体" w:hAnsi="黑体" w:eastAsia="黑体"/>
          <w:sz w:val="30"/>
          <w:szCs w:val="30"/>
        </w:rPr>
      </w:pPr>
    </w:p>
    <w:p w14:paraId="26DF9112">
      <w:pPr>
        <w:pStyle w:val="2"/>
        <w:spacing w:line="480" w:lineRule="auto"/>
        <w:ind w:firstLine="600"/>
        <w:rPr>
          <w:rFonts w:ascii="黑体" w:hAnsi="黑体" w:eastAsia="黑体"/>
          <w:sz w:val="30"/>
          <w:szCs w:val="30"/>
        </w:rPr>
      </w:pPr>
    </w:p>
    <w:p w14:paraId="44A7DC17">
      <w:pPr>
        <w:pStyle w:val="2"/>
        <w:spacing w:line="480" w:lineRule="auto"/>
        <w:ind w:firstLine="600"/>
        <w:rPr>
          <w:rFonts w:ascii="黑体" w:hAnsi="黑体" w:eastAsia="黑体"/>
          <w:sz w:val="30"/>
          <w:szCs w:val="30"/>
        </w:rPr>
      </w:pPr>
    </w:p>
    <w:p w14:paraId="583C2354">
      <w:pPr>
        <w:pStyle w:val="2"/>
        <w:spacing w:line="480" w:lineRule="auto"/>
        <w:ind w:firstLine="600"/>
        <w:rPr>
          <w:rFonts w:ascii="黑体" w:hAnsi="黑体" w:eastAsia="黑体"/>
          <w:sz w:val="30"/>
          <w:szCs w:val="30"/>
        </w:rPr>
      </w:pPr>
    </w:p>
    <w:p w14:paraId="0560E357">
      <w:pPr>
        <w:spacing w:line="500" w:lineRule="exact"/>
        <w:jc w:val="center"/>
        <w:rPr>
          <w:rFonts w:ascii="黑体" w:hAnsi="黑体" w:eastAsia="黑体" w:cs="黑体"/>
          <w:b/>
          <w:bCs/>
          <w:sz w:val="32"/>
          <w:szCs w:val="32"/>
        </w:rPr>
      </w:pPr>
      <w:r>
        <w:rPr>
          <w:rFonts w:hint="eastAsia" w:ascii="黑体" w:hAnsi="黑体" w:eastAsia="黑体" w:cs="黑体"/>
          <w:b/>
          <w:bCs/>
          <w:sz w:val="32"/>
          <w:szCs w:val="32"/>
        </w:rPr>
        <w:t>内容摘要</w:t>
      </w:r>
      <w:bookmarkEnd w:id="0"/>
    </w:p>
    <w:p w14:paraId="670BECC3">
      <w:pPr>
        <w:pStyle w:val="2"/>
        <w:spacing w:line="500" w:lineRule="exact"/>
        <w:ind w:firstLine="560"/>
        <w:jc w:val="left"/>
        <w:rPr>
          <w:rFonts w:hint="eastAsia" w:ascii="宋体" w:hAnsi="宋体" w:eastAsia="宋体" w:cs="宋体"/>
          <w:sz w:val="28"/>
          <w:szCs w:val="28"/>
        </w:rPr>
      </w:pPr>
      <w:r>
        <w:rPr>
          <w:rFonts w:hint="eastAsia" w:ascii="宋体" w:hAnsi="宋体" w:eastAsia="宋体" w:cs="宋体"/>
          <w:sz w:val="28"/>
          <w:szCs w:val="28"/>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spacing w:line="500" w:lineRule="exact"/>
        <w:ind w:firstLine="560"/>
        <w:jc w:val="left"/>
        <w:rPr>
          <w:rFonts w:hint="eastAsia" w:ascii="宋体" w:hAnsi="宋体" w:eastAsia="宋体" w:cs="宋体"/>
          <w:sz w:val="28"/>
          <w:szCs w:val="28"/>
        </w:rPr>
      </w:pPr>
    </w:p>
    <w:p w14:paraId="09F2858F">
      <w:pPr>
        <w:pStyle w:val="2"/>
        <w:spacing w:line="500" w:lineRule="exact"/>
        <w:ind w:firstLine="560"/>
        <w:jc w:val="left"/>
        <w:rPr>
          <w:rFonts w:hint="eastAsia" w:ascii="宋体" w:hAnsi="宋体" w:eastAsia="宋体" w:cs="宋体"/>
          <w:sz w:val="28"/>
          <w:szCs w:val="28"/>
        </w:rPr>
      </w:pPr>
      <w:r>
        <w:rPr>
          <w:rFonts w:hint="eastAsia" w:ascii="宋体" w:hAnsi="宋体" w:eastAsia="宋体" w:cs="宋体"/>
          <w:sz w:val="28"/>
          <w:szCs w:val="28"/>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spacing w:line="500" w:lineRule="exact"/>
        <w:ind w:firstLine="560"/>
        <w:jc w:val="left"/>
        <w:rPr>
          <w:rFonts w:hint="eastAsia" w:ascii="宋体" w:hAnsi="宋体" w:eastAsia="宋体" w:cs="宋体"/>
          <w:sz w:val="28"/>
          <w:szCs w:val="28"/>
        </w:rPr>
      </w:pPr>
    </w:p>
    <w:p w14:paraId="156BFCD2">
      <w:pPr>
        <w:pStyle w:val="2"/>
        <w:spacing w:line="500" w:lineRule="exact"/>
        <w:ind w:firstLine="560"/>
        <w:jc w:val="left"/>
        <w:rPr>
          <w:rFonts w:ascii="宋体" w:hAnsi="宋体" w:eastAsia="宋体"/>
          <w:bCs/>
          <w:sz w:val="28"/>
          <w:szCs w:val="28"/>
        </w:rPr>
      </w:pPr>
      <w:r>
        <w:rPr>
          <w:rFonts w:hint="eastAsia" w:ascii="宋体" w:hAnsi="宋体" w:eastAsia="宋体" w:cs="宋体"/>
          <w:sz w:val="28"/>
          <w:szCs w:val="28"/>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eastAsia="宋体" w:cs="宋体"/>
          <w:bCs/>
          <w:sz w:val="28"/>
          <w:szCs w:val="28"/>
        </w:rPr>
        <w:sectPr>
          <w:pgSz w:w="11906" w:h="16838"/>
          <w:pgMar w:top="1440" w:right="1800" w:bottom="1440" w:left="1800" w:header="851" w:footer="992" w:gutter="0"/>
          <w:pgNumType w:start="3"/>
          <w:cols w:space="425" w:num="1"/>
          <w:docGrid w:type="lines" w:linePitch="312" w:charSpace="0"/>
        </w:sectPr>
      </w:pPr>
      <w:r>
        <w:rPr>
          <w:rFonts w:hint="eastAsia" w:ascii="黑体" w:hAnsi="黑体" w:eastAsia="黑体" w:cs="黑体"/>
          <w:b/>
          <w:sz w:val="28"/>
          <w:szCs w:val="28"/>
        </w:rPr>
        <w:t>关键词：</w:t>
      </w:r>
      <w:bookmarkStart w:id="1" w:name="_Toc24881"/>
      <w:r>
        <w:rPr>
          <w:rStyle w:val="36"/>
          <w:rFonts w:hint="eastAsia" w:eastAsia="宋体" w:cs="宋体"/>
          <w:bCs/>
          <w:sz w:val="28"/>
          <w:szCs w:val="28"/>
        </w:rPr>
        <w:t>Spring</w:t>
      </w:r>
      <w:r>
        <w:rPr>
          <w:rStyle w:val="36"/>
          <w:rFonts w:hint="eastAsia" w:eastAsia="宋体" w:cs="宋体"/>
          <w:bCs/>
          <w:sz w:val="28"/>
          <w:szCs w:val="28"/>
          <w:lang w:val="en-US" w:eastAsia="zh-CN"/>
        </w:rPr>
        <w:t>Cloud</w:t>
      </w:r>
      <w:r>
        <w:rPr>
          <w:rStyle w:val="36"/>
          <w:rFonts w:hint="eastAsia" w:eastAsia="宋体" w:cs="宋体"/>
          <w:bCs/>
          <w:sz w:val="28"/>
          <w:szCs w:val="28"/>
        </w:rPr>
        <w:t xml:space="preserve">  Vue3  WebSocket  食品安全  溯源系统  风险评分</w:t>
      </w:r>
    </w:p>
    <w:p w14:paraId="640F8E64">
      <w:pPr>
        <w:spacing w:line="500" w:lineRule="exact"/>
        <w:jc w:val="center"/>
        <w:rPr>
          <w:rFonts w:ascii="Times New Roman" w:hAnsi="Times New Roman" w:cs="Times New Roman"/>
          <w:b/>
          <w:bCs/>
          <w:sz w:val="32"/>
          <w:szCs w:val="32"/>
        </w:rPr>
      </w:pPr>
      <w:r>
        <w:rPr>
          <w:rFonts w:ascii="Times New Roman" w:hAnsi="Times New Roman" w:cs="Times New Roman"/>
          <w:b/>
          <w:bCs/>
          <w:sz w:val="32"/>
          <w:szCs w:val="32"/>
        </w:rPr>
        <w:t>Abstract</w:t>
      </w:r>
      <w:bookmarkEnd w:id="1"/>
    </w:p>
    <w:p w14:paraId="1D5D17A7">
      <w:pPr>
        <w:spacing w:line="500" w:lineRule="exact"/>
        <w:ind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560" w:firstLineChars="200"/>
        <w:jc w:val="left"/>
        <w:rPr>
          <w:rFonts w:hint="eastAsia" w:ascii="Times New Roman" w:hAnsi="Times New Roman" w:cs="Times New Roman"/>
          <w:sz w:val="28"/>
          <w:szCs w:val="28"/>
        </w:rPr>
      </w:pPr>
    </w:p>
    <w:p w14:paraId="028D4350">
      <w:pPr>
        <w:spacing w:line="500" w:lineRule="exact"/>
        <w:ind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560" w:firstLineChars="200"/>
        <w:jc w:val="left"/>
        <w:rPr>
          <w:rFonts w:hint="eastAsia" w:ascii="Times New Roman" w:hAnsi="Times New Roman" w:cs="Times New Roman"/>
          <w:sz w:val="28"/>
          <w:szCs w:val="28"/>
        </w:rPr>
      </w:pPr>
    </w:p>
    <w:p w14:paraId="37F83769">
      <w:pPr>
        <w:spacing w:line="500" w:lineRule="exact"/>
        <w:ind w:firstLine="560" w:firstLineChars="200"/>
        <w:jc w:val="left"/>
        <w:rPr>
          <w:rFonts w:ascii="Times New Roman" w:hAnsi="Times New Roman" w:cs="Times New Roman"/>
          <w:sz w:val="28"/>
          <w:szCs w:val="28"/>
        </w:rPr>
      </w:pPr>
      <w:r>
        <w:rPr>
          <w:rFonts w:hint="eastAsia" w:ascii="Times New Roman" w:hAnsi="Times New Roman" w:cs="Times New Roman"/>
          <w:sz w:val="28"/>
          <w:szCs w:val="28"/>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ascii="Times New Roman" w:hAnsi="Times New Roman" w:cs="Times New Roman"/>
          <w:sz w:val="24"/>
        </w:rPr>
      </w:pPr>
    </w:p>
    <w:p w14:paraId="1C9BE868">
      <w:pPr>
        <w:spacing w:line="500" w:lineRule="exact"/>
        <w:jc w:val="left"/>
        <w:rPr>
          <w:rFonts w:ascii="Times New Roman" w:hAnsi="Times New Roman" w:cs="Times New Roman"/>
          <w:sz w:val="24"/>
        </w:rPr>
      </w:pPr>
      <w:r>
        <w:rPr>
          <w:rFonts w:ascii="Times New Roman" w:hAnsi="Times New Roman" w:cs="Times New Roman"/>
          <w:b/>
          <w:bCs/>
          <w:sz w:val="28"/>
          <w:szCs w:val="28"/>
        </w:rPr>
        <w:t>Keywords:</w:t>
      </w:r>
      <w:r>
        <w:rPr>
          <w:rFonts w:ascii="Times New Roman" w:hAnsi="Times New Roman" w:cs="Times New Roman"/>
          <w:sz w:val="24"/>
        </w:rPr>
        <w:t xml:space="preserve"> </w:t>
      </w:r>
      <w:r>
        <w:rPr>
          <w:rFonts w:hint="eastAsia" w:ascii="Times New Roman" w:hAnsi="Times New Roman" w:cs="Times New Roman"/>
          <w:sz w:val="28"/>
          <w:szCs w:val="28"/>
        </w:rPr>
        <w:t>Spring</w:t>
      </w:r>
      <w:r>
        <w:rPr>
          <w:rFonts w:hint="eastAsia" w:ascii="Times New Roman" w:hAnsi="Times New Roman" w:cs="Times New Roman"/>
          <w:sz w:val="28"/>
          <w:szCs w:val="28"/>
          <w:lang w:val="en-US" w:eastAsia="zh-CN"/>
        </w:rPr>
        <w:t>Cloud</w:t>
      </w:r>
      <w:r>
        <w:rPr>
          <w:rFonts w:hint="eastAsia" w:ascii="Times New Roman" w:hAnsi="Times New Roman" w:cs="Times New Roman"/>
          <w:sz w:val="28"/>
          <w:szCs w:val="28"/>
        </w:rPr>
        <w:t xml:space="preserve">  Vue3  WebSocket  Food Safety  Traceability System  Risk Scoring</w:t>
      </w:r>
    </w:p>
    <w:p w14:paraId="29FCCACF">
      <w:pPr>
        <w:spacing w:line="500" w:lineRule="exact"/>
        <w:rPr>
          <w:rFonts w:ascii="Times New Roman" w:hAnsi="Times New Roman" w:cs="Times New Roman"/>
          <w:b/>
          <w:sz w:val="24"/>
        </w:rPr>
      </w:pPr>
      <w:r>
        <w:rPr>
          <w:rFonts w:ascii="Times New Roman" w:hAnsi="Times New Roman" w:cs="Times New Roman"/>
          <w:b/>
          <w:sz w:val="24"/>
        </w:rPr>
        <w:br w:type="page"/>
      </w:r>
    </w:p>
    <w:p w14:paraId="2920613B">
      <w:pPr>
        <w:spacing w:before="340" w:after="330" w:line="480" w:lineRule="auto"/>
        <w:jc w:val="center"/>
        <w:rPr>
          <w:rFonts w:ascii="黑体" w:hAnsi="黑体" w:eastAsia="黑体" w:cs="黑体"/>
          <w:b/>
          <w:bCs/>
          <w:sz w:val="32"/>
          <w:szCs w:val="32"/>
        </w:rPr>
      </w:pPr>
      <w:r>
        <w:rPr>
          <w:rFonts w:hint="eastAsia" w:ascii="黑体" w:hAnsi="黑体" w:eastAsia="黑体" w:cs="黑体"/>
          <w:b/>
          <w:bCs/>
          <w:sz w:val="32"/>
          <w:szCs w:val="32"/>
        </w:rPr>
        <w:t>目  录</w:t>
      </w:r>
    </w:p>
    <w:p w14:paraId="3875F441">
      <w:pPr>
        <w:pStyle w:val="17"/>
        <w:tabs>
          <w:tab w:val="right" w:leader="dot" w:pos="8306"/>
        </w:tabs>
        <w:spacing w:before="0" w:after="0" w:line="500" w:lineRule="exact"/>
        <w:jc w:val="left"/>
        <w:rPr>
          <w:b/>
          <w:sz w:val="28"/>
          <w:szCs w:val="28"/>
        </w:rPr>
      </w:pPr>
      <w:r>
        <w:rPr>
          <w:rFonts w:hint="eastAsia"/>
        </w:rPr>
        <w:fldChar w:fldCharType="begin"/>
      </w:r>
      <w:r>
        <w:rPr>
          <w:rFonts w:hint="eastAsia"/>
        </w:rPr>
        <w:instrText xml:space="preserve"> TOC \* MERGEFORMAT </w:instrText>
      </w:r>
      <w:r>
        <w:rPr>
          <w:rFonts w:hint="eastAsia"/>
        </w:rPr>
        <w:fldChar w:fldCharType="separate"/>
      </w:r>
      <w:r>
        <w:rPr>
          <w:rFonts w:hint="eastAsia" w:ascii="黑体" w:hAnsi="黑体" w:eastAsia="黑体" w:cs="黑体"/>
          <w:b/>
          <w:sz w:val="28"/>
          <w:szCs w:val="28"/>
        </w:rPr>
        <w:t xml:space="preserve">第一章 </w:t>
      </w:r>
      <w:r>
        <w:rPr>
          <w:rFonts w:hint="eastAsia" w:ascii="黑体" w:hAnsi="黑体" w:eastAsia="黑体" w:cs="黑体"/>
          <w:b/>
          <w:sz w:val="28"/>
          <w:szCs w:val="28"/>
          <w:lang w:val="en-US" w:eastAsia="zh-CN"/>
        </w:rPr>
        <w:t>引言</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_Toc11110 </w:instrText>
      </w:r>
      <w:r>
        <w:rPr>
          <w:rFonts w:hint="eastAsia" w:ascii="黑体" w:hAnsi="黑体" w:eastAsia="黑体" w:cs="黑体"/>
          <w:bCs/>
          <w:sz w:val="28"/>
          <w:szCs w:val="28"/>
        </w:rPr>
        <w:fldChar w:fldCharType="separate"/>
      </w:r>
      <w:r>
        <w:rPr>
          <w:rFonts w:ascii="黑体" w:hAnsi="黑体" w:eastAsia="黑体" w:cs="黑体"/>
          <w:bCs/>
          <w:sz w:val="28"/>
          <w:szCs w:val="28"/>
        </w:rPr>
        <w:t>1</w:t>
      </w:r>
      <w:r>
        <w:rPr>
          <w:rFonts w:hint="eastAsia" w:ascii="黑体" w:hAnsi="黑体" w:eastAsia="黑体" w:cs="黑体"/>
          <w:bCs/>
          <w:sz w:val="28"/>
          <w:szCs w:val="28"/>
        </w:rPr>
        <w:fldChar w:fldCharType="end"/>
      </w:r>
    </w:p>
    <w:p w14:paraId="0AC04187">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1.1 项目背景</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_Toc27535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480E6AA4">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1.2 项目目的和意义</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_Toc23542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015A93DC">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1.3 国内外研究现状</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_Toc16076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157B9E85">
      <w:pPr>
        <w:pStyle w:val="19"/>
        <w:tabs>
          <w:tab w:val="right" w:leader="dot" w:pos="8306"/>
        </w:tabs>
        <w:spacing w:before="0" w:after="0" w:line="500" w:lineRule="exact"/>
        <w:ind w:left="0" w:leftChars="0" w:firstLine="280" w:firstLineChars="100"/>
        <w:jc w:val="left"/>
      </w:pPr>
      <w:r>
        <w:rPr>
          <w:rFonts w:hint="eastAsia" w:ascii="宋体" w:hAnsi="宋体" w:eastAsia="宋体" w:cs="宋体"/>
          <w:b/>
          <w:sz w:val="28"/>
          <w:szCs w:val="28"/>
        </w:rPr>
        <w:t>1.4 论文工作内容及结构安排</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_Toc26139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443C0AC1">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1.4.1 论文工作内容</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_Toc31979 </w:instrText>
      </w:r>
      <w:r>
        <w:rPr>
          <w:rFonts w:hint="eastAsia" w:ascii="宋体" w:hAnsi="宋体" w:eastAsia="宋体" w:cs="宋体"/>
          <w:sz w:val="28"/>
          <w:szCs w:val="28"/>
        </w:rPr>
        <w:fldChar w:fldCharType="separate"/>
      </w:r>
      <w:r>
        <w:rPr>
          <w:rFonts w:ascii="宋体" w:hAnsi="宋体" w:eastAsia="宋体" w:cs="宋体"/>
          <w:sz w:val="28"/>
          <w:szCs w:val="28"/>
        </w:rPr>
        <w:t>1</w:t>
      </w:r>
      <w:r>
        <w:rPr>
          <w:rFonts w:hint="eastAsia" w:ascii="宋体" w:hAnsi="宋体" w:eastAsia="宋体" w:cs="宋体"/>
          <w:sz w:val="28"/>
          <w:szCs w:val="28"/>
        </w:rPr>
        <w:fldChar w:fldCharType="end"/>
      </w:r>
    </w:p>
    <w:p w14:paraId="517F9CB5">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1.4.2 论文结构安排</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_Toc23988 </w:instrText>
      </w:r>
      <w:r>
        <w:rPr>
          <w:rFonts w:hint="eastAsia" w:ascii="宋体" w:hAnsi="宋体" w:eastAsia="宋体" w:cs="宋体"/>
          <w:sz w:val="28"/>
          <w:szCs w:val="28"/>
        </w:rPr>
        <w:fldChar w:fldCharType="separate"/>
      </w:r>
      <w:r>
        <w:rPr>
          <w:rFonts w:ascii="宋体" w:hAnsi="宋体" w:eastAsia="宋体" w:cs="宋体"/>
          <w:sz w:val="28"/>
          <w:szCs w:val="28"/>
        </w:rPr>
        <w:t>2</w:t>
      </w:r>
      <w:r>
        <w:rPr>
          <w:rFonts w:hint="eastAsia" w:ascii="宋体" w:hAnsi="宋体" w:eastAsia="宋体" w:cs="宋体"/>
          <w:sz w:val="28"/>
          <w:szCs w:val="28"/>
        </w:rPr>
        <w:fldChar w:fldCharType="end"/>
      </w:r>
    </w:p>
    <w:p w14:paraId="4E825FB2">
      <w:pPr>
        <w:pStyle w:val="17"/>
        <w:tabs>
          <w:tab w:val="right" w:leader="dot" w:pos="8306"/>
        </w:tabs>
        <w:spacing w:before="0" w:after="0" w:line="500" w:lineRule="exact"/>
      </w:pPr>
      <w:r>
        <w:rPr>
          <w:rFonts w:hint="eastAsia" w:ascii="黑体" w:hAnsi="黑体" w:eastAsia="黑体" w:cs="黑体"/>
          <w:b/>
          <w:sz w:val="28"/>
          <w:szCs w:val="28"/>
        </w:rPr>
        <w:t xml:space="preserve">第二章 </w:t>
      </w:r>
      <w:r>
        <w:rPr>
          <w:rFonts w:hint="eastAsia" w:ascii="黑体" w:hAnsi="黑体" w:eastAsia="黑体" w:cs="黑体"/>
          <w:b/>
          <w:sz w:val="28"/>
          <w:szCs w:val="28"/>
          <w:lang w:val="en-US" w:eastAsia="zh-CN"/>
        </w:rPr>
        <w:t>相关理论及技术综述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_Toc10582 </w:instrText>
      </w:r>
      <w:r>
        <w:rPr>
          <w:rFonts w:hint="eastAsia" w:ascii="黑体" w:hAnsi="黑体" w:eastAsia="黑体" w:cs="黑体"/>
          <w:bCs/>
          <w:sz w:val="28"/>
          <w:szCs w:val="28"/>
        </w:rPr>
        <w:fldChar w:fldCharType="separate"/>
      </w:r>
      <w:r>
        <w:rPr>
          <w:rFonts w:ascii="黑体" w:hAnsi="黑体" w:eastAsia="黑体" w:cs="黑体"/>
          <w:bCs/>
          <w:sz w:val="28"/>
          <w:szCs w:val="28"/>
        </w:rPr>
        <w:t>3</w:t>
      </w:r>
      <w:r>
        <w:rPr>
          <w:rFonts w:hint="eastAsia" w:ascii="黑体" w:hAnsi="黑体" w:eastAsia="黑体" w:cs="黑体"/>
          <w:bCs/>
          <w:sz w:val="28"/>
          <w:szCs w:val="28"/>
        </w:rPr>
        <w:fldChar w:fldCharType="end"/>
      </w:r>
    </w:p>
    <w:p w14:paraId="6003B7FA">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2.1 开发所需技术</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_Toc9066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0F9E72FE">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2.2 SSM框架介绍</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_Toc26997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51144315">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2.3 Java简述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_Toc22772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5C8132C8">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2.4 相关数据库简述与实现方法</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_Toc27201 </w:instrText>
      </w:r>
      <w:r>
        <w:rPr>
          <w:rFonts w:hint="eastAsia" w:ascii="宋体" w:hAnsi="宋体" w:eastAsia="宋体" w:cs="宋体"/>
          <w:bCs/>
          <w:sz w:val="28"/>
          <w:szCs w:val="28"/>
        </w:rPr>
        <w:fldChar w:fldCharType="separate"/>
      </w:r>
      <w:r>
        <w:rPr>
          <w:rFonts w:ascii="宋体" w:hAnsi="宋体" w:eastAsia="宋体" w:cs="宋体"/>
          <w:bCs/>
          <w:sz w:val="28"/>
          <w:szCs w:val="28"/>
        </w:rPr>
        <w:t>4</w:t>
      </w:r>
      <w:r>
        <w:rPr>
          <w:rFonts w:hint="eastAsia" w:ascii="宋体" w:hAnsi="宋体" w:eastAsia="宋体" w:cs="宋体"/>
          <w:bCs/>
          <w:sz w:val="28"/>
          <w:szCs w:val="28"/>
        </w:rPr>
        <w:fldChar w:fldCharType="end"/>
      </w:r>
    </w:p>
    <w:p w14:paraId="53C5B44D">
      <w:pPr>
        <w:pStyle w:val="19"/>
        <w:tabs>
          <w:tab w:val="right" w:leader="dot" w:pos="8306"/>
        </w:tabs>
        <w:spacing w:before="0" w:after="0" w:line="500" w:lineRule="exact"/>
        <w:ind w:left="0" w:leftChars="0" w:firstLine="280" w:firstLineChars="100"/>
        <w:jc w:val="left"/>
      </w:pPr>
      <w:r>
        <w:rPr>
          <w:rFonts w:hint="eastAsia" w:ascii="宋体" w:hAnsi="宋体" w:eastAsia="宋体" w:cs="宋体"/>
          <w:b/>
          <w:sz w:val="28"/>
          <w:szCs w:val="28"/>
        </w:rPr>
        <w:t>2.5 开发平台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_Toc26856 </w:instrText>
      </w:r>
      <w:r>
        <w:rPr>
          <w:rFonts w:hint="eastAsia" w:ascii="宋体" w:hAnsi="宋体" w:eastAsia="宋体" w:cs="宋体"/>
          <w:bCs/>
          <w:sz w:val="28"/>
          <w:szCs w:val="28"/>
        </w:rPr>
        <w:fldChar w:fldCharType="separate"/>
      </w:r>
      <w:r>
        <w:rPr>
          <w:rFonts w:ascii="宋体" w:hAnsi="宋体" w:eastAsia="宋体" w:cs="宋体"/>
          <w:bCs/>
          <w:sz w:val="28"/>
          <w:szCs w:val="28"/>
        </w:rPr>
        <w:t>4</w:t>
      </w:r>
      <w:r>
        <w:rPr>
          <w:rFonts w:hint="eastAsia" w:ascii="宋体" w:hAnsi="宋体" w:eastAsia="宋体" w:cs="宋体"/>
          <w:bCs/>
          <w:sz w:val="28"/>
          <w:szCs w:val="28"/>
        </w:rPr>
        <w:fldChar w:fldCharType="end"/>
      </w:r>
    </w:p>
    <w:p w14:paraId="2D0B19C8">
      <w:pPr>
        <w:pStyle w:val="17"/>
        <w:tabs>
          <w:tab w:val="right" w:leader="dot" w:pos="8306"/>
        </w:tabs>
        <w:spacing w:before="0" w:after="0" w:line="500" w:lineRule="exact"/>
      </w:pPr>
      <w:r>
        <w:rPr>
          <w:rFonts w:hint="eastAsia" w:ascii="黑体" w:hAnsi="黑体" w:eastAsia="黑体" w:cs="黑体"/>
          <w:b/>
          <w:sz w:val="28"/>
          <w:szCs w:val="28"/>
        </w:rPr>
        <w:t>第三章 基于SpringCloud的食品安全溯源系统需求分析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_Toc8062 </w:instrText>
      </w:r>
      <w:r>
        <w:rPr>
          <w:rFonts w:hint="eastAsia" w:ascii="黑体" w:hAnsi="黑体" w:eastAsia="黑体" w:cs="黑体"/>
          <w:bCs/>
          <w:sz w:val="28"/>
          <w:szCs w:val="28"/>
        </w:rPr>
        <w:fldChar w:fldCharType="separate"/>
      </w:r>
      <w:r>
        <w:rPr>
          <w:rFonts w:ascii="黑体" w:hAnsi="黑体" w:eastAsia="黑体" w:cs="黑体"/>
          <w:bCs/>
          <w:sz w:val="28"/>
          <w:szCs w:val="28"/>
        </w:rPr>
        <w:t>5</w:t>
      </w:r>
      <w:r>
        <w:rPr>
          <w:rFonts w:hint="eastAsia" w:ascii="黑体" w:hAnsi="黑体" w:eastAsia="黑体" w:cs="黑体"/>
          <w:bCs/>
          <w:sz w:val="28"/>
          <w:szCs w:val="28"/>
        </w:rPr>
        <w:fldChar w:fldCharType="end"/>
      </w:r>
    </w:p>
    <w:p w14:paraId="3CD3C747">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3.1概述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_Toc17807 </w:instrText>
      </w:r>
      <w:r>
        <w:rPr>
          <w:rFonts w:hint="eastAsia" w:ascii="宋体" w:hAnsi="宋体" w:eastAsia="宋体" w:cs="宋体"/>
          <w:bCs/>
          <w:sz w:val="28"/>
          <w:szCs w:val="28"/>
        </w:rPr>
        <w:fldChar w:fldCharType="separate"/>
      </w:r>
      <w:r>
        <w:rPr>
          <w:rFonts w:ascii="宋体" w:hAnsi="宋体" w:eastAsia="宋体" w:cs="宋体"/>
          <w:bCs/>
          <w:sz w:val="28"/>
          <w:szCs w:val="28"/>
        </w:rPr>
        <w:t>5</w:t>
      </w:r>
      <w:r>
        <w:rPr>
          <w:rFonts w:hint="eastAsia" w:ascii="宋体" w:hAnsi="宋体" w:eastAsia="宋体" w:cs="宋体"/>
          <w:bCs/>
          <w:sz w:val="28"/>
          <w:szCs w:val="28"/>
        </w:rPr>
        <w:fldChar w:fldCharType="end"/>
      </w:r>
    </w:p>
    <w:p w14:paraId="7A2963B4">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3.2系统需求分析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_Toc4499 </w:instrText>
      </w:r>
      <w:r>
        <w:rPr>
          <w:rFonts w:hint="eastAsia" w:ascii="宋体" w:hAnsi="宋体" w:eastAsia="宋体" w:cs="宋体"/>
          <w:bCs/>
          <w:sz w:val="28"/>
          <w:szCs w:val="28"/>
        </w:rPr>
        <w:fldChar w:fldCharType="separate"/>
      </w:r>
      <w:r>
        <w:rPr>
          <w:rFonts w:ascii="宋体" w:hAnsi="宋体" w:eastAsia="宋体" w:cs="宋体"/>
          <w:bCs/>
          <w:sz w:val="28"/>
          <w:szCs w:val="28"/>
        </w:rPr>
        <w:t>5</w:t>
      </w:r>
      <w:r>
        <w:rPr>
          <w:rFonts w:hint="eastAsia" w:ascii="宋体" w:hAnsi="宋体" w:eastAsia="宋体" w:cs="宋体"/>
          <w:bCs/>
          <w:sz w:val="28"/>
          <w:szCs w:val="28"/>
        </w:rPr>
        <w:fldChar w:fldCharType="end"/>
      </w:r>
    </w:p>
    <w:p w14:paraId="1A7D72F8">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3.3业务流程分析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_Toc24531 </w:instrText>
      </w:r>
      <w:r>
        <w:rPr>
          <w:rFonts w:hint="eastAsia" w:ascii="宋体" w:hAnsi="宋体" w:eastAsia="宋体" w:cs="宋体"/>
          <w:bCs/>
          <w:sz w:val="28"/>
          <w:szCs w:val="28"/>
        </w:rPr>
        <w:fldChar w:fldCharType="separate"/>
      </w:r>
      <w:r>
        <w:rPr>
          <w:rFonts w:ascii="宋体" w:hAnsi="宋体" w:eastAsia="宋体" w:cs="宋体"/>
          <w:bCs/>
          <w:sz w:val="28"/>
          <w:szCs w:val="28"/>
        </w:rPr>
        <w:t>6</w:t>
      </w:r>
      <w:r>
        <w:rPr>
          <w:rFonts w:hint="eastAsia" w:ascii="宋体" w:hAnsi="宋体" w:eastAsia="宋体" w:cs="宋体"/>
          <w:bCs/>
          <w:sz w:val="28"/>
          <w:szCs w:val="28"/>
        </w:rPr>
        <w:fldChar w:fldCharType="end"/>
      </w:r>
    </w:p>
    <w:p w14:paraId="418DFA4D">
      <w:pPr>
        <w:pStyle w:val="19"/>
        <w:tabs>
          <w:tab w:val="right" w:leader="dot" w:pos="8306"/>
        </w:tabs>
        <w:spacing w:before="0" w:after="0" w:line="500" w:lineRule="exact"/>
        <w:ind w:left="0" w:leftChars="0" w:firstLine="280" w:firstLineChars="100"/>
      </w:pPr>
      <w:r>
        <w:rPr>
          <w:rFonts w:hint="eastAsia" w:ascii="宋体" w:hAnsi="宋体" w:eastAsia="宋体" w:cs="宋体"/>
          <w:b/>
          <w:sz w:val="28"/>
          <w:szCs w:val="28"/>
        </w:rPr>
        <w:t>3.4可行性分析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_Toc22365 </w:instrText>
      </w:r>
      <w:r>
        <w:rPr>
          <w:rFonts w:hint="eastAsia" w:ascii="宋体" w:hAnsi="宋体" w:eastAsia="宋体" w:cs="宋体"/>
          <w:bCs/>
          <w:sz w:val="28"/>
          <w:szCs w:val="28"/>
        </w:rPr>
        <w:fldChar w:fldCharType="separate"/>
      </w:r>
      <w:r>
        <w:rPr>
          <w:rFonts w:ascii="宋体" w:hAnsi="宋体" w:eastAsia="宋体" w:cs="宋体"/>
          <w:bCs/>
          <w:sz w:val="28"/>
          <w:szCs w:val="28"/>
        </w:rPr>
        <w:t>7</w:t>
      </w:r>
      <w:r>
        <w:rPr>
          <w:rFonts w:hint="eastAsia" w:ascii="宋体" w:hAnsi="宋体" w:eastAsia="宋体" w:cs="宋体"/>
          <w:bCs/>
          <w:sz w:val="28"/>
          <w:szCs w:val="28"/>
        </w:rPr>
        <w:fldChar w:fldCharType="end"/>
      </w:r>
    </w:p>
    <w:p w14:paraId="49DC74EE">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3.4.1 技术可行性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_Toc7759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666D3728">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3.4.2 操作可行性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_Toc887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4FCE58F6">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3.4.3 经济可行性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_Toc7670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02E7B9E1">
      <w:pPr>
        <w:pStyle w:val="10"/>
        <w:tabs>
          <w:tab w:val="right" w:leader="dot" w:pos="8306"/>
        </w:tabs>
        <w:spacing w:line="500" w:lineRule="exact"/>
        <w:ind w:left="0" w:leftChars="0" w:firstLine="560" w:firstLineChars="200"/>
        <w:jc w:val="left"/>
      </w:pPr>
      <w:r>
        <w:rPr>
          <w:rFonts w:hint="eastAsia" w:ascii="宋体" w:hAnsi="宋体" w:eastAsia="宋体" w:cs="宋体"/>
          <w:sz w:val="28"/>
          <w:szCs w:val="28"/>
        </w:rPr>
        <w:t>3.4.4 社会可行性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_Toc18626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77A0207B">
      <w:pPr>
        <w:pStyle w:val="17"/>
        <w:tabs>
          <w:tab w:val="right" w:leader="dot" w:pos="8306"/>
        </w:tabs>
        <w:spacing w:before="0" w:after="0" w:line="500" w:lineRule="exact"/>
      </w:pPr>
      <w:r>
        <w:rPr>
          <w:rFonts w:hint="eastAsia" w:ascii="黑体" w:hAnsi="黑体" w:eastAsia="黑体" w:cs="黑体"/>
          <w:b/>
          <w:sz w:val="28"/>
          <w:szCs w:val="28"/>
        </w:rPr>
        <w:t>第四章 基于SpringCloud的食品安全溯源系统设计</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_Toc4344 </w:instrText>
      </w:r>
      <w:r>
        <w:rPr>
          <w:rFonts w:hint="eastAsia" w:ascii="黑体" w:hAnsi="黑体" w:eastAsia="黑体" w:cs="黑体"/>
          <w:bCs/>
          <w:sz w:val="28"/>
          <w:szCs w:val="28"/>
        </w:rPr>
        <w:fldChar w:fldCharType="separate"/>
      </w:r>
      <w:r>
        <w:rPr>
          <w:rFonts w:ascii="黑体" w:hAnsi="黑体" w:eastAsia="黑体" w:cs="黑体"/>
          <w:bCs/>
          <w:sz w:val="28"/>
          <w:szCs w:val="28"/>
        </w:rPr>
        <w:t>8</w:t>
      </w:r>
      <w:r>
        <w:rPr>
          <w:rFonts w:hint="eastAsia" w:ascii="黑体" w:hAnsi="黑体" w:eastAsia="黑体" w:cs="黑体"/>
          <w:bCs/>
          <w:sz w:val="28"/>
          <w:szCs w:val="28"/>
        </w:rPr>
        <w:fldChar w:fldCharType="end"/>
      </w:r>
    </w:p>
    <w:p w14:paraId="3D8C872C">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4.1系统设计目标与职责</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_Toc30774 </w:instrText>
      </w:r>
      <w:r>
        <w:rPr>
          <w:rFonts w:hint="eastAsia" w:ascii="宋体" w:hAnsi="宋体" w:eastAsia="宋体" w:cs="宋体"/>
          <w:bCs/>
          <w:sz w:val="28"/>
          <w:szCs w:val="28"/>
        </w:rPr>
        <w:fldChar w:fldCharType="separate"/>
      </w:r>
      <w:r>
        <w:rPr>
          <w:rFonts w:ascii="宋体" w:hAnsi="宋体" w:eastAsia="宋体" w:cs="宋体"/>
          <w:bCs/>
          <w:sz w:val="28"/>
          <w:szCs w:val="28"/>
        </w:rPr>
        <w:t>8</w:t>
      </w:r>
      <w:r>
        <w:rPr>
          <w:rFonts w:hint="eastAsia" w:ascii="宋体" w:hAnsi="宋体" w:eastAsia="宋体" w:cs="宋体"/>
          <w:bCs/>
          <w:sz w:val="28"/>
          <w:szCs w:val="28"/>
        </w:rPr>
        <w:fldChar w:fldCharType="end"/>
      </w:r>
    </w:p>
    <w:p w14:paraId="3D067843">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4.2系统总体设计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_Toc30157 </w:instrText>
      </w:r>
      <w:r>
        <w:rPr>
          <w:rFonts w:hint="eastAsia" w:ascii="宋体" w:hAnsi="宋体" w:eastAsia="宋体" w:cs="宋体"/>
          <w:bCs/>
          <w:sz w:val="28"/>
          <w:szCs w:val="28"/>
        </w:rPr>
        <w:fldChar w:fldCharType="separate"/>
      </w:r>
      <w:r>
        <w:rPr>
          <w:rFonts w:ascii="宋体" w:hAnsi="宋体" w:eastAsia="宋体" w:cs="宋体"/>
          <w:bCs/>
          <w:sz w:val="28"/>
          <w:szCs w:val="28"/>
        </w:rPr>
        <w:t>8</w:t>
      </w:r>
      <w:r>
        <w:rPr>
          <w:rFonts w:hint="eastAsia" w:ascii="宋体" w:hAnsi="宋体" w:eastAsia="宋体" w:cs="宋体"/>
          <w:bCs/>
          <w:sz w:val="28"/>
          <w:szCs w:val="28"/>
        </w:rPr>
        <w:fldChar w:fldCharType="end"/>
      </w:r>
    </w:p>
    <w:p w14:paraId="15D7CEA5">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4.3软件设计步骤</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_Toc19015 </w:instrText>
      </w:r>
      <w:r>
        <w:rPr>
          <w:rFonts w:hint="eastAsia" w:ascii="宋体" w:hAnsi="宋体" w:eastAsia="宋体" w:cs="宋体"/>
          <w:bCs/>
          <w:sz w:val="28"/>
          <w:szCs w:val="28"/>
        </w:rPr>
        <w:fldChar w:fldCharType="separate"/>
      </w:r>
      <w:r>
        <w:rPr>
          <w:rFonts w:ascii="宋体" w:hAnsi="宋体" w:eastAsia="宋体" w:cs="宋体"/>
          <w:bCs/>
          <w:sz w:val="28"/>
          <w:szCs w:val="28"/>
        </w:rPr>
        <w:t>9</w:t>
      </w:r>
      <w:r>
        <w:rPr>
          <w:rFonts w:hint="eastAsia" w:ascii="宋体" w:hAnsi="宋体" w:eastAsia="宋体" w:cs="宋体"/>
          <w:bCs/>
          <w:sz w:val="28"/>
          <w:szCs w:val="28"/>
        </w:rPr>
        <w:fldChar w:fldCharType="end"/>
      </w:r>
    </w:p>
    <w:p w14:paraId="7078FF64">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4.4功能结构设计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_Toc28553 </w:instrText>
      </w:r>
      <w:r>
        <w:rPr>
          <w:rFonts w:hint="eastAsia" w:ascii="宋体" w:hAnsi="宋体" w:eastAsia="宋体" w:cs="宋体"/>
          <w:bCs/>
          <w:sz w:val="28"/>
          <w:szCs w:val="28"/>
        </w:rPr>
        <w:fldChar w:fldCharType="separate"/>
      </w:r>
      <w:r>
        <w:rPr>
          <w:rFonts w:ascii="宋体" w:hAnsi="宋体" w:eastAsia="宋体" w:cs="宋体"/>
          <w:bCs/>
          <w:sz w:val="28"/>
          <w:szCs w:val="28"/>
        </w:rPr>
        <w:t>10</w:t>
      </w:r>
      <w:r>
        <w:rPr>
          <w:rFonts w:hint="eastAsia" w:ascii="宋体" w:hAnsi="宋体" w:eastAsia="宋体" w:cs="宋体"/>
          <w:bCs/>
          <w:sz w:val="28"/>
          <w:szCs w:val="28"/>
        </w:rPr>
        <w:fldChar w:fldCharType="end"/>
      </w:r>
    </w:p>
    <w:p w14:paraId="75D922DB">
      <w:pPr>
        <w:pStyle w:val="19"/>
        <w:tabs>
          <w:tab w:val="right" w:leader="dot" w:pos="8306"/>
        </w:tabs>
        <w:spacing w:before="0" w:after="0" w:line="500" w:lineRule="exact"/>
        <w:ind w:left="0" w:leftChars="0" w:firstLine="280" w:firstLineChars="100"/>
        <w:jc w:val="left"/>
        <w:rPr>
          <w:rFonts w:ascii="宋体" w:hAnsi="宋体" w:eastAsia="宋体" w:cs="宋体"/>
          <w:sz w:val="28"/>
          <w:szCs w:val="28"/>
        </w:rPr>
      </w:pPr>
      <w:r>
        <w:rPr>
          <w:rFonts w:hint="eastAsia" w:ascii="宋体" w:hAnsi="宋体" w:eastAsia="宋体" w:cs="宋体"/>
          <w:b/>
          <w:sz w:val="28"/>
          <w:szCs w:val="28"/>
        </w:rPr>
        <w:t>4.5数据库设计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_Toc14434 </w:instrText>
      </w:r>
      <w:r>
        <w:rPr>
          <w:rFonts w:hint="eastAsia" w:ascii="宋体" w:hAnsi="宋体" w:eastAsia="宋体" w:cs="宋体"/>
          <w:bCs/>
          <w:sz w:val="28"/>
          <w:szCs w:val="28"/>
        </w:rPr>
        <w:fldChar w:fldCharType="separate"/>
      </w:r>
      <w:r>
        <w:rPr>
          <w:rFonts w:ascii="宋体" w:hAnsi="宋体" w:eastAsia="宋体" w:cs="宋体"/>
          <w:bCs/>
          <w:sz w:val="28"/>
          <w:szCs w:val="28"/>
        </w:rPr>
        <w:t>10</w:t>
      </w:r>
      <w:r>
        <w:rPr>
          <w:rFonts w:hint="eastAsia" w:ascii="宋体" w:hAnsi="宋体" w:eastAsia="宋体" w:cs="宋体"/>
          <w:bCs/>
          <w:sz w:val="28"/>
          <w:szCs w:val="28"/>
        </w:rPr>
        <w:fldChar w:fldCharType="end"/>
      </w:r>
    </w:p>
    <w:p w14:paraId="4B646D4F">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4.5.1 E-R图</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_Toc4586 </w:instrText>
      </w:r>
      <w:r>
        <w:rPr>
          <w:rFonts w:hint="eastAsia" w:ascii="宋体" w:hAnsi="宋体" w:eastAsia="宋体" w:cs="宋体"/>
          <w:sz w:val="28"/>
          <w:szCs w:val="28"/>
        </w:rPr>
        <w:fldChar w:fldCharType="separate"/>
      </w:r>
      <w:r>
        <w:rPr>
          <w:rFonts w:ascii="宋体" w:hAnsi="宋体" w:eastAsia="宋体" w:cs="宋体"/>
          <w:sz w:val="28"/>
          <w:szCs w:val="28"/>
        </w:rPr>
        <w:t>10</w:t>
      </w:r>
      <w:r>
        <w:rPr>
          <w:rFonts w:hint="eastAsia" w:ascii="宋体" w:hAnsi="宋体" w:eastAsia="宋体" w:cs="宋体"/>
          <w:sz w:val="28"/>
          <w:szCs w:val="28"/>
        </w:rPr>
        <w:fldChar w:fldCharType="end"/>
      </w:r>
    </w:p>
    <w:p w14:paraId="034B3ED3">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bCs/>
          <w:sz w:val="28"/>
          <w:szCs w:val="28"/>
        </w:rPr>
        <w:t>4.5.2数据表结构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_Toc3912 </w:instrText>
      </w:r>
      <w:r>
        <w:rPr>
          <w:rFonts w:hint="eastAsia" w:ascii="宋体" w:hAnsi="宋体" w:eastAsia="宋体" w:cs="宋体"/>
          <w:sz w:val="28"/>
          <w:szCs w:val="28"/>
        </w:rPr>
        <w:fldChar w:fldCharType="separate"/>
      </w:r>
      <w:r>
        <w:rPr>
          <w:rFonts w:ascii="宋体" w:hAnsi="宋体" w:eastAsia="宋体" w:cs="宋体"/>
          <w:sz w:val="28"/>
          <w:szCs w:val="28"/>
        </w:rPr>
        <w:t>10</w:t>
      </w:r>
      <w:r>
        <w:rPr>
          <w:rFonts w:hint="eastAsia" w:ascii="宋体" w:hAnsi="宋体" w:eastAsia="宋体" w:cs="宋体"/>
          <w:sz w:val="28"/>
          <w:szCs w:val="28"/>
        </w:rPr>
        <w:fldChar w:fldCharType="end"/>
      </w:r>
    </w:p>
    <w:p w14:paraId="64F7C8AB">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4.5.3数据ER</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_Toc18111 </w:instrText>
      </w:r>
      <w:r>
        <w:rPr>
          <w:rFonts w:hint="eastAsia" w:ascii="宋体" w:hAnsi="宋体" w:eastAsia="宋体" w:cs="宋体"/>
          <w:sz w:val="28"/>
          <w:szCs w:val="28"/>
        </w:rPr>
        <w:fldChar w:fldCharType="separate"/>
      </w:r>
      <w:r>
        <w:rPr>
          <w:rFonts w:ascii="宋体" w:hAnsi="宋体" w:eastAsia="宋体" w:cs="宋体"/>
          <w:sz w:val="28"/>
          <w:szCs w:val="28"/>
        </w:rPr>
        <w:t>13</w:t>
      </w:r>
      <w:r>
        <w:rPr>
          <w:rFonts w:hint="eastAsia" w:ascii="宋体" w:hAnsi="宋体" w:eastAsia="宋体" w:cs="宋体"/>
          <w:sz w:val="28"/>
          <w:szCs w:val="28"/>
        </w:rPr>
        <w:fldChar w:fldCharType="end"/>
      </w:r>
    </w:p>
    <w:p w14:paraId="68F26636">
      <w:pPr>
        <w:pStyle w:val="17"/>
        <w:tabs>
          <w:tab w:val="right" w:leader="dot" w:pos="8306"/>
        </w:tabs>
        <w:spacing w:before="0" w:after="0" w:line="500" w:lineRule="exact"/>
        <w:jc w:val="left"/>
        <w:rPr>
          <w:rFonts w:ascii="黑体" w:hAnsi="黑体" w:eastAsia="黑体" w:cs="黑体"/>
          <w:b/>
          <w:sz w:val="28"/>
          <w:szCs w:val="28"/>
        </w:rPr>
      </w:pPr>
      <w:r>
        <w:rPr>
          <w:rFonts w:hint="eastAsia" w:ascii="黑体" w:hAnsi="黑体" w:eastAsia="黑体" w:cs="黑体"/>
          <w:b/>
          <w:sz w:val="28"/>
          <w:szCs w:val="28"/>
        </w:rPr>
        <w:t>第五章 学生信息管理系统功能模块实现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_Toc26965 </w:instrText>
      </w:r>
      <w:r>
        <w:rPr>
          <w:rFonts w:hint="eastAsia" w:ascii="黑体" w:hAnsi="黑体" w:eastAsia="黑体" w:cs="黑体"/>
          <w:bCs/>
          <w:sz w:val="28"/>
          <w:szCs w:val="28"/>
        </w:rPr>
        <w:fldChar w:fldCharType="separate"/>
      </w:r>
      <w:r>
        <w:rPr>
          <w:rFonts w:ascii="黑体" w:hAnsi="黑体" w:eastAsia="黑体" w:cs="黑体"/>
          <w:bCs/>
          <w:sz w:val="28"/>
          <w:szCs w:val="28"/>
        </w:rPr>
        <w:t>15</w:t>
      </w:r>
      <w:r>
        <w:rPr>
          <w:rFonts w:hint="eastAsia" w:ascii="黑体" w:hAnsi="黑体" w:eastAsia="黑体" w:cs="黑体"/>
          <w:bCs/>
          <w:sz w:val="28"/>
          <w:szCs w:val="28"/>
        </w:rPr>
        <w:fldChar w:fldCharType="end"/>
      </w:r>
    </w:p>
    <w:p w14:paraId="11DD5813">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5.1学生信息管理系统首页</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_Toc24471 </w:instrText>
      </w:r>
      <w:r>
        <w:rPr>
          <w:rFonts w:hint="eastAsia" w:ascii="宋体" w:hAnsi="宋体" w:eastAsia="宋体" w:cs="宋体"/>
          <w:bCs/>
          <w:sz w:val="28"/>
          <w:szCs w:val="28"/>
        </w:rPr>
        <w:fldChar w:fldCharType="separate"/>
      </w:r>
      <w:r>
        <w:rPr>
          <w:rFonts w:ascii="宋体" w:hAnsi="宋体" w:eastAsia="宋体" w:cs="宋体"/>
          <w:bCs/>
          <w:sz w:val="28"/>
          <w:szCs w:val="28"/>
        </w:rPr>
        <w:t>15</w:t>
      </w:r>
      <w:r>
        <w:rPr>
          <w:rFonts w:hint="eastAsia" w:ascii="宋体" w:hAnsi="宋体" w:eastAsia="宋体" w:cs="宋体"/>
          <w:bCs/>
          <w:sz w:val="28"/>
          <w:szCs w:val="28"/>
        </w:rPr>
        <w:fldChar w:fldCharType="end"/>
      </w:r>
    </w:p>
    <w:p w14:paraId="37D63D4E">
      <w:pPr>
        <w:pStyle w:val="19"/>
        <w:tabs>
          <w:tab w:val="right" w:leader="dot" w:pos="8306"/>
        </w:tabs>
        <w:spacing w:before="0" w:after="0" w:line="500" w:lineRule="exact"/>
        <w:ind w:left="0" w:leftChars="0" w:firstLine="280" w:firstLineChars="100"/>
        <w:jc w:val="left"/>
        <w:rPr>
          <w:rFonts w:ascii="宋体" w:hAnsi="宋体" w:eastAsia="宋体" w:cs="宋体"/>
          <w:bCs/>
          <w:sz w:val="28"/>
          <w:szCs w:val="28"/>
        </w:rPr>
      </w:pPr>
      <w:r>
        <w:rPr>
          <w:rFonts w:hint="eastAsia" w:ascii="宋体" w:hAnsi="宋体" w:eastAsia="宋体" w:cs="宋体"/>
          <w:b/>
          <w:sz w:val="28"/>
          <w:szCs w:val="28"/>
        </w:rPr>
        <w:t>5.2基础信息管理界面</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_Toc30709 </w:instrText>
      </w:r>
      <w:r>
        <w:rPr>
          <w:rFonts w:hint="eastAsia" w:ascii="宋体" w:hAnsi="宋体" w:eastAsia="宋体" w:cs="宋体"/>
          <w:bCs/>
          <w:sz w:val="28"/>
          <w:szCs w:val="28"/>
        </w:rPr>
        <w:fldChar w:fldCharType="separate"/>
      </w:r>
      <w:r>
        <w:rPr>
          <w:rFonts w:ascii="宋体" w:hAnsi="宋体" w:eastAsia="宋体" w:cs="宋体"/>
          <w:bCs/>
          <w:sz w:val="28"/>
          <w:szCs w:val="28"/>
        </w:rPr>
        <w:t>18</w:t>
      </w:r>
      <w:r>
        <w:rPr>
          <w:rFonts w:hint="eastAsia" w:ascii="宋体" w:hAnsi="宋体" w:eastAsia="宋体" w:cs="宋体"/>
          <w:bCs/>
          <w:sz w:val="28"/>
          <w:szCs w:val="28"/>
        </w:rPr>
        <w:fldChar w:fldCharType="end"/>
      </w:r>
    </w:p>
    <w:p w14:paraId="1F555B82">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5.2.1  个人信息管理界面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_Toc15835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71CF13B1">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5.2.2  课程管理界面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_Toc32218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4C49DFA2">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5.2.3  录入教师信息界面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_Toc3261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3836DB4E">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5.2.4  录入学生成绩界面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_Toc10149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p>
    <w:p w14:paraId="39D5492A">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5.2.5  教师登录模块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_Toc9125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p>
    <w:p w14:paraId="5A63DEC8">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5.2.6  学生登录模块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_Toc7977 </w:instrText>
      </w:r>
      <w:r>
        <w:rPr>
          <w:rFonts w:hint="eastAsia" w:ascii="宋体" w:hAnsi="宋体" w:eastAsia="宋体" w:cs="宋体"/>
          <w:sz w:val="28"/>
          <w:szCs w:val="28"/>
        </w:rPr>
        <w:fldChar w:fldCharType="separate"/>
      </w:r>
      <w:r>
        <w:rPr>
          <w:rFonts w:ascii="宋体" w:hAnsi="宋体" w:eastAsia="宋体" w:cs="宋体"/>
          <w:sz w:val="28"/>
          <w:szCs w:val="28"/>
        </w:rPr>
        <w:t>22</w:t>
      </w:r>
      <w:r>
        <w:rPr>
          <w:rFonts w:hint="eastAsia" w:ascii="宋体" w:hAnsi="宋体" w:eastAsia="宋体" w:cs="宋体"/>
          <w:sz w:val="28"/>
          <w:szCs w:val="28"/>
        </w:rPr>
        <w:fldChar w:fldCharType="end"/>
      </w:r>
    </w:p>
    <w:p w14:paraId="20187D62">
      <w:pPr>
        <w:pStyle w:val="17"/>
        <w:tabs>
          <w:tab w:val="right" w:leader="dot" w:pos="8306"/>
        </w:tabs>
        <w:spacing w:before="0" w:after="0" w:line="500" w:lineRule="exact"/>
      </w:pPr>
      <w:r>
        <w:rPr>
          <w:rFonts w:hint="eastAsia" w:ascii="黑体" w:hAnsi="黑体" w:eastAsia="黑体" w:cs="黑体"/>
          <w:b/>
          <w:sz w:val="28"/>
          <w:szCs w:val="28"/>
        </w:rPr>
        <w:t>第六章 学生信息管理系统测试</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_Toc7428 </w:instrText>
      </w:r>
      <w:r>
        <w:rPr>
          <w:rFonts w:hint="eastAsia" w:ascii="黑体" w:hAnsi="黑体" w:eastAsia="黑体" w:cs="黑体"/>
          <w:bCs/>
          <w:sz w:val="28"/>
          <w:szCs w:val="28"/>
        </w:rPr>
        <w:fldChar w:fldCharType="separate"/>
      </w:r>
      <w:r>
        <w:rPr>
          <w:rFonts w:ascii="黑体" w:hAnsi="黑体" w:eastAsia="黑体" w:cs="黑体"/>
          <w:bCs/>
          <w:sz w:val="28"/>
          <w:szCs w:val="28"/>
        </w:rPr>
        <w:t>23</w:t>
      </w:r>
      <w:r>
        <w:rPr>
          <w:rFonts w:hint="eastAsia" w:ascii="黑体" w:hAnsi="黑体" w:eastAsia="黑体" w:cs="黑体"/>
          <w:bCs/>
          <w:sz w:val="28"/>
          <w:szCs w:val="28"/>
        </w:rPr>
        <w:fldChar w:fldCharType="end"/>
      </w:r>
    </w:p>
    <w:p w14:paraId="220B358E">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6.1 测试原则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_Toc21870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3FD177D5">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6.2 测试方法和环境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_Toc19633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04CAD159">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6.3 测试流程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_Toc8729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068953E1">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6.4 测试用例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_Toc23100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29DBA9D2">
      <w:pPr>
        <w:pStyle w:val="17"/>
        <w:tabs>
          <w:tab w:val="right" w:leader="dot" w:pos="8306"/>
        </w:tabs>
        <w:spacing w:before="0" w:after="0" w:line="500" w:lineRule="exact"/>
        <w:rPr>
          <w:rFonts w:ascii="黑体" w:hAnsi="黑体" w:eastAsia="黑体" w:cs="黑体"/>
          <w:b/>
          <w:bCs/>
          <w:sz w:val="28"/>
          <w:szCs w:val="28"/>
        </w:rPr>
      </w:pPr>
      <w:r>
        <w:rPr>
          <w:rFonts w:hint="eastAsia" w:ascii="黑体" w:hAnsi="黑体" w:eastAsia="黑体" w:cs="黑体"/>
          <w:b/>
          <w:bCs/>
          <w:sz w:val="28"/>
          <w:szCs w:val="28"/>
        </w:rPr>
        <w:t>第七章 结论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_Toc2802 </w:instrText>
      </w:r>
      <w:r>
        <w:rPr>
          <w:rFonts w:hint="eastAsia" w:ascii="黑体" w:hAnsi="黑体" w:eastAsia="黑体" w:cs="黑体"/>
          <w:sz w:val="28"/>
          <w:szCs w:val="28"/>
        </w:rPr>
        <w:fldChar w:fldCharType="separate"/>
      </w:r>
      <w:r>
        <w:rPr>
          <w:rFonts w:ascii="黑体" w:hAnsi="黑体" w:eastAsia="黑体" w:cs="黑体"/>
          <w:sz w:val="28"/>
          <w:szCs w:val="28"/>
        </w:rPr>
        <w:t>26</w:t>
      </w:r>
      <w:r>
        <w:rPr>
          <w:rFonts w:hint="eastAsia" w:ascii="黑体" w:hAnsi="黑体" w:eastAsia="黑体" w:cs="黑体"/>
          <w:sz w:val="28"/>
          <w:szCs w:val="28"/>
        </w:rPr>
        <w:fldChar w:fldCharType="end"/>
      </w:r>
    </w:p>
    <w:p w14:paraId="35C93C42">
      <w:pPr>
        <w:pStyle w:val="17"/>
        <w:tabs>
          <w:tab w:val="right" w:leader="dot" w:pos="8306"/>
        </w:tabs>
        <w:spacing w:before="0" w:after="0" w:line="500" w:lineRule="exact"/>
        <w:rPr>
          <w:rFonts w:ascii="黑体" w:hAnsi="黑体" w:eastAsia="黑体" w:cs="黑体"/>
          <w:b/>
          <w:bCs/>
          <w:sz w:val="28"/>
          <w:szCs w:val="28"/>
        </w:rPr>
      </w:pPr>
      <w:r>
        <w:rPr>
          <w:rFonts w:hint="eastAsia" w:ascii="黑体" w:hAnsi="黑体" w:eastAsia="黑体" w:cs="黑体"/>
          <w:b/>
          <w:bCs/>
          <w:sz w:val="28"/>
          <w:szCs w:val="28"/>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_Toc9953 </w:instrText>
      </w:r>
      <w:r>
        <w:rPr>
          <w:rFonts w:hint="eastAsia" w:ascii="黑体" w:hAnsi="黑体" w:eastAsia="黑体" w:cs="黑体"/>
          <w:sz w:val="28"/>
          <w:szCs w:val="28"/>
        </w:rPr>
        <w:fldChar w:fldCharType="separate"/>
      </w:r>
      <w:r>
        <w:rPr>
          <w:rFonts w:ascii="黑体" w:hAnsi="黑体" w:eastAsia="黑体" w:cs="黑体"/>
          <w:sz w:val="28"/>
          <w:szCs w:val="28"/>
        </w:rPr>
        <w:t>27</w:t>
      </w:r>
      <w:r>
        <w:rPr>
          <w:rFonts w:hint="eastAsia" w:ascii="黑体" w:hAnsi="黑体" w:eastAsia="黑体" w:cs="黑体"/>
          <w:sz w:val="28"/>
          <w:szCs w:val="28"/>
        </w:rPr>
        <w:fldChar w:fldCharType="end"/>
      </w:r>
    </w:p>
    <w:p w14:paraId="4F6D1E99">
      <w:pPr>
        <w:pStyle w:val="17"/>
        <w:tabs>
          <w:tab w:val="right" w:leader="dot" w:pos="8306"/>
        </w:tabs>
        <w:spacing w:before="0" w:after="0" w:line="500" w:lineRule="exact"/>
      </w:pPr>
      <w:r>
        <w:rPr>
          <w:rFonts w:hint="eastAsia" w:ascii="黑体" w:hAnsi="黑体" w:eastAsia="黑体" w:cs="黑体"/>
          <w:b/>
          <w:bCs/>
          <w:sz w:val="28"/>
          <w:szCs w:val="28"/>
        </w:rPr>
        <w:t>致谢</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_Toc23697 </w:instrText>
      </w:r>
      <w:r>
        <w:rPr>
          <w:rFonts w:hint="eastAsia" w:ascii="黑体" w:hAnsi="黑体" w:eastAsia="黑体" w:cs="黑体"/>
          <w:sz w:val="28"/>
          <w:szCs w:val="28"/>
        </w:rPr>
        <w:fldChar w:fldCharType="separate"/>
      </w:r>
      <w:r>
        <w:rPr>
          <w:rFonts w:ascii="黑体" w:hAnsi="黑体" w:eastAsia="黑体" w:cs="黑体"/>
          <w:sz w:val="28"/>
          <w:szCs w:val="28"/>
        </w:rPr>
        <w:t>28</w:t>
      </w:r>
      <w:r>
        <w:rPr>
          <w:rFonts w:hint="eastAsia" w:ascii="黑体" w:hAnsi="黑体" w:eastAsia="黑体" w:cs="黑体"/>
          <w:sz w:val="28"/>
          <w:szCs w:val="28"/>
        </w:rPr>
        <w:fldChar w:fldCharType="end"/>
      </w:r>
    </w:p>
    <w:p w14:paraId="27948997">
      <w:pPr>
        <w:pStyle w:val="2"/>
        <w:spacing w:line="500" w:lineRule="exact"/>
      </w:pPr>
      <w:r>
        <w:rPr>
          <w:rFonts w:hint="eastAsia"/>
        </w:rPr>
        <w:fldChar w:fldCharType="end"/>
      </w:r>
    </w:p>
    <w:p w14:paraId="7002FBFC">
      <w:pPr>
        <w:pStyle w:val="49"/>
        <w:numPr>
          <w:ilvl w:val="0"/>
          <w:numId w:val="1"/>
        </w:numPr>
        <w:spacing w:before="120" w:after="120" w:line="480" w:lineRule="auto"/>
        <w:rPr>
          <w:rFonts w:eastAsiaTheme="minorEastAsia"/>
          <w:b/>
        </w:rPr>
        <w:sectPr>
          <w:headerReference r:id="rId3" w:type="default"/>
          <w:pgSz w:w="11906" w:h="16838"/>
          <w:pgMar w:top="1440" w:right="1800" w:bottom="1440" w:left="1800" w:header="851" w:footer="992" w:gutter="0"/>
          <w:cols w:space="425" w:num="1"/>
          <w:docGrid w:type="lines" w:linePitch="312" w:charSpace="0"/>
        </w:sectPr>
      </w:pPr>
      <w:bookmarkStart w:id="2" w:name="_Toc5563"/>
    </w:p>
    <w:p w14:paraId="0F4D581E">
      <w:pPr>
        <w:pStyle w:val="49"/>
        <w:spacing w:before="0" w:after="0" w:line="400" w:lineRule="exact"/>
        <w:rPr>
          <w:b/>
          <w:bCs/>
        </w:rPr>
      </w:pPr>
    </w:p>
    <w:p w14:paraId="54D476AE">
      <w:pPr>
        <w:pStyle w:val="3"/>
        <w:numPr>
          <w:ilvl w:val="0"/>
          <w:numId w:val="2"/>
        </w:numPr>
        <w:bidi w:val="0"/>
        <w:ind w:left="425" w:leftChars="0" w:hanging="425" w:firstLineChars="0"/>
      </w:pPr>
      <w:bookmarkStart w:id="3" w:name="_Toc11110"/>
      <w:r>
        <w:rPr>
          <w:rFonts w:hint="eastAsia"/>
        </w:rPr>
        <w:t xml:space="preserve"> 绪论</w:t>
      </w:r>
      <w:bookmarkEnd w:id="2"/>
      <w:bookmarkEnd w:id="3"/>
    </w:p>
    <w:p w14:paraId="56DDA8AF">
      <w:pPr>
        <w:pStyle w:val="4"/>
        <w:numPr>
          <w:ilvl w:val="1"/>
          <w:numId w:val="3"/>
        </w:numPr>
        <w:bidi w:val="0"/>
        <w:ind w:left="567" w:leftChars="0" w:hanging="567" w:firstLineChars="0"/>
      </w:pPr>
      <w:bookmarkStart w:id="4" w:name="_Toc27535"/>
      <w:bookmarkStart w:id="5" w:name="_Toc29719"/>
      <w:r>
        <w:rPr>
          <w:rFonts w:hint="eastAsia"/>
        </w:rPr>
        <w:t>项目背景</w:t>
      </w:r>
      <w:bookmarkEnd w:id="4"/>
      <w:bookmarkEnd w:id="5"/>
    </w:p>
    <w:p w14:paraId="39723B7E">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spacing w:line="400" w:lineRule="exact"/>
        <w:ind w:firstLine="480" w:firstLineChars="200"/>
        <w:jc w:val="left"/>
        <w:rPr>
          <w:rFonts w:hint="eastAsia" w:ascii="宋体" w:hAnsi="宋体" w:eastAsia="宋体" w:cs="宋体"/>
          <w:sz w:val="24"/>
        </w:rPr>
      </w:pPr>
    </w:p>
    <w:p w14:paraId="2079472E">
      <w:pPr>
        <w:spacing w:line="400" w:lineRule="exact"/>
        <w:ind w:firstLine="480" w:firstLineChars="200"/>
        <w:jc w:val="left"/>
        <w:rPr>
          <w:rFonts w:ascii="宋体" w:hAnsi="宋体" w:eastAsia="宋体" w:cs="宋体"/>
          <w:sz w:val="24"/>
        </w:rPr>
      </w:pPr>
      <w:r>
        <w:rPr>
          <w:rFonts w:hint="eastAsia" w:ascii="宋体" w:hAnsi="宋体" w:eastAsia="宋体" w:cs="宋体"/>
          <w:sz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numPr>
          <w:ilvl w:val="1"/>
          <w:numId w:val="3"/>
        </w:numPr>
        <w:bidi w:val="0"/>
        <w:ind w:left="567" w:leftChars="0" w:hanging="567" w:firstLineChars="0"/>
      </w:pPr>
      <w:bookmarkStart w:id="6" w:name="_Toc1672"/>
      <w:bookmarkStart w:id="7" w:name="_Toc23542"/>
      <w:r>
        <w:rPr>
          <w:rFonts w:hint="eastAsia"/>
        </w:rPr>
        <w:t>项目目的和意义</w:t>
      </w:r>
      <w:bookmarkEnd w:id="6"/>
      <w:bookmarkEnd w:id="7"/>
    </w:p>
    <w:p w14:paraId="3E99FFC2">
      <w:pPr>
        <w:spacing w:line="400" w:lineRule="exact"/>
        <w:ind w:firstLine="480" w:firstLineChars="200"/>
        <w:jc w:val="left"/>
        <w:rPr>
          <w:rFonts w:hint="eastAsia" w:ascii="Times New Roman" w:hAnsi="Times New Roman"/>
          <w:sz w:val="24"/>
        </w:rPr>
      </w:pPr>
      <w:r>
        <w:rPr>
          <w:rFonts w:hint="eastAsia" w:ascii="Times New Roman" w:hAnsi="Times New Roman"/>
          <w:sz w:val="24"/>
        </w:rPr>
        <w:t>本课题旨在设计并实现一个面向食品安全监管机构的轻量级溯源系统，核心目标包括：</w:t>
      </w:r>
    </w:p>
    <w:p w14:paraId="3D5FAD64">
      <w:pPr>
        <w:spacing w:line="400" w:lineRule="exact"/>
        <w:ind w:firstLine="480" w:firstLineChars="200"/>
        <w:jc w:val="left"/>
        <w:rPr>
          <w:rFonts w:hint="eastAsia" w:ascii="Times New Roman" w:hAnsi="Times New Roman"/>
          <w:sz w:val="24"/>
        </w:rPr>
      </w:pPr>
    </w:p>
    <w:p w14:paraId="5FAC2336">
      <w:pPr>
        <w:spacing w:line="400" w:lineRule="exact"/>
        <w:ind w:firstLine="480" w:firstLineChars="200"/>
        <w:jc w:val="left"/>
        <w:rPr>
          <w:rFonts w:hint="eastAsia" w:ascii="Times New Roman" w:hAnsi="Times New Roman"/>
          <w:sz w:val="24"/>
        </w:rPr>
      </w:pPr>
      <w:r>
        <w:rPr>
          <w:rFonts w:hint="eastAsia" w:ascii="Times New Roman" w:hAnsi="Times New Roman"/>
          <w:sz w:val="24"/>
        </w:rPr>
        <w:t>（1）架构层面：采用 SpringBoot 单体架构设计，在保障系统完整性与可维护性的同时，显著降低部署门槛与资源消耗，使单台云服务器即可支撑地市级监管平台运行；</w:t>
      </w:r>
    </w:p>
    <w:p w14:paraId="0204DDFD">
      <w:pPr>
        <w:spacing w:line="400" w:lineRule="exact"/>
        <w:ind w:firstLine="480" w:firstLineChars="200"/>
        <w:jc w:val="left"/>
        <w:rPr>
          <w:rFonts w:hint="eastAsia" w:ascii="Times New Roman" w:hAnsi="Times New Roman"/>
          <w:sz w:val="24"/>
        </w:rPr>
      </w:pPr>
    </w:p>
    <w:p w14:paraId="1063CAC3">
      <w:pPr>
        <w:spacing w:line="400" w:lineRule="exact"/>
        <w:ind w:firstLine="480" w:firstLineChars="200"/>
        <w:jc w:val="left"/>
        <w:rPr>
          <w:rFonts w:hint="eastAsia" w:ascii="Times New Roman" w:hAnsi="Times New Roman"/>
          <w:sz w:val="24"/>
        </w:rPr>
      </w:pPr>
      <w:r>
        <w:rPr>
          <w:rFonts w:hint="eastAsia" w:ascii="Times New Roman" w:hAnsi="Times New Roman"/>
          <w:sz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spacing w:line="400" w:lineRule="exact"/>
        <w:ind w:firstLine="480" w:firstLineChars="200"/>
        <w:jc w:val="left"/>
        <w:rPr>
          <w:rFonts w:hint="eastAsia" w:ascii="Times New Roman" w:hAnsi="Times New Roman"/>
          <w:sz w:val="24"/>
        </w:rPr>
      </w:pPr>
    </w:p>
    <w:p w14:paraId="64F0E741">
      <w:pPr>
        <w:spacing w:line="400" w:lineRule="exact"/>
        <w:ind w:firstLine="480" w:firstLineChars="200"/>
        <w:jc w:val="left"/>
        <w:rPr>
          <w:rFonts w:hint="eastAsia" w:ascii="Times New Roman" w:hAnsi="Times New Roman"/>
          <w:sz w:val="24"/>
        </w:rPr>
      </w:pPr>
      <w:r>
        <w:rPr>
          <w:rFonts w:hint="eastAsia" w:ascii="Times New Roman" w:hAnsi="Times New Roman"/>
          <w:sz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spacing w:line="400" w:lineRule="exact"/>
        <w:ind w:firstLine="480" w:firstLineChars="200"/>
        <w:jc w:val="left"/>
        <w:rPr>
          <w:rFonts w:hint="eastAsia" w:ascii="Times New Roman" w:hAnsi="Times New Roman"/>
          <w:sz w:val="24"/>
        </w:rPr>
      </w:pPr>
    </w:p>
    <w:p w14:paraId="4187CB79">
      <w:pPr>
        <w:spacing w:line="400" w:lineRule="exact"/>
        <w:ind w:firstLine="480" w:firstLineChars="200"/>
        <w:jc w:val="left"/>
        <w:rPr>
          <w:rFonts w:hint="eastAsia" w:ascii="Times New Roman" w:hAnsi="Times New Roman"/>
          <w:sz w:val="24"/>
        </w:rPr>
      </w:pPr>
      <w:r>
        <w:rPr>
          <w:rFonts w:hint="eastAsia" w:ascii="Times New Roman" w:hAnsi="Times New Roman"/>
          <w:sz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spacing w:line="400" w:lineRule="exact"/>
        <w:ind w:firstLine="480" w:firstLineChars="200"/>
        <w:jc w:val="left"/>
        <w:rPr>
          <w:rFonts w:hint="eastAsia" w:ascii="Times New Roman" w:hAnsi="Times New Roman"/>
          <w:sz w:val="24"/>
        </w:rPr>
      </w:pPr>
    </w:p>
    <w:p w14:paraId="65B1F4D8">
      <w:pPr>
        <w:spacing w:line="400" w:lineRule="exact"/>
        <w:ind w:firstLine="480" w:firstLineChars="200"/>
        <w:jc w:val="left"/>
        <w:rPr>
          <w:rFonts w:hint="eastAsia" w:ascii="Times New Roman" w:hAnsi="Times New Roman"/>
          <w:sz w:val="24"/>
        </w:rPr>
      </w:pPr>
      <w:r>
        <w:rPr>
          <w:rFonts w:hint="eastAsia" w:ascii="Times New Roman" w:hAnsi="Times New Roman"/>
          <w:sz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numPr>
          <w:ilvl w:val="1"/>
          <w:numId w:val="3"/>
        </w:numPr>
        <w:bidi w:val="0"/>
        <w:ind w:left="567" w:leftChars="0" w:hanging="567" w:firstLineChars="0"/>
        <w:rPr>
          <w:rFonts w:hint="eastAsia"/>
        </w:rPr>
      </w:pPr>
      <w:bookmarkStart w:id="8" w:name="_Toc16076"/>
      <w:bookmarkStart w:id="9" w:name="_Toc8795"/>
      <w:r>
        <w:rPr>
          <w:rFonts w:hint="eastAsia"/>
        </w:rPr>
        <w:t>国内外研究现状</w:t>
      </w:r>
      <w:bookmarkEnd w:id="8"/>
      <w:bookmarkEnd w:id="9"/>
    </w:p>
    <w:p w14:paraId="4C8E30CB">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lang w:val="en-US" w:eastAsia="zh-CN"/>
        </w:rPr>
        <w:tab/>
      </w:r>
      <w:r>
        <w:rPr>
          <w:rFonts w:hint="eastAsia" w:ascii="宋体" w:hAnsi="宋体" w:eastAsia="宋体" w:cs="宋体"/>
          <w:sz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rPr>
        <w:t>相较而言，本课题在单体 SpringBoot 轻量化设计、纯 Java 规则引擎集成、WebSocket 驱动的实时监管可视化三个维度实现了实质性突破。</w:t>
      </w:r>
    </w:p>
    <w:p w14:paraId="7AAD7097">
      <w:pPr>
        <w:pStyle w:val="4"/>
        <w:numPr>
          <w:ilvl w:val="1"/>
          <w:numId w:val="3"/>
        </w:numPr>
        <w:bidi w:val="0"/>
        <w:ind w:left="567" w:leftChars="0" w:hanging="567" w:firstLineChars="0"/>
      </w:pPr>
      <w:bookmarkStart w:id="10" w:name="_Toc607"/>
      <w:bookmarkStart w:id="11" w:name="_Toc26139"/>
      <w:r>
        <w:rPr>
          <w:rFonts w:hint="eastAsia"/>
        </w:rPr>
        <w:t>论文工作内容及结构安排</w:t>
      </w:r>
      <w:bookmarkEnd w:id="10"/>
      <w:bookmarkEnd w:id="11"/>
    </w:p>
    <w:p w14:paraId="59F7C15D">
      <w:pPr>
        <w:pStyle w:val="5"/>
        <w:numPr>
          <w:ilvl w:val="2"/>
          <w:numId w:val="3"/>
        </w:numPr>
        <w:bidi w:val="0"/>
        <w:ind w:left="709" w:leftChars="0" w:hanging="709" w:firstLineChars="0"/>
      </w:pPr>
      <w:bookmarkStart w:id="12" w:name="_Toc268"/>
      <w:bookmarkStart w:id="13" w:name="_Toc31979"/>
      <w:r>
        <w:rPr>
          <w:rFonts w:hint="eastAsia"/>
        </w:rPr>
        <w:t>论文工作内容</w:t>
      </w:r>
      <w:bookmarkEnd w:id="12"/>
      <w:bookmarkEnd w:id="13"/>
    </w:p>
    <w:p w14:paraId="49594B2F">
      <w:pPr>
        <w:pStyle w:val="7"/>
        <w:spacing w:line="400" w:lineRule="exact"/>
        <w:ind w:firstLine="480" w:firstLineChars="200"/>
        <w:rPr>
          <w:rFonts w:hint="eastAsia" w:ascii="宋体" w:hAnsi="宋体" w:eastAsia="宋体" w:cs="宋体"/>
          <w:sz w:val="24"/>
        </w:rPr>
      </w:pPr>
      <w:bookmarkStart w:id="14" w:name="_Toc15685"/>
      <w:r>
        <w:rPr>
          <w:rFonts w:hint="eastAsia" w:ascii="宋体" w:hAnsi="宋体" w:eastAsia="宋体" w:cs="宋体"/>
          <w:sz w:val="24"/>
        </w:rPr>
        <w:t>本文围绕"基于 Spring</w:t>
      </w:r>
      <w:r>
        <w:rPr>
          <w:rFonts w:hint="eastAsia" w:ascii="宋体" w:hAnsi="宋体" w:eastAsia="宋体" w:cs="宋体"/>
          <w:sz w:val="24"/>
          <w:lang w:val="en-US" w:eastAsia="zh-CN"/>
        </w:rPr>
        <w:t>Cloud</w:t>
      </w:r>
      <w:r>
        <w:rPr>
          <w:rFonts w:hint="eastAsia" w:ascii="宋体" w:hAnsi="宋体" w:eastAsia="宋体" w:cs="宋体"/>
          <w:sz w:val="24"/>
        </w:rPr>
        <w:t xml:space="preserve"> 的食品安全溯源系统"展开全流程研究与实现，主要工作包括：</w:t>
      </w:r>
    </w:p>
    <w:p w14:paraId="395E064F">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（1）深入调研市场监管总局《食品生产经营风险分级管理办法》等政策文件及典型监管业务流程，完成面向监管者的核心需求提炼；</w:t>
      </w:r>
    </w:p>
    <w:p w14:paraId="0BEC6613">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（2）设计并实现 SpringBoot 单体架构，完成 JWT 认证鉴权、批次管理与溯源链查询、预警数据统计与分析等关键业务模块；</w:t>
      </w:r>
    </w:p>
    <w:p w14:paraId="38C5B917">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（3）基于 Java 原生实现 3σ 统计异常检测算法与加权规则风险评分算法，所有阈值参数化存储于数据库，通过 Spring TaskScheduler + 发布-订阅配置监听实现参数动态生效；</w:t>
      </w:r>
    </w:p>
    <w:p w14:paraId="199EF546">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（4）基于 Spring 原生 WebSocket 实现服务端主动推送，封装 TaskScheduler 驱动的实时大盘数据广播，前端 Vue3 订阅指定消息类型后触发视图自动刷新；</w:t>
      </w:r>
    </w:p>
    <w:p w14:paraId="2EB8879C">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（5）开发 Vue3 前端大屏，实现 ECharts 仪表盘、饼图、柱状图、趋势折线图的实时渲染与数据联动；</w:t>
      </w:r>
    </w:p>
    <w:p w14:paraId="1B399F20">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（6）基于 AOP 切面实现操作日志自动采集，完成系统功能测试与 WebSocket 通信验证，撰写符合学院规范的毕业论文。</w:t>
      </w:r>
    </w:p>
    <w:p w14:paraId="5989D003">
      <w:pPr>
        <w:pStyle w:val="5"/>
        <w:numPr>
          <w:ilvl w:val="2"/>
          <w:numId w:val="3"/>
        </w:numPr>
        <w:bidi w:val="0"/>
        <w:ind w:left="709" w:leftChars="0" w:hanging="709" w:firstLineChars="0"/>
      </w:pPr>
      <w:bookmarkStart w:id="15" w:name="_Toc23988"/>
      <w:r>
        <w:rPr>
          <w:rFonts w:hint="eastAsia"/>
        </w:rPr>
        <w:t>论文结构安排</w:t>
      </w:r>
      <w:bookmarkEnd w:id="14"/>
      <w:bookmarkEnd w:id="15"/>
    </w:p>
    <w:p w14:paraId="18D0C117">
      <w:pPr>
        <w:pStyle w:val="13"/>
        <w:spacing w:after="0" w:line="400" w:lineRule="exact"/>
        <w:ind w:left="0" w:leftChars="0" w:firstLine="480" w:firstLineChars="200"/>
        <w:jc w:val="left"/>
        <w:rPr>
          <w:rFonts w:ascii="宋体" w:hAnsi="宋体" w:eastAsia="宋体" w:cs="宋体"/>
          <w:sz w:val="24"/>
        </w:rPr>
      </w:pPr>
      <w:bookmarkStart w:id="16" w:name="_Toc25224"/>
      <w:r>
        <w:rPr>
          <w:rFonts w:hint="eastAsia" w:ascii="宋体" w:hAnsi="宋体" w:eastAsia="宋体" w:cs="宋体"/>
          <w:sz w:val="24"/>
        </w:rPr>
        <w:t>本文就基于SpringCloud的食品安全溯源系统的设计与实现做了简单的描述。具体的工作内容和模型的需求功能，将在</w:t>
      </w:r>
      <w:r>
        <w:rPr>
          <w:rFonts w:hint="eastAsia" w:ascii="宋体" w:hAnsi="宋体" w:eastAsia="宋体" w:cs="宋体"/>
          <w:sz w:val="24"/>
          <w:lang w:val="en-US" w:eastAsia="zh-CN"/>
        </w:rPr>
        <w:t>以</w:t>
      </w:r>
      <w:r>
        <w:rPr>
          <w:rFonts w:hint="eastAsia" w:ascii="宋体" w:hAnsi="宋体" w:eastAsia="宋体" w:cs="宋体"/>
          <w:sz w:val="24"/>
        </w:rPr>
        <w:t>下的几章中予以介绍：</w:t>
      </w:r>
    </w:p>
    <w:p w14:paraId="1B694426">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第一章 绪论：介绍系统背景知识和研究价值，梳理国内外研究现状，阐述课题整体意义；</w:t>
      </w:r>
    </w:p>
    <w:p w14:paraId="1109F698">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第二章 相关理论及技术综述：阐述 SpringBoot 框架特性、Vue3 Composition API、WebSocket 通信协议、ECharts 可视化原理及 MyBatis-Plus + Redis 技术特性；</w:t>
      </w:r>
    </w:p>
    <w:p w14:paraId="4B05061B">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第三章 需求分析：基于 UML 用例图与活动图，详细分析系统功能需求、非功能需求（实时性 ≤1s、并发 ≥100）、业务流程及四维可行性；</w:t>
      </w:r>
    </w:p>
    <w:p w14:paraId="204FF3CF">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第四章 系统设计：给出单体架构总体图、数据库 E-R 图、核心接口定义（RESTful）、前端页面结构设计；</w:t>
      </w:r>
    </w:p>
    <w:p w14:paraId="476C61C3">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第五章 系统实现：重点解析 JWT 认证守卫、批次录入与数据清洗流水线、3σ 异常检测与风险评分算法、WebSocket 推送实现、监管大屏 ECharts 渲染、AOP 操作日志等关键代码；</w:t>
      </w:r>
    </w:p>
    <w:p w14:paraId="52B86514">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第六章 系统测试：展示接口功能测试用例、WebSocket 并发连接测试、参数动态调整验证；</w:t>
      </w:r>
    </w:p>
    <w:p w14:paraId="784EA976">
      <w:pPr>
        <w:spacing w:line="400" w:lineRule="exact"/>
        <w:ind w:firstLine="480" w:firstLineChars="200"/>
        <w:jc w:val="left"/>
        <w:rPr>
          <w:rFonts w:eastAsiaTheme="minorEastAsia"/>
          <w:b/>
        </w:rPr>
        <w:sectPr>
          <w:headerReference r:id="rId4" w:type="default"/>
          <w:footerReference r:id="rId5" w:type="default"/>
          <w:pgSz w:w="11906" w:h="16838"/>
          <w:pgMar w:top="1440" w:right="1800" w:bottom="1440" w:left="1800" w:header="1134" w:footer="992" w:gutter="0"/>
          <w:pgNumType w:start="1"/>
          <w:cols w:space="425" w:num="1"/>
          <w:docGrid w:type="lines" w:linePitch="312" w:charSpace="0"/>
        </w:sectPr>
      </w:pPr>
      <w:r>
        <w:rPr>
          <w:rFonts w:hint="eastAsia" w:ascii="宋体" w:hAnsi="宋体" w:eastAsia="宋体" w:cs="宋体"/>
          <w:sz w:val="24"/>
        </w:rPr>
        <w:t>第七章 结论与展望：归纳课题创新点、现存不足及未来扩展方向。</w:t>
      </w:r>
    </w:p>
    <w:p w14:paraId="0C6FB651">
      <w:pPr>
        <w:pStyle w:val="4"/>
        <w:numPr>
          <w:ilvl w:val="1"/>
          <w:numId w:val="3"/>
        </w:numPr>
        <w:bidi w:val="0"/>
        <w:ind w:left="567" w:leftChars="0" w:hanging="567" w:firstLineChars="0"/>
        <w:rPr>
          <w:rFonts w:hint="eastAsia"/>
          <w:lang w:val="en-US" w:eastAsia="zh-CN"/>
        </w:rPr>
      </w:pPr>
      <w:r>
        <w:rPr>
          <w:rFonts w:hint="eastAsia"/>
          <w:lang w:val="en-US" w:eastAsia="zh-CN"/>
        </w:rPr>
        <w:t>本章小结</w:t>
      </w:r>
    </w:p>
    <w:p w14:paraId="44A7D99F">
      <w:pPr>
        <w:spacing w:line="400" w:lineRule="exact"/>
        <w:ind w:firstLine="480" w:firstLineChars="200"/>
        <w:jc w:val="left"/>
        <w:rPr>
          <w:rFonts w:hint="default"/>
          <w:lang w:val="en-US" w:eastAsia="zh-CN"/>
        </w:rPr>
      </w:pPr>
      <w:r>
        <w:rPr>
          <w:rFonts w:hint="eastAsia" w:ascii="宋体" w:hAnsi="宋体" w:eastAsia="宋体" w:cs="宋体"/>
          <w:sz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16"/>
    <w:p w14:paraId="59CC4BA8">
      <w:pPr>
        <w:pStyle w:val="3"/>
        <w:numPr>
          <w:ilvl w:val="0"/>
          <w:numId w:val="2"/>
        </w:numPr>
        <w:bidi w:val="0"/>
        <w:ind w:left="425" w:leftChars="0" w:hanging="425" w:firstLineChars="0"/>
        <w:rPr>
          <w:rFonts w:hint="default"/>
          <w:lang w:val="en-US" w:eastAsia="zh-CN"/>
        </w:rPr>
      </w:pPr>
      <w:r>
        <w:rPr>
          <w:rFonts w:hint="eastAsia"/>
          <w:lang w:val="en-US" w:eastAsia="zh-CN"/>
        </w:rPr>
        <w:t>相关理论及技术综述</w:t>
      </w:r>
    </w:p>
    <w:p w14:paraId="63DB265B">
      <w:pPr>
        <w:pStyle w:val="4"/>
        <w:numPr>
          <w:ilvl w:val="1"/>
          <w:numId w:val="2"/>
        </w:numPr>
        <w:bidi w:val="0"/>
        <w:ind w:left="567" w:leftChars="0" w:hanging="567" w:firstLineChars="0"/>
      </w:pPr>
      <w:r>
        <w:rPr>
          <w:rFonts w:hint="eastAsia"/>
        </w:rPr>
        <w:t>Spring</w:t>
      </w:r>
      <w:r>
        <w:rPr>
          <w:rFonts w:hint="eastAsia"/>
          <w:lang w:val="en-US" w:eastAsia="zh-CN"/>
        </w:rPr>
        <w:t>Cloud</w:t>
      </w:r>
      <w:r>
        <w:rPr>
          <w:rFonts w:hint="eastAsia"/>
        </w:rPr>
        <w:t xml:space="preserve"> 框架</w:t>
      </w:r>
    </w:p>
    <w:p w14:paraId="27AADC02">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SpringCloud Alibaba是SpringCloud官方推荐的国产微服务解决方案，相较于Netflix套件（已停止维护），其在国产化适配、中文文档完善性及阿里系生产环境验证方面具有显著优势。本系统选用其核心组件构建极简双微服务架构：</w:t>
      </w:r>
    </w:p>
    <w:p w14:paraId="71813F95">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Nacos：作为服务注册中心与配置中心，实现gateway-service与core-service的自动发现与健康检查。其AP模式保障服务高可用，配置热更新能力支持监管策略（如预警阈值）在线调整，无需重启服务；</w:t>
      </w:r>
    </w:p>
    <w:p w14:paraId="0278CDB2">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SpringCloud Gateway：替代Zuul成为新一代API网关。本系统利用其全局过滤器（GlobalFilter）统一校验JWT Token，并通过RouteLocatorBuilder动态配置路由规则（如/api/** → core-service），屏蔽后端服务细节，提升系统安全性与可维护性；</w:t>
      </w:r>
    </w:p>
    <w:p w14:paraId="5A66D225">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OpenFeign：虽未采用服务间HTTP调用（因双服务结构简单），但其声明式客户端设计理念为未来扩展多业务微服务（如inspection-service）预留了标准化接口契约。</w:t>
      </w:r>
    </w:p>
    <w:p w14:paraId="483D921F">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该架构摒弃了SpringCloud典型“服务网格化”复杂设计，以最小必要服务粒度平衡解耦性与运维成本，完美契合任务书中“单台服务器可部署”的工程约束。</w:t>
      </w:r>
    </w:p>
    <w:p w14:paraId="2A54E63A">
      <w:pPr>
        <w:pStyle w:val="50"/>
        <w:numPr>
          <w:ilvl w:val="1"/>
          <w:numId w:val="2"/>
        </w:numPr>
        <w:spacing w:before="312" w:beforeLines="100" w:after="0" w:line="400" w:lineRule="exact"/>
        <w:ind w:left="567" w:leftChars="0" w:hanging="567" w:firstLineChars="0"/>
        <w:jc w:val="left"/>
        <w:rPr>
          <w:rFonts w:hint="eastAsia" w:ascii="黑体" w:hAnsi="黑体" w:cs="黑体"/>
          <w:b/>
          <w:bCs/>
        </w:rPr>
      </w:pPr>
      <w:bookmarkStart w:id="17" w:name="_Toc19784"/>
      <w:r>
        <w:rPr>
          <w:rFonts w:hint="eastAsia" w:ascii="黑体" w:hAnsi="黑体" w:cs="黑体"/>
          <w:b/>
          <w:bCs/>
        </w:rPr>
        <w:t>Vue3 前端框架</w:t>
      </w:r>
    </w:p>
    <w:bookmarkEnd w:id="17"/>
    <w:p w14:paraId="70DA7FB3">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shd w:val="clear" w:color="auto" w:fill="FFFFFF"/>
        <w:spacing w:before="0" w:beforeAutospacing="0" w:after="0" w:afterAutospacing="0" w:line="400" w:lineRule="exact"/>
        <w:ind w:firstLine="480" w:firstLineChars="200"/>
        <w:rPr>
          <w:rFonts w:eastAsia="宋体"/>
          <w:color w:val="auto"/>
          <w:shd w:val="clear" w:color="auto" w:fill="FFFFFF"/>
        </w:rPr>
      </w:pPr>
      <w:r>
        <w:rPr>
          <w:rFonts w:hint="eastAsia" w:eastAsia="宋体"/>
          <w:color w:val="auto"/>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numPr>
          <w:ilvl w:val="1"/>
          <w:numId w:val="2"/>
        </w:numPr>
        <w:spacing w:before="312" w:beforeLines="100" w:after="0" w:line="400" w:lineRule="exact"/>
        <w:ind w:left="567" w:leftChars="0" w:hanging="567" w:firstLineChars="0"/>
        <w:jc w:val="left"/>
        <w:rPr>
          <w:rFonts w:ascii="黑体" w:hAnsi="黑体" w:cs="黑体"/>
          <w:b/>
          <w:bCs/>
        </w:rPr>
      </w:pPr>
      <w:bookmarkStart w:id="18" w:name="_Toc10136"/>
      <w:r>
        <w:rPr>
          <w:rFonts w:hint="eastAsia" w:ascii="黑体" w:hAnsi="黑体" w:cs="黑体"/>
          <w:b/>
          <w:bCs/>
        </w:rPr>
        <w:t>WebSocket 实时通信技术</w:t>
      </w:r>
    </w:p>
    <w:p w14:paraId="1E08AAD4">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本系统后端采用 Spring 原生 WebSocket 实现（spring-boot-starter-websocket），核心组件包括：</w:t>
      </w:r>
    </w:p>
    <w:p w14:paraId="24B34243">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spacing w:line="360" w:lineRule="auto"/>
        <w:ind w:firstLine="480" w:firstLineChars="200"/>
        <w:contextualSpacing/>
        <w:rPr>
          <w:rFonts w:hint="eastAsia" w:eastAsia="宋体"/>
          <w:sz w:val="24"/>
        </w:rPr>
      </w:pPr>
    </w:p>
    <w:p w14:paraId="3671C337">
      <w:pPr>
        <w:pStyle w:val="50"/>
        <w:numPr>
          <w:ilvl w:val="1"/>
          <w:numId w:val="2"/>
        </w:numPr>
        <w:spacing w:before="312" w:beforeLines="100" w:after="0" w:line="400" w:lineRule="exact"/>
        <w:ind w:left="567" w:leftChars="0" w:hanging="567" w:firstLineChars="0"/>
        <w:jc w:val="left"/>
        <w:rPr>
          <w:rFonts w:ascii="黑体" w:hAnsi="黑体" w:cs="黑体"/>
          <w:b/>
          <w:bCs/>
        </w:rPr>
      </w:pPr>
      <w:bookmarkStart w:id="19" w:name="_Toc27201"/>
      <w:r>
        <w:rPr>
          <w:rFonts w:hint="eastAsia" w:ascii="黑体" w:hAnsi="黑体" w:cs="黑体"/>
          <w:b/>
          <w:bCs/>
        </w:rPr>
        <w:t xml:space="preserve"> </w:t>
      </w:r>
      <w:bookmarkEnd w:id="18"/>
      <w:bookmarkEnd w:id="19"/>
      <w:r>
        <w:rPr>
          <w:rFonts w:hint="eastAsia" w:ascii="黑体" w:hAnsi="黑体" w:cs="黑体"/>
          <w:b/>
          <w:bCs/>
        </w:rPr>
        <w:t>ECharts 可视化技术</w:t>
      </w:r>
    </w:p>
    <w:p w14:paraId="5562B167">
      <w:pPr>
        <w:pStyle w:val="21"/>
        <w:shd w:val="clear" w:color="auto" w:fill="FFFFFF"/>
        <w:spacing w:before="0" w:beforeAutospacing="0" w:after="0" w:afterAutospacing="0" w:line="400" w:lineRule="exact"/>
        <w:ind w:firstLine="420"/>
        <w:rPr>
          <w:rFonts w:hint="eastAsia" w:eastAsia="宋体"/>
          <w:color w:val="auto"/>
          <w:shd w:val="clear" w:color="auto" w:fill="FFFFFF"/>
        </w:rPr>
      </w:pPr>
      <w:bookmarkStart w:id="20" w:name="_Toc31470"/>
      <w:r>
        <w:rPr>
          <w:rFonts w:hint="eastAsia" w:eastAsia="宋体"/>
          <w:color w:val="auto"/>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shd w:val="clear" w:color="auto" w:fill="FFFFFF"/>
        <w:spacing w:before="0" w:beforeAutospacing="0" w:after="0" w:afterAutospacing="0" w:line="400" w:lineRule="exact"/>
        <w:ind w:firstLine="420"/>
        <w:rPr>
          <w:rFonts w:hint="eastAsia" w:eastAsia="宋体"/>
          <w:color w:val="auto"/>
          <w:shd w:val="clear" w:color="auto" w:fill="FFFFFF"/>
        </w:rPr>
      </w:pPr>
      <w:r>
        <w:rPr>
          <w:rFonts w:hint="eastAsia" w:eastAsia="宋体"/>
          <w:color w:val="auto"/>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shd w:val="clear" w:color="auto" w:fill="FFFFFF"/>
        <w:spacing w:before="0" w:beforeAutospacing="0" w:after="0" w:afterAutospacing="0" w:line="400" w:lineRule="exact"/>
        <w:ind w:firstLine="420"/>
        <w:rPr>
          <w:rFonts w:hint="eastAsia" w:eastAsia="宋体"/>
          <w:color w:val="auto"/>
          <w:shd w:val="clear" w:color="auto" w:fill="FFFFFF"/>
        </w:rPr>
      </w:pPr>
      <w:r>
        <w:rPr>
          <w:rFonts w:hint="eastAsia" w:eastAsia="宋体"/>
          <w:color w:val="auto"/>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shd w:val="clear" w:color="auto" w:fill="FFFFFF"/>
        <w:spacing w:before="0" w:beforeAutospacing="0" w:after="0" w:afterAutospacing="0" w:line="400" w:lineRule="exact"/>
        <w:ind w:firstLine="420"/>
        <w:rPr>
          <w:rFonts w:ascii="Times New Roman" w:hAnsi="Times New Roman" w:cstheme="minorEastAsia"/>
          <w:color w:val="auto"/>
          <w:shd w:val="clear" w:color="auto" w:fill="FFFFFF"/>
        </w:rPr>
      </w:pPr>
      <w:r>
        <w:rPr>
          <w:rFonts w:hint="eastAsia" w:eastAsia="宋体"/>
          <w:color w:val="auto"/>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numPr>
          <w:ilvl w:val="1"/>
          <w:numId w:val="2"/>
        </w:numPr>
        <w:spacing w:before="312" w:beforeLines="100" w:after="0" w:line="400" w:lineRule="exact"/>
        <w:ind w:left="567" w:leftChars="0" w:hanging="567" w:firstLineChars="0"/>
        <w:jc w:val="left"/>
        <w:rPr>
          <w:rFonts w:hint="default" w:ascii="黑体" w:hAnsi="黑体" w:eastAsia="黑体" w:cs="黑体"/>
          <w:b/>
          <w:bCs/>
          <w:kern w:val="2"/>
          <w:sz w:val="30"/>
          <w:szCs w:val="24"/>
          <w:lang w:val="en-US" w:eastAsia="zh-CN" w:bidi="ar-SA"/>
        </w:rPr>
      </w:pPr>
      <w:bookmarkStart w:id="21" w:name="_Toc8062"/>
      <w:r>
        <w:rPr>
          <w:rFonts w:hint="eastAsia" w:ascii="黑体" w:hAnsi="黑体" w:cs="黑体"/>
          <w:b/>
          <w:bCs/>
          <w:kern w:val="2"/>
          <w:sz w:val="30"/>
          <w:szCs w:val="24"/>
          <w:lang w:val="en-US" w:eastAsia="zh-CN" w:bidi="ar-SA"/>
        </w:rPr>
        <w:t xml:space="preserve"> MyBatis-Plus 与 Redis</w:t>
      </w:r>
    </w:p>
    <w:p w14:paraId="1EC9207A">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widowControl/>
        <w:shd w:val="clear" w:color="auto" w:fill="FFFFFF"/>
        <w:spacing w:before="0" w:beforeAutospacing="0" w:after="0" w:afterAutospacing="0" w:line="400" w:lineRule="exact"/>
        <w:ind w:firstLine="420"/>
        <w:jc w:val="left"/>
        <w:rPr>
          <w:rFonts w:ascii="Times New Roman" w:hAnsi="Times New Roman" w:eastAsiaTheme="minorEastAsia" w:cstheme="minorEastAsia"/>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rPr>
          <w:rFonts w:hint="default"/>
          <w:lang w:val="en-US" w:eastAsia="zh-CN"/>
        </w:rPr>
      </w:pPr>
    </w:p>
    <w:p w14:paraId="794DBC9C">
      <w:pPr>
        <w:pStyle w:val="50"/>
        <w:numPr>
          <w:ilvl w:val="1"/>
          <w:numId w:val="2"/>
        </w:numPr>
        <w:spacing w:before="312" w:beforeLines="100" w:after="0" w:line="400" w:lineRule="exact"/>
        <w:ind w:left="567" w:leftChars="0" w:hanging="567" w:firstLineChars="0"/>
        <w:jc w:val="left"/>
        <w:rPr>
          <w:rFonts w:hint="eastAsia" w:ascii="黑体" w:hAnsi="黑体" w:cs="黑体"/>
          <w:b/>
          <w:bCs/>
          <w:kern w:val="2"/>
          <w:sz w:val="30"/>
          <w:szCs w:val="24"/>
          <w:lang w:val="en-US" w:eastAsia="zh-CN" w:bidi="ar-SA"/>
        </w:rPr>
      </w:pPr>
      <w:r>
        <w:rPr>
          <w:rFonts w:hint="eastAsia" w:ascii="黑体" w:hAnsi="黑体" w:cs="黑体"/>
          <w:b/>
          <w:bCs/>
          <w:kern w:val="2"/>
          <w:sz w:val="30"/>
          <w:szCs w:val="24"/>
          <w:lang w:val="en-US" w:eastAsia="zh-CN" w:bidi="ar-SA"/>
        </w:rPr>
        <w:t>本章小结</w:t>
      </w:r>
    </w:p>
    <w:p w14:paraId="1C86D36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numPr>
          <w:ilvl w:val="0"/>
          <w:numId w:val="2"/>
        </w:numPr>
        <w:spacing w:before="0" w:after="0" w:line="400" w:lineRule="exact"/>
        <w:ind w:left="425" w:leftChars="0" w:hanging="425" w:firstLineChars="0"/>
        <w:rPr>
          <w:rFonts w:ascii="Times New Roman" w:hAnsi="Times New Roman"/>
          <w:sz w:val="24"/>
        </w:rPr>
      </w:pPr>
      <w:r>
        <w:rPr>
          <w:rFonts w:hint="eastAsia"/>
          <w:b/>
          <w:bCs/>
        </w:rPr>
        <w:t>基于SpringCloud的食品安全溯源系统需求分析</w:t>
      </w:r>
      <w:bookmarkEnd w:id="20"/>
      <w:bookmarkEnd w:id="21"/>
      <w:bookmarkStart w:id="22" w:name="_Toc6480"/>
    </w:p>
    <w:p w14:paraId="7359348A">
      <w:pPr>
        <w:pStyle w:val="4"/>
        <w:numPr>
          <w:ilvl w:val="1"/>
          <w:numId w:val="2"/>
        </w:numPr>
        <w:bidi w:val="0"/>
        <w:ind w:left="567" w:leftChars="0" w:hanging="567" w:firstLineChars="0"/>
      </w:pPr>
      <w:bookmarkStart w:id="23" w:name="_Toc17807"/>
      <w:r>
        <w:rPr>
          <w:rFonts w:hint="eastAsia"/>
        </w:rPr>
        <w:t>概述</w:t>
      </w:r>
      <w:bookmarkEnd w:id="22"/>
      <w:bookmarkEnd w:id="23"/>
    </w:p>
    <w:p w14:paraId="1E2B5CCE">
      <w:pPr>
        <w:autoSpaceDE w:val="0"/>
        <w:autoSpaceDN w:val="0"/>
        <w:adjustRightInd w:val="0"/>
        <w:spacing w:line="400" w:lineRule="exact"/>
        <w:ind w:firstLine="480" w:firstLineChars="200"/>
        <w:jc w:val="left"/>
        <w:rPr>
          <w:rFonts w:ascii="宋体" w:hAnsi="宋体" w:eastAsia="宋体" w:cs="宋体"/>
          <w:kern w:val="0"/>
          <w:sz w:val="24"/>
        </w:rPr>
      </w:pPr>
      <w:bookmarkStart w:id="24" w:name="_Toc14013"/>
      <w:r>
        <w:rPr>
          <w:rFonts w:hint="eastAsia" w:ascii="宋体" w:hAnsi="宋体" w:eastAsia="宋体" w:cs="宋体"/>
          <w:kern w:val="0"/>
          <w:sz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numPr>
          <w:ilvl w:val="1"/>
          <w:numId w:val="2"/>
        </w:numPr>
        <w:bidi w:val="0"/>
        <w:ind w:left="567" w:leftChars="0" w:hanging="567" w:firstLineChars="0"/>
      </w:pPr>
      <w:bookmarkStart w:id="25" w:name="_Toc4499"/>
      <w:r>
        <w:rPr>
          <w:rFonts w:hint="eastAsia"/>
        </w:rPr>
        <w:t>系统需求分析</w:t>
      </w:r>
      <w:bookmarkEnd w:id="24"/>
      <w:bookmarkEnd w:id="25"/>
    </w:p>
    <w:p w14:paraId="19E43FEA">
      <w:pPr>
        <w:pStyle w:val="38"/>
        <w:spacing w:line="400" w:lineRule="exact"/>
        <w:jc w:val="left"/>
        <w:rPr>
          <w:rFonts w:hint="eastAsia" w:ascii="宋体" w:hAnsi="宋体" w:eastAsia="宋体" w:cs="宋体"/>
          <w:sz w:val="24"/>
        </w:rPr>
      </w:pPr>
      <w:r>
        <w:rPr>
          <w:rFonts w:hint="eastAsia" w:ascii="宋体" w:hAnsi="宋体" w:eastAsia="宋体" w:cs="宋体"/>
          <w:sz w:val="24"/>
        </w:rPr>
        <w:t>本系统面向食品安全监管一线业务场景，围绕"数据驱动监管决策"的核心目标，定义了覆盖用户认证、批次管理、智能分析与可视化展示四大维度的功能性需求。</w:t>
      </w:r>
    </w:p>
    <w:p w14:paraId="5750B260">
      <w:pPr>
        <w:pStyle w:val="5"/>
        <w:numPr>
          <w:ilvl w:val="2"/>
          <w:numId w:val="2"/>
        </w:numPr>
        <w:bidi w:val="0"/>
        <w:ind w:left="709" w:leftChars="0" w:hanging="709" w:firstLineChars="0"/>
        <w:rPr>
          <w:rFonts w:hint="eastAsia"/>
        </w:rPr>
      </w:pPr>
      <w:r>
        <w:rPr>
          <w:rFonts w:hint="eastAsia"/>
        </w:rPr>
        <w:t>用户认证</w:t>
      </w:r>
    </w:p>
    <w:p w14:paraId="5CBA4999">
      <w:pPr>
        <w:pStyle w:val="38"/>
        <w:spacing w:line="400" w:lineRule="exact"/>
        <w:jc w:val="left"/>
        <w:rPr>
          <w:rFonts w:hint="eastAsia" w:ascii="宋体" w:hAnsi="宋体" w:eastAsia="宋体" w:cs="宋体"/>
          <w:sz w:val="24"/>
        </w:rPr>
      </w:pPr>
      <w:r>
        <w:rPr>
          <w:rFonts w:hint="eastAsia" w:ascii="宋体" w:hAnsi="宋体" w:eastAsia="宋体" w:cs="宋体"/>
          <w:sz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numPr>
          <w:ilvl w:val="2"/>
          <w:numId w:val="2"/>
        </w:numPr>
        <w:bidi w:val="0"/>
        <w:ind w:left="709" w:leftChars="0" w:hanging="709" w:firstLineChars="0"/>
        <w:rPr>
          <w:rFonts w:hint="eastAsia"/>
        </w:rPr>
      </w:pPr>
      <w:r>
        <w:rPr>
          <w:rFonts w:hint="eastAsia"/>
        </w:rPr>
        <w:t>批次管理与溯源链</w:t>
      </w:r>
    </w:p>
    <w:p w14:paraId="5875E8EB">
      <w:pPr>
        <w:pStyle w:val="38"/>
        <w:spacing w:line="400" w:lineRule="exact"/>
        <w:jc w:val="left"/>
        <w:rPr>
          <w:rFonts w:hint="eastAsia" w:ascii="宋体" w:hAnsi="宋体" w:eastAsia="宋体" w:cs="宋体"/>
          <w:sz w:val="24"/>
        </w:rPr>
      </w:pPr>
      <w:r>
        <w:rPr>
          <w:rFonts w:hint="eastAsia" w:ascii="宋体" w:hAnsi="宋体" w:eastAsia="宋体" w:cs="宋体"/>
          <w:sz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numPr>
          <w:ilvl w:val="2"/>
          <w:numId w:val="2"/>
        </w:numPr>
        <w:bidi w:val="0"/>
        <w:ind w:left="709" w:leftChars="0" w:hanging="709" w:firstLineChars="0"/>
        <w:rPr>
          <w:rFonts w:hint="eastAsia"/>
        </w:rPr>
      </w:pPr>
      <w:r>
        <w:rPr>
          <w:rFonts w:hint="eastAsia"/>
        </w:rPr>
        <w:t xml:space="preserve"> 智能分析与预警</w:t>
      </w:r>
    </w:p>
    <w:p w14:paraId="0DF66E4F">
      <w:pPr>
        <w:pStyle w:val="38"/>
        <w:spacing w:line="400" w:lineRule="exact"/>
        <w:jc w:val="left"/>
        <w:rPr>
          <w:rFonts w:hint="eastAsia" w:ascii="宋体" w:hAnsi="宋体" w:eastAsia="宋体" w:cs="宋体"/>
          <w:sz w:val="24"/>
        </w:rPr>
      </w:pPr>
      <w:r>
        <w:rPr>
          <w:rFonts w:hint="eastAsia" w:ascii="宋体" w:hAnsi="宋体" w:eastAsia="宋体" w:cs="宋体"/>
          <w:sz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numPr>
          <w:ilvl w:val="2"/>
          <w:numId w:val="2"/>
        </w:numPr>
        <w:bidi w:val="0"/>
        <w:ind w:left="709" w:leftChars="0" w:hanging="709" w:firstLineChars="0"/>
        <w:rPr>
          <w:rFonts w:hint="eastAsia"/>
        </w:rPr>
      </w:pPr>
      <w:r>
        <w:rPr>
          <w:rFonts w:hint="eastAsia"/>
        </w:rPr>
        <w:t>WebSocket 实时推送</w:t>
      </w:r>
    </w:p>
    <w:p w14:paraId="344FEBA3">
      <w:pPr>
        <w:pStyle w:val="38"/>
        <w:spacing w:line="400" w:lineRule="exact"/>
        <w:jc w:val="left"/>
        <w:rPr>
          <w:rFonts w:hint="eastAsia" w:ascii="宋体" w:hAnsi="宋体" w:eastAsia="宋体" w:cs="宋体"/>
          <w:sz w:val="24"/>
        </w:rPr>
      </w:pPr>
      <w:r>
        <w:rPr>
          <w:rFonts w:hint="eastAsia" w:ascii="宋体" w:hAnsi="宋体" w:eastAsia="宋体" w:cs="宋体"/>
          <w:sz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numPr>
          <w:ilvl w:val="2"/>
          <w:numId w:val="2"/>
        </w:numPr>
        <w:bidi w:val="0"/>
        <w:ind w:left="709" w:leftChars="0" w:hanging="709" w:firstLineChars="0"/>
        <w:rPr>
          <w:rFonts w:hint="eastAsia"/>
        </w:rPr>
      </w:pPr>
      <w:r>
        <w:rPr>
          <w:rFonts w:hint="eastAsia"/>
        </w:rPr>
        <w:t>系统参数配置</w:t>
      </w:r>
    </w:p>
    <w:p w14:paraId="4F81CFEB">
      <w:pPr>
        <w:pStyle w:val="38"/>
        <w:spacing w:line="400" w:lineRule="exact"/>
        <w:jc w:val="left"/>
        <w:rPr>
          <w:rFonts w:hint="eastAsia" w:ascii="宋体" w:hAnsi="宋体" w:eastAsia="宋体" w:cs="宋体"/>
          <w:sz w:val="24"/>
        </w:rPr>
      </w:pPr>
      <w:r>
        <w:rPr>
          <w:rFonts w:hint="eastAsia" w:ascii="宋体" w:hAnsi="宋体" w:eastAsia="宋体" w:cs="宋体"/>
          <w:sz w:val="24"/>
        </w:rPr>
        <w:t>系统提供可视化参数配置页面，支持管理员动态调整算法权重、国标限量阈值、预警分数等参数。参数修改后立即生效，无需重启服务。</w:t>
      </w:r>
    </w:p>
    <w:p w14:paraId="1A8B360C">
      <w:pPr>
        <w:pStyle w:val="38"/>
        <w:spacing w:line="400" w:lineRule="exact"/>
        <w:jc w:val="left"/>
        <w:rPr>
          <w:rFonts w:hint="eastAsia" w:ascii="宋体" w:hAnsi="宋体" w:eastAsia="宋体" w:cs="宋体"/>
          <w:sz w:val="24"/>
        </w:rPr>
      </w:pPr>
    </w:p>
    <w:p w14:paraId="31C874AC">
      <w:pPr>
        <w:pStyle w:val="4"/>
        <w:numPr>
          <w:ilvl w:val="1"/>
          <w:numId w:val="2"/>
        </w:numPr>
        <w:bidi w:val="0"/>
        <w:ind w:left="567" w:leftChars="0" w:hanging="567" w:firstLineChars="0"/>
      </w:pPr>
      <w:bookmarkStart w:id="26" w:name="_Toc24531"/>
      <w:bookmarkStart w:id="27" w:name="_Toc18186"/>
      <w:r>
        <w:rPr>
          <w:rFonts w:hint="eastAsia"/>
        </w:rPr>
        <w:t>业务流程分析</w:t>
      </w:r>
      <w:bookmarkEnd w:id="26"/>
      <w:bookmarkEnd w:id="27"/>
    </w:p>
    <w:p w14:paraId="015C957B">
      <w:pPr>
        <w:spacing w:line="400" w:lineRule="exact"/>
        <w:ind w:firstLine="480" w:firstLineChars="200"/>
        <w:jc w:val="left"/>
        <w:rPr>
          <w:rFonts w:hint="eastAsia" w:ascii="Times New Roman" w:hAnsi="Times New Roman"/>
          <w:sz w:val="24"/>
        </w:rPr>
      </w:pPr>
      <w:r>
        <w:rPr>
          <w:rFonts w:hint="eastAsia" w:ascii="Times New Roman" w:hAnsi="Times New Roman"/>
          <w:sz w:val="24"/>
        </w:rPr>
        <w:t>本系统核心业务流程围绕"数据驱动监管决策"展开：</w:t>
      </w:r>
    </w:p>
    <w:p w14:paraId="5D20793C">
      <w:pPr>
        <w:spacing w:line="400" w:lineRule="exact"/>
        <w:ind w:firstLine="480" w:firstLineChars="200"/>
        <w:jc w:val="left"/>
        <w:rPr>
          <w:rFonts w:hint="eastAsia" w:ascii="Times New Roman" w:hAnsi="Times New Roman"/>
          <w:sz w:val="24"/>
        </w:rPr>
      </w:pPr>
      <w:r>
        <w:rPr>
          <w:rFonts w:hint="eastAsia" w:ascii="Times New Roman" w:hAnsi="Times New Roman"/>
          <w:sz w:val="24"/>
        </w:rPr>
        <w:t>（1）批次录入：监管人员录入批次基础信息、检测数据、物流轨迹，提交后数据写入 MySQL，触发数据清洗流水线执行算法分析，结果落库后推送 WebSocket 消息，前端自动刷新大盘数据；</w:t>
      </w:r>
    </w:p>
    <w:p w14:paraId="0552FEFA">
      <w:pPr>
        <w:spacing w:line="400" w:lineRule="exact"/>
        <w:ind w:firstLine="480" w:firstLineChars="200"/>
        <w:jc w:val="left"/>
        <w:rPr>
          <w:rFonts w:hint="eastAsia" w:ascii="Times New Roman" w:hAnsi="Times New Roman"/>
          <w:sz w:val="24"/>
        </w:rPr>
      </w:pPr>
      <w:r>
        <w:rPr>
          <w:rFonts w:hint="eastAsia" w:ascii="Times New Roman" w:hAnsi="Times New Roman"/>
          <w:sz w:val="24"/>
        </w:rPr>
        <w:t>（2）定时清洗（可选开启）：定时任务周期性扫描所有未清洗批次（cleaned=0），批量执行清洗逻辑，清洗完成后推送最新大盘数据，确保大屏数据与数据库始终同步；</w:t>
      </w:r>
    </w:p>
    <w:p w14:paraId="7B3C09E2">
      <w:pPr>
        <w:spacing w:line="400" w:lineRule="exact"/>
        <w:ind w:firstLine="480" w:firstLineChars="200"/>
        <w:jc w:val="left"/>
        <w:rPr>
          <w:sz w:val="24"/>
        </w:rPr>
      </w:pPr>
      <w:r>
        <w:rPr>
          <w:rFonts w:hint="eastAsia" w:ascii="Times New Roman" w:hAnsi="Times New Roman"/>
          <w:sz w:val="24"/>
        </w:rPr>
        <w:t>（3）预警处置：监管人员查看预警列表，对已处理预警点击确认，系统标记 handled=1，预警列表自动刷新。</w:t>
      </w:r>
    </w:p>
    <w:p w14:paraId="6E9712D6">
      <w:pPr>
        <w:pStyle w:val="38"/>
        <w:spacing w:line="480" w:lineRule="auto"/>
        <w:ind w:firstLine="0" w:firstLineChars="0"/>
        <w:jc w:val="center"/>
      </w:pPr>
      <w:bookmarkStart w:id="28" w:name="_Toc208196826"/>
    </w:p>
    <w:bookmarkEnd w:id="28"/>
    <w:p w14:paraId="50AE371F">
      <w:pPr>
        <w:pStyle w:val="4"/>
        <w:numPr>
          <w:ilvl w:val="1"/>
          <w:numId w:val="2"/>
        </w:numPr>
        <w:bidi w:val="0"/>
        <w:ind w:left="567" w:leftChars="0" w:hanging="567" w:firstLineChars="0"/>
      </w:pPr>
      <w:bookmarkStart w:id="29" w:name="_Toc22365"/>
      <w:bookmarkStart w:id="30" w:name="_Toc7400"/>
      <w:bookmarkStart w:id="31" w:name="_Toc19798"/>
      <w:r>
        <w:rPr>
          <w:rFonts w:hint="eastAsia"/>
        </w:rPr>
        <w:t>可行性分析</w:t>
      </w:r>
      <w:bookmarkEnd w:id="29"/>
      <w:bookmarkEnd w:id="30"/>
      <w:bookmarkEnd w:id="31"/>
    </w:p>
    <w:p w14:paraId="0E6DFBC6">
      <w:pPr>
        <w:pStyle w:val="38"/>
        <w:spacing w:line="400" w:lineRule="exact"/>
        <w:jc w:val="left"/>
      </w:pPr>
      <w:r>
        <w:rPr>
          <w:rFonts w:hint="eastAsia" w:ascii="宋体" w:hAnsi="宋体"/>
          <w:bCs/>
          <w:sz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numPr>
          <w:ilvl w:val="2"/>
          <w:numId w:val="2"/>
        </w:numPr>
        <w:bidi w:val="0"/>
        <w:ind w:left="709" w:leftChars="0" w:hanging="709" w:firstLineChars="0"/>
      </w:pPr>
      <w:bookmarkStart w:id="32" w:name="_Toc7759"/>
      <w:bookmarkStart w:id="33" w:name="_Toc1920"/>
      <w:bookmarkStart w:id="34" w:name="_Toc1067"/>
      <w:r>
        <w:rPr>
          <w:rFonts w:hint="eastAsia"/>
          <w:lang w:val="en-US" w:eastAsia="zh-CN"/>
        </w:rPr>
        <w:t xml:space="preserve"> </w:t>
      </w:r>
      <w:r>
        <w:rPr>
          <w:rFonts w:hint="eastAsia"/>
        </w:rPr>
        <w:t>技术可行性</w:t>
      </w:r>
      <w:bookmarkEnd w:id="32"/>
      <w:bookmarkEnd w:id="33"/>
      <w:bookmarkEnd w:id="34"/>
    </w:p>
    <w:p w14:paraId="3182426B">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部署环境：系统可在单台 4核8GB 内存云服务器（CentOS 7.9 + JDK 11 + MySQL 8.0 + Redis 7.0）上稳定运行。</w:t>
      </w:r>
    </w:p>
    <w:p w14:paraId="39A23225">
      <w:pPr>
        <w:pStyle w:val="5"/>
        <w:bidi w:val="0"/>
      </w:pPr>
      <w:bookmarkStart w:id="35" w:name="_Toc887"/>
      <w:bookmarkStart w:id="36" w:name="_Toc25489"/>
      <w:bookmarkStart w:id="37" w:name="_Toc29185"/>
      <w:r>
        <w:rPr>
          <w:rFonts w:hint="eastAsia"/>
        </w:rPr>
        <w:t>3.4.2 操作可行性</w:t>
      </w:r>
      <w:bookmarkEnd w:id="35"/>
      <w:bookmarkEnd w:id="36"/>
      <w:bookmarkEnd w:id="37"/>
    </w:p>
    <w:p w14:paraId="6A62CCE3">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全系统无命令行操作，管理员仅需修改 application.yml 中数据库和 Redis 配置即可完成部署。</w:t>
      </w:r>
    </w:p>
    <w:p w14:paraId="27A7893D">
      <w:pPr>
        <w:pStyle w:val="5"/>
        <w:bidi w:val="0"/>
      </w:pPr>
      <w:bookmarkStart w:id="38" w:name="_Toc7670"/>
      <w:bookmarkStart w:id="39" w:name="_Toc3408"/>
      <w:bookmarkStart w:id="40" w:name="_Toc3491"/>
      <w:r>
        <w:rPr>
          <w:rFonts w:hint="eastAsia"/>
        </w:rPr>
        <w:t>3.4.3 经济可行性</w:t>
      </w:r>
      <w:bookmarkEnd w:id="38"/>
      <w:bookmarkEnd w:id="39"/>
      <w:bookmarkEnd w:id="40"/>
    </w:p>
    <w:p w14:paraId="26A7BDF9">
      <w:pPr>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cs="Times New Roman"/>
          <w:sz w:val="24"/>
        </w:rPr>
      </w:pPr>
      <w:r>
        <w:rPr>
          <w:rFonts w:hint="eastAsia" w:ascii="Times New Roman" w:hAnsi="Times New Roman" w:cs="Times New Roman"/>
          <w:sz w:val="24"/>
        </w:rPr>
        <w:t>全部采用开源技术栈，零授权费用；</w:t>
      </w:r>
    </w:p>
    <w:p w14:paraId="10D6FD4F">
      <w:pPr>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cs="Times New Roman"/>
          <w:sz w:val="24"/>
        </w:rPr>
      </w:pPr>
      <w:r>
        <w:rPr>
          <w:rFonts w:hint="eastAsia" w:ascii="Times New Roman" w:hAnsi="Times New Roman" w:cs="Times New Roman"/>
          <w:sz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400" w:lineRule="exact"/>
        <w:ind w:firstLine="480"/>
        <w:textAlignment w:val="auto"/>
      </w:pPr>
      <w:r>
        <w:rPr>
          <w:rFonts w:hint="eastAsia" w:ascii="Times New Roman" w:hAnsi="Times New Roman" w:cs="Times New Roman"/>
          <w:sz w:val="24"/>
        </w:rPr>
        <w:t>开发周期约 12 周，人力成本可控。</w:t>
      </w:r>
    </w:p>
    <w:p w14:paraId="6B7CDDD9">
      <w:pPr>
        <w:pStyle w:val="5"/>
        <w:bidi w:val="0"/>
      </w:pPr>
      <w:bookmarkStart w:id="41" w:name="_Toc31443"/>
      <w:bookmarkStart w:id="42" w:name="_Toc18626"/>
      <w:r>
        <w:rPr>
          <w:rFonts w:hint="eastAsia"/>
        </w:rPr>
        <w:t>3.4.4 社会可行性</w:t>
      </w:r>
      <w:bookmarkEnd w:id="41"/>
      <w:bookmarkEnd w:id="42"/>
    </w:p>
    <w:p w14:paraId="2DADBF5D">
      <w:pPr>
        <w:spacing w:line="400" w:lineRule="exact"/>
        <w:ind w:firstLine="480" w:firstLineChars="200"/>
        <w:rPr>
          <w:rFonts w:hint="eastAsia"/>
          <w:sz w:val="24"/>
        </w:rPr>
      </w:pPr>
      <w:r>
        <w:rPr>
          <w:rFonts w:hint="eastAsia"/>
          <w:sz w:val="24"/>
        </w:rPr>
        <w:t>契合国务院《"十四五"数字经济发展规划》中"推进食品安全智慧监管"的战略部署；</w:t>
      </w:r>
    </w:p>
    <w:p w14:paraId="0B6AC59D">
      <w:pPr>
        <w:spacing w:line="400" w:lineRule="exact"/>
        <w:ind w:firstLine="480" w:firstLineChars="200"/>
        <w:rPr>
          <w:rFonts w:hint="eastAsia" w:ascii="宋体" w:hAnsi="宋体" w:eastAsiaTheme="minorEastAsia"/>
          <w:sz w:val="18"/>
          <w:szCs w:val="18"/>
          <w:lang w:eastAsia="zh-CN"/>
        </w:rPr>
      </w:pPr>
      <w:r>
        <w:rPr>
          <w:rFonts w:hint="eastAsia"/>
          <w:sz w:val="24"/>
        </w:rPr>
        <w:t>所有算法基于公开规则设计，不涉及个人隐私信息采集与处理，符合《个人信息保护法》要求。</w:t>
      </w:r>
    </w:p>
    <w:p w14:paraId="0A96BFC6">
      <w:pPr>
        <w:pStyle w:val="4"/>
        <w:numPr>
          <w:ilvl w:val="1"/>
          <w:numId w:val="2"/>
        </w:numPr>
        <w:bidi w:val="0"/>
        <w:ind w:left="567" w:leftChars="0" w:hanging="567" w:firstLineChars="0"/>
        <w:rPr>
          <w:rFonts w:hint="eastAsia"/>
          <w:lang w:val="en-US" w:eastAsia="zh-CN"/>
        </w:rPr>
      </w:pPr>
      <w:bookmarkStart w:id="43" w:name="_Toc28727"/>
      <w:r>
        <w:rPr>
          <w:rFonts w:hint="eastAsia"/>
          <w:lang w:val="en-US" w:eastAsia="zh-CN"/>
        </w:rPr>
        <w:t>本章小结</w:t>
      </w:r>
    </w:p>
    <w:p w14:paraId="506223A2">
      <w:pPr>
        <w:spacing w:line="400" w:lineRule="exact"/>
        <w:ind w:firstLine="480" w:firstLineChars="200"/>
        <w:rPr>
          <w:rFonts w:hint="eastAsia"/>
          <w:sz w:val="24"/>
        </w:rPr>
      </w:pPr>
      <w:r>
        <w:rPr>
          <w:rFonts w:hint="eastAsia"/>
          <w:sz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spacing w:line="400" w:lineRule="exact"/>
        <w:ind w:firstLine="480" w:firstLineChars="200"/>
        <w:rPr>
          <w:rFonts w:hint="eastAsia"/>
          <w:sz w:val="24"/>
        </w:rPr>
      </w:pPr>
    </w:p>
    <w:p w14:paraId="62EB9769"/>
    <w:p w14:paraId="358DB05B">
      <w:pPr>
        <w:pStyle w:val="3"/>
        <w:numPr>
          <w:ilvl w:val="0"/>
          <w:numId w:val="2"/>
        </w:numPr>
        <w:bidi w:val="0"/>
        <w:ind w:left="425" w:leftChars="0" w:hanging="425" w:firstLineChars="0"/>
      </w:pPr>
      <w:bookmarkStart w:id="44" w:name="_Toc4344"/>
      <w:r>
        <w:rPr>
          <w:rFonts w:hint="eastAsia"/>
        </w:rPr>
        <w:t>基于SpringCloud的食品安全溯源系统设计</w:t>
      </w:r>
      <w:bookmarkEnd w:id="43"/>
      <w:bookmarkEnd w:id="44"/>
    </w:p>
    <w:p w14:paraId="3A4D50C1">
      <w:pPr>
        <w:pStyle w:val="4"/>
        <w:numPr>
          <w:ilvl w:val="1"/>
          <w:numId w:val="2"/>
        </w:numPr>
        <w:bidi w:val="0"/>
        <w:ind w:left="567" w:leftChars="0" w:hanging="567" w:firstLineChars="0"/>
      </w:pPr>
      <w:bookmarkStart w:id="45" w:name="_Toc30774"/>
      <w:bookmarkStart w:id="46" w:name="_Toc3000"/>
      <w:r>
        <w:rPr>
          <w:rFonts w:hint="eastAsia"/>
        </w:rPr>
        <w:t>系统设计目标</w:t>
      </w:r>
      <w:bookmarkEnd w:id="45"/>
      <w:bookmarkEnd w:id="46"/>
    </w:p>
    <w:p w14:paraId="39F5675E">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bookmarkStart w:id="47" w:name="_Toc14187"/>
      <w:r>
        <w:rPr>
          <w:rFonts w:hint="eastAsia" w:ascii="Times New Roman" w:hAnsi="Times New Roman"/>
          <w:sz w:val="24"/>
        </w:rPr>
        <w:t>本系统设计以"监管可用、工程可行、技术先进"为根本原则，确立以下四项目标：</w:t>
      </w:r>
    </w:p>
    <w:p w14:paraId="68EEB178">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（1）架构轻量化目标：采用 SpringBoot 单体架构，严格控制服务粒度，降低部署复杂度与资源消耗，确保单台 4核8GB 云服务器可承载地市级监管平台运行；</w:t>
      </w:r>
    </w:p>
    <w:p w14:paraId="5114555F">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（2）数据自治化目标：core-service 独立完成批次录入、数据清洗、入库、算法调度、消息推送全流程，不依赖 Python 中间件，所有数据流转在 Java 生态内闭环处理；</w:t>
      </w:r>
    </w:p>
    <w:p w14:paraId="7FC7CE6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（3）分析智能化目标：集成 3σ 统计异常检测算法与加权规则风险评分算法，所有阈值均从配置表动态读取，支持运行时"改配置即生效"；</w:t>
      </w:r>
    </w:p>
    <w:p w14:paraId="59F6CE85">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（4）交互监管化目标：前端大屏设计遵循监管人员工作习惯，所有图表均具备实时刷新与数据联动，确保每一处视觉元素均可转化为监管动作。</w:t>
      </w:r>
    </w:p>
    <w:p w14:paraId="53C5F47E">
      <w:pPr>
        <w:pStyle w:val="4"/>
        <w:numPr>
          <w:ilvl w:val="1"/>
          <w:numId w:val="2"/>
        </w:numPr>
        <w:bidi w:val="0"/>
        <w:ind w:left="567" w:leftChars="0" w:hanging="567" w:firstLineChars="0"/>
      </w:pPr>
      <w:bookmarkStart w:id="48" w:name="_Toc30157"/>
      <w:r>
        <w:rPr>
          <w:rFonts w:hint="eastAsia"/>
        </w:rPr>
        <w:t>系统总体设计</w:t>
      </w:r>
      <w:bookmarkEnd w:id="47"/>
      <w:bookmarkEnd w:id="48"/>
    </w:p>
    <w:p w14:paraId="66E95C91">
      <w:pPr>
        <w:pStyle w:val="38"/>
        <w:spacing w:line="400" w:lineRule="exact"/>
        <w:jc w:val="left"/>
        <w:rPr>
          <w:rFonts w:hint="eastAsia"/>
          <w:sz w:val="24"/>
        </w:rPr>
      </w:pPr>
      <w:r>
        <w:rPr>
          <w:rFonts w:hint="eastAsia"/>
          <w:sz w:val="24"/>
        </w:rPr>
        <w:t>本系统采用分层清晰、职责分明的四层架构，自底向上依次为：</w:t>
      </w:r>
    </w:p>
    <w:p w14:paraId="7B109086">
      <w:pPr>
        <w:pStyle w:val="38"/>
        <w:spacing w:line="400" w:lineRule="exact"/>
        <w:jc w:val="left"/>
        <w:rPr>
          <w:rFonts w:hint="eastAsia"/>
          <w:sz w:val="24"/>
        </w:rPr>
      </w:pPr>
      <w:r>
        <w:rPr>
          <w:rFonts w:hint="eastAsia"/>
          <w:sz w:val="24"/>
        </w:rPr>
        <w:t>数据层（Data Layer）：MySQL 8.0 作为主数据库，存储用户、批次、检测、物流、预警、风险评估、操作日志等全部业务数据；Redis 作为配置参数缓存层（TTL 30 分钟），加速配置读取并支持配置热更新。</w:t>
      </w:r>
    </w:p>
    <w:p w14:paraId="32A83858">
      <w:pPr>
        <w:pStyle w:val="38"/>
        <w:spacing w:line="400" w:lineRule="exact"/>
        <w:jc w:val="left"/>
        <w:rPr>
          <w:rFonts w:hint="eastAsia"/>
          <w:sz w:val="24"/>
        </w:rPr>
      </w:pPr>
      <w:r>
        <w:rPr>
          <w:rFonts w:hint="eastAsia"/>
          <w:sz w:val="24"/>
        </w:rPr>
        <w:t>持久层（Persistence Layer）：MyBatis-Plus 框架提供统一的数据访问抽象。Mapper 层继承 BaseMapper&lt;T&gt; 获得基础 CRUD 能力，Service 层调用 IService&lt;T&gt; 封装业务逻辑，实体类与数据库表通过 MyBatis-Plus 注解自动映射。</w:t>
      </w:r>
    </w:p>
    <w:p w14:paraId="7CB4BA30">
      <w:pPr>
        <w:pStyle w:val="38"/>
        <w:spacing w:line="400" w:lineRule="exact"/>
        <w:jc w:val="left"/>
        <w:rPr>
          <w:rFonts w:hint="eastAsia"/>
          <w:sz w:val="24"/>
        </w:rPr>
      </w:pPr>
      <w:r>
        <w:rPr>
          <w:rFonts w:hint="eastAsia"/>
          <w:sz w:val="24"/>
        </w:rPr>
        <w:t>业务层（Business Layer）：核心服务类包括 BatchService（批次管理）、AlertService（预警管理）、OverviewService（大盘聚合）、DataCleanService（清洗流水线）、RiskScoring（风险评分）、StatisticalAnomalyDetector（异常检测）、DataChangeNotifier（WebSocket 广播）、ConfigService（配置管理）、SimulationService（数据模拟）。</w:t>
      </w:r>
    </w:p>
    <w:p w14:paraId="185C6D3A">
      <w:pPr>
        <w:pStyle w:val="38"/>
        <w:spacing w:line="400" w:lineRule="exact"/>
        <w:jc w:val="left"/>
        <w:rPr>
          <w:rFonts w:hint="eastAsia"/>
          <w:sz w:val="24"/>
        </w:rPr>
      </w:pPr>
      <w:r>
        <w:rPr>
          <w:rFonts w:hint="eastAsia"/>
          <w:sz w:val="24"/>
        </w:rPr>
        <w:t>接口层（Interface Layer）：RESTful 风格的 @RestController 处理 HTTP 请求，Spring 原生 TextWebSocketHandler 处理 WebSocket 升级请求。DataChangeWebSocketHandler 管理 WebSocket 会话并对外暴露 broadcast() 方法。</w:t>
      </w:r>
    </w:p>
    <w:p w14:paraId="1989A585">
      <w:pPr>
        <w:pStyle w:val="38"/>
        <w:spacing w:line="400" w:lineRule="exact"/>
        <w:jc w:val="left"/>
        <w:rPr>
          <w:rFonts w:hint="eastAsia"/>
          <w:sz w:val="24"/>
        </w:rPr>
      </w:pPr>
      <w:r>
        <w:rPr>
          <w:rFonts w:hint="eastAsia"/>
          <w:sz w:val="24"/>
        </w:rPr>
        <w:t>前端层（Frontend Layer）：Vue3 SPA 单页应用，通过 Vue Router 实现页面路由，Pinia store 管理用户状态与 Token，Axios 封装 HTTP 请求，WebSocket 客户端封装实时通信。</w:t>
      </w:r>
    </w:p>
    <w:p w14:paraId="056B7F28">
      <w:pPr>
        <w:pStyle w:val="38"/>
        <w:spacing w:line="480" w:lineRule="auto"/>
        <w:ind w:firstLine="0" w:firstLineChars="0"/>
        <w:jc w:val="right"/>
      </w:pPr>
    </w:p>
    <w:p w14:paraId="20782966">
      <w:pPr>
        <w:pStyle w:val="38"/>
        <w:spacing w:line="480" w:lineRule="auto"/>
        <w:ind w:firstLine="0" w:firstLineChars="0"/>
        <w:jc w:val="right"/>
      </w:pPr>
    </w:p>
    <w:p w14:paraId="41CB4CDF">
      <w:pPr>
        <w:pStyle w:val="38"/>
        <w:spacing w:line="480" w:lineRule="auto"/>
        <w:ind w:firstLine="0" w:firstLineChars="0"/>
        <w:jc w:val="right"/>
      </w:pPr>
    </w:p>
    <w:p w14:paraId="4E4A2774">
      <w:pPr>
        <w:pStyle w:val="38"/>
        <w:spacing w:line="480" w:lineRule="auto"/>
        <w:ind w:firstLine="0" w:firstLineChars="0"/>
        <w:jc w:val="right"/>
      </w:pPr>
    </w:p>
    <w:p w14:paraId="7D43125D">
      <w:pPr>
        <w:pStyle w:val="38"/>
        <w:spacing w:line="480" w:lineRule="auto"/>
        <w:ind w:firstLine="0" w:firstLineChars="0"/>
        <w:jc w:val="right"/>
      </w:pPr>
    </w:p>
    <w:p w14:paraId="3FB6110C">
      <w:pPr>
        <w:pStyle w:val="38"/>
        <w:spacing w:line="480" w:lineRule="auto"/>
        <w:ind w:firstLine="0" w:firstLineChars="0"/>
        <w:jc w:val="right"/>
      </w:pPr>
    </w:p>
    <w:p w14:paraId="2C092EAE">
      <w:pPr>
        <w:pStyle w:val="38"/>
        <w:spacing w:line="480" w:lineRule="auto"/>
        <w:ind w:firstLine="0" w:firstLineChars="0"/>
        <w:jc w:val="right"/>
        <w:rPr>
          <w:rFonts w:ascii="宋体" w:hAnsi="宋体"/>
          <w:sz w:val="18"/>
          <w:szCs w:val="18"/>
        </w:rPr>
      </w:pPr>
      <w:r>
        <w:drawing>
          <wp:inline distT="0" distB="0" distL="114300" distR="114300">
            <wp:extent cx="5391150" cy="2901950"/>
            <wp:effectExtent l="0" t="0" r="19050" b="1905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2"/>
                    <a:stretch>
                      <a:fillRect/>
                    </a:stretch>
                  </pic:blipFill>
                  <pic:spPr>
                    <a:xfrm>
                      <a:off x="0" y="0"/>
                      <a:ext cx="5391150" cy="2901950"/>
                    </a:xfrm>
                    <a:prstGeom prst="rect">
                      <a:avLst/>
                    </a:prstGeom>
                    <a:noFill/>
                    <a:ln>
                      <a:noFill/>
                    </a:ln>
                  </pic:spPr>
                </pic:pic>
              </a:graphicData>
            </a:graphic>
          </wp:inline>
        </w:drawing>
      </w:r>
    </w:p>
    <w:p w14:paraId="0ECC192D">
      <w:pPr>
        <w:pStyle w:val="38"/>
        <w:spacing w:line="400" w:lineRule="exact"/>
        <w:ind w:firstLine="0" w:firstLineChars="0"/>
        <w:jc w:val="center"/>
        <w:rPr>
          <w:rFonts w:ascii="宋体" w:hAnsi="宋体" w:eastAsia="宋体" w:cs="宋体"/>
          <w:szCs w:val="21"/>
        </w:rPr>
      </w:pPr>
      <w:r>
        <w:rPr>
          <w:rFonts w:hint="eastAsia" w:ascii="宋体" w:hAnsi="宋体" w:eastAsia="宋体" w:cs="宋体"/>
          <w:szCs w:val="21"/>
        </w:rPr>
        <w:t>图4.1 相关系统总体功能结构图</w:t>
      </w:r>
    </w:p>
    <w:p w14:paraId="13584BD8">
      <w:pPr>
        <w:pStyle w:val="4"/>
        <w:numPr>
          <w:ilvl w:val="1"/>
          <w:numId w:val="2"/>
        </w:numPr>
        <w:bidi w:val="0"/>
        <w:ind w:left="567" w:leftChars="0" w:hanging="567" w:firstLineChars="0"/>
      </w:pPr>
      <w:bookmarkStart w:id="49" w:name="_Toc28553"/>
      <w:bookmarkStart w:id="50" w:name="_Toc10900"/>
      <w:r>
        <w:rPr>
          <w:rFonts w:hint="eastAsia"/>
        </w:rPr>
        <w:t>功能结构设计</w:t>
      </w:r>
      <w:bookmarkEnd w:id="49"/>
      <w:bookmarkEnd w:id="50"/>
    </w:p>
    <w:p w14:paraId="20B737AD">
      <w:pPr>
        <w:spacing w:line="400" w:lineRule="exact"/>
        <w:ind w:firstLine="480" w:firstLineChars="200"/>
        <w:jc w:val="left"/>
        <w:rPr>
          <w:rFonts w:hint="eastAsia"/>
          <w:sz w:val="24"/>
        </w:rPr>
      </w:pPr>
      <w:r>
        <w:rPr>
          <w:rFonts w:hint="eastAsia"/>
          <w:sz w:val="24"/>
        </w:rPr>
        <w:t>系统划分为以下七大功能模块：</w:t>
      </w:r>
    </w:p>
    <w:p w14:paraId="3473FF47">
      <w:pPr>
        <w:pStyle w:val="2"/>
        <w:rPr>
          <w:rFonts w:hint="eastAsia" w:ascii="黑体" w:hAnsi="黑体" w:eastAsia="黑体" w:cs="黑体"/>
          <w:sz w:val="28"/>
          <w:szCs w:val="28"/>
        </w:rPr>
      </w:pPr>
    </w:p>
    <w:p w14:paraId="488B593B">
      <w:pPr>
        <w:pStyle w:val="5"/>
        <w:numPr>
          <w:ilvl w:val="2"/>
          <w:numId w:val="2"/>
        </w:numPr>
        <w:bidi w:val="0"/>
        <w:ind w:left="709" w:leftChars="0" w:hanging="709" w:firstLineChars="0"/>
        <w:rPr>
          <w:rFonts w:hint="eastAsia"/>
        </w:rPr>
      </w:pPr>
      <w:bookmarkStart w:id="51" w:name="_Toc29409"/>
      <w:bookmarkStart w:id="52" w:name="_Toc14434"/>
      <w:r>
        <w:rPr>
          <w:rFonts w:hint="eastAsia"/>
          <w:lang w:val="en-US" w:eastAsia="zh-CN"/>
        </w:rPr>
        <w:t xml:space="preserve"> </w:t>
      </w:r>
      <w:r>
        <w:rPr>
          <w:rFonts w:hint="eastAsia"/>
        </w:rPr>
        <w:t>用户认证模块</w:t>
      </w:r>
    </w:p>
    <w:p w14:paraId="3D38C908">
      <w:pPr>
        <w:spacing w:line="400" w:lineRule="exact"/>
        <w:ind w:firstLine="480" w:firstLineChars="200"/>
        <w:jc w:val="left"/>
        <w:rPr>
          <w:rFonts w:hint="eastAsia"/>
          <w:sz w:val="24"/>
        </w:rPr>
      </w:pPr>
      <w:r>
        <w:rPr>
          <w:rFonts w:hint="eastAsia"/>
          <w:sz w:val="24"/>
        </w:rPr>
        <w:t>职责：管理用户会话生命周期与权限边界。JWT Token 中嵌入 role 字段（admin/supervisor），前端路由守卫依据角色动态加载菜单，监管员可见大屏与预警列表，管理员额外可见系统配置页面。</w:t>
      </w:r>
    </w:p>
    <w:p w14:paraId="3148DFE6">
      <w:pPr>
        <w:pStyle w:val="5"/>
        <w:numPr>
          <w:ilvl w:val="2"/>
          <w:numId w:val="2"/>
        </w:numPr>
        <w:bidi w:val="0"/>
        <w:ind w:left="709" w:leftChars="0" w:hanging="709" w:firstLineChars="0"/>
        <w:rPr>
          <w:rFonts w:hint="eastAsia"/>
        </w:rPr>
      </w:pPr>
      <w:r>
        <w:rPr>
          <w:rFonts w:hint="eastAsia"/>
          <w:lang w:val="en-US" w:eastAsia="zh-CN"/>
        </w:rPr>
        <w:t>批次管理</w:t>
      </w:r>
      <w:r>
        <w:rPr>
          <w:rFonts w:hint="eastAsia"/>
        </w:rPr>
        <w:t>模块</w:t>
      </w:r>
    </w:p>
    <w:p w14:paraId="63E2B5D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批次的新增、编辑、删除、查询与溯源链展示能力。批次录入时同时提交检测数据和物流轨迹数据（支持多条）；批次号做服务端重复性校验；删除操作级联清理关联的检测数据、物流数据、预警记录和风险评估记录。</w:t>
      </w:r>
    </w:p>
    <w:p w14:paraId="25DB526D">
      <w:pPr>
        <w:pStyle w:val="5"/>
        <w:numPr>
          <w:ilvl w:val="2"/>
          <w:numId w:val="2"/>
        </w:numPr>
        <w:bidi w:val="0"/>
        <w:ind w:left="709" w:leftChars="0" w:hanging="709" w:firstLineChars="0"/>
        <w:rPr>
          <w:rFonts w:hint="eastAsia"/>
        </w:rPr>
      </w:pPr>
      <w:r>
        <w:rPr>
          <w:rFonts w:hint="eastAsia"/>
        </w:rPr>
        <w:t>数据清洗与智能分析模块</w:t>
      </w:r>
    </w:p>
    <w:p w14:paraId="7E3A16A7">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职责：实现批次数据的算法化处理与风险评估。核心流程：读取检测数据 + 物流数据 → 3σ 温湿度统计异常检测 → 加权规则风险评分 → 结果落库（risk_assessment + alert_record）。</w:t>
      </w:r>
    </w:p>
    <w:p w14:paraId="41345445">
      <w:pPr>
        <w:pStyle w:val="5"/>
        <w:numPr>
          <w:ilvl w:val="2"/>
          <w:numId w:val="2"/>
        </w:numPr>
        <w:bidi w:val="0"/>
        <w:ind w:left="709" w:leftChars="0" w:hanging="709" w:firstLineChars="0"/>
        <w:rPr>
          <w:rFonts w:hint="eastAsia"/>
        </w:rPr>
      </w:pPr>
      <w:r>
        <w:rPr>
          <w:rFonts w:hint="eastAsia"/>
        </w:rPr>
        <w:t>预警管理模块</w:t>
      </w:r>
    </w:p>
    <w:p w14:paraId="51DC99CB">
      <w:pPr>
        <w:keepNext w:val="0"/>
        <w:keepLines w:val="0"/>
        <w:pageBreakBefore w:val="0"/>
        <w:widowControl w:val="0"/>
        <w:kinsoku/>
        <w:wordWrap/>
        <w:overflowPunct/>
        <w:topLinePunct w:val="0"/>
        <w:autoSpaceDE/>
        <w:autoSpaceDN/>
        <w:bidi w:val="0"/>
        <w:adjustRightInd/>
        <w:snapToGrid/>
        <w:spacing w:line="400" w:lineRule="exact"/>
        <w:textAlignment w:val="auto"/>
        <w:outlineLvl w:val="9"/>
      </w:pPr>
      <w:r>
        <w:rPr>
          <w:rFonts w:hint="eastAsia" w:asciiTheme="minorEastAsia" w:hAnsiTheme="minorEastAsia" w:eastAsiaTheme="minorEastAsia" w:cstheme="minorEastAsia"/>
          <w:sz w:val="24"/>
          <w:szCs w:val="24"/>
        </w:rPr>
        <w:t>职责：提供预警数据的多维查询、统计分析与处理状态管理。预警大盘展示处理率、等级分布、7天趋势等聚合指标；预警列表支持按类型、处理状态过滤和关键字搜索；处理操作将 handled 标记置为 1。</w:t>
      </w:r>
    </w:p>
    <w:p w14:paraId="337CAC6C">
      <w:pPr>
        <w:pStyle w:val="5"/>
        <w:numPr>
          <w:ilvl w:val="2"/>
          <w:numId w:val="2"/>
        </w:numPr>
        <w:bidi w:val="0"/>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WebSocket 实时推送模块</w:t>
      </w:r>
    </w:p>
    <w:p w14:paraId="6C75F68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职责：实现服务端到客户端的主动数据推送。DataChangeNotifier 封装广播能力，DataChangeWebSocketHandler 管理会话集合，前端订阅 OVERVIEW_UPDATE 事件后自动刷新大盘数据。</w:t>
      </w:r>
    </w:p>
    <w:p w14:paraId="045FFFCC">
      <w:pPr>
        <w:rPr>
          <w:rFonts w:hint="eastAsia" w:asciiTheme="minorEastAsia" w:hAnsiTheme="minorEastAsia" w:eastAsiaTheme="minorEastAsia" w:cstheme="minorEastAsia"/>
          <w:sz w:val="24"/>
          <w:szCs w:val="24"/>
        </w:rPr>
      </w:pPr>
    </w:p>
    <w:p w14:paraId="05DDF16A">
      <w:pPr>
        <w:rPr>
          <w:rFonts w:hint="eastAsia"/>
          <w:lang w:val="en-US" w:eastAsia="zh-CN"/>
        </w:rPr>
      </w:pPr>
    </w:p>
    <w:p w14:paraId="5BE5B1BD">
      <w:pPr>
        <w:pStyle w:val="5"/>
        <w:numPr>
          <w:ilvl w:val="2"/>
          <w:numId w:val="2"/>
        </w:numPr>
        <w:bidi w:val="0"/>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监管大屏模块</w:t>
      </w:r>
    </w:p>
    <w:p w14:paraId="141249EF">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职责：将数据与算法结果转化为监管决策语言。基于 ECharts 实现仪表盘（风险指数）、饼图（风险等级分布）、柱状图（预警类型分布）、折线图（近30天趋势）。</w:t>
      </w:r>
    </w:p>
    <w:p w14:paraId="147C4030">
      <w:pPr>
        <w:pStyle w:val="5"/>
        <w:numPr>
          <w:ilvl w:val="2"/>
          <w:numId w:val="2"/>
        </w:numPr>
        <w:bidi w:val="0"/>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系统参数配置模块</w:t>
      </w:r>
    </w:p>
    <w:p w14:paraId="10A535C8">
      <w:pPr>
        <w:rPr>
          <w:rFonts w:hint="eastAsia"/>
          <w:lang w:val="en-US" w:eastAsia="zh-CN"/>
        </w:rPr>
      </w:pPr>
      <w:r>
        <w:rPr>
          <w:rFonts w:hint="eastAsia" w:asciiTheme="minorEastAsia" w:hAnsiTheme="minorEastAsia" w:eastAsiaTheme="minorEastAsia" w:cstheme="minorEastAsia"/>
          <w:sz w:val="24"/>
          <w:szCs w:val="24"/>
        </w:rPr>
        <w:t>职责：提供参数的持久化存储与动态生效机制。ConfigService 维护 Redis 缓存 + MySQL 主库的一致性，对外暴露配置变更监听（发布-订阅），参数修改后立即通知所有监听器。</w:t>
      </w:r>
    </w:p>
    <w:p w14:paraId="0699AE3A">
      <w:pPr>
        <w:pStyle w:val="4"/>
        <w:numPr>
          <w:ilvl w:val="1"/>
          <w:numId w:val="2"/>
        </w:numPr>
        <w:bidi w:val="0"/>
        <w:ind w:left="567" w:leftChars="0" w:hanging="567" w:firstLineChars="0"/>
      </w:pPr>
      <w:r>
        <w:rPr>
          <w:rFonts w:hint="eastAsia"/>
        </w:rPr>
        <w:t>数据库设计</w:t>
      </w:r>
      <w:bookmarkEnd w:id="51"/>
      <w:bookmarkEnd w:id="52"/>
    </w:p>
    <w:p w14:paraId="539F45BC">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sz w:val="24"/>
        </w:rPr>
      </w:pPr>
      <w:bookmarkStart w:id="53" w:name="_Toc731"/>
      <w:bookmarkStart w:id="54" w:name="_Toc4586"/>
      <w:r>
        <w:rPr>
          <w:rFonts w:hint="eastAsia"/>
          <w:sz w:val="24"/>
        </w:rPr>
        <w:t>通过E-R图能够直观显示系统中的数据信息以及表信息，属性关系等；在数据库中可以查询到表信息和名称，通过数据库的表信息能够明白表之间的关系结构和表内容等。</w:t>
      </w:r>
    </w:p>
    <w:p w14:paraId="6803B4A6">
      <w:pPr>
        <w:pStyle w:val="5"/>
        <w:numPr>
          <w:ilvl w:val="2"/>
          <w:numId w:val="2"/>
        </w:numPr>
        <w:bidi w:val="0"/>
        <w:ind w:left="709" w:leftChars="0" w:hanging="709" w:firstLineChars="0"/>
      </w:pPr>
      <w:r>
        <w:rPr>
          <w:rFonts w:hint="eastAsia"/>
        </w:rPr>
        <w:t>E-R图</w:t>
      </w:r>
      <w:bookmarkEnd w:id="53"/>
      <w:bookmarkEnd w:id="54"/>
      <w:r>
        <w:rPr>
          <w:rFonts w:hint="eastAsia"/>
          <w:lang w:eastAsia="zh-CN"/>
        </w:rPr>
        <w:t>（</w:t>
      </w:r>
      <w:r>
        <w:rPr>
          <w:rFonts w:hint="eastAsia"/>
          <w:lang w:val="en-US" w:eastAsia="zh-CN"/>
        </w:rPr>
        <w:t>待</w:t>
      </w:r>
      <w:r>
        <w:rPr>
          <w:rFonts w:hint="eastAsia"/>
          <w:lang w:eastAsia="zh-CN"/>
        </w:rPr>
        <w:t>）</w:t>
      </w:r>
    </w:p>
    <w:p w14:paraId="7C17328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本系统的E-R图如相关下图4.3所示。</w:t>
      </w:r>
    </w:p>
    <w:p w14:paraId="7B48AF27">
      <w:pPr>
        <w:pStyle w:val="38"/>
        <w:spacing w:line="480" w:lineRule="auto"/>
        <w:ind w:firstLine="420"/>
      </w:pPr>
      <w:r>
        <w:drawing>
          <wp:inline distT="0" distB="0" distL="114300" distR="114300">
            <wp:extent cx="5387975" cy="1430655"/>
            <wp:effectExtent l="0" t="0" r="22225" b="1714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3"/>
                    <a:stretch>
                      <a:fillRect/>
                    </a:stretch>
                  </pic:blipFill>
                  <pic:spPr>
                    <a:xfrm>
                      <a:off x="0" y="0"/>
                      <a:ext cx="5387975" cy="1430655"/>
                    </a:xfrm>
                    <a:prstGeom prst="rect">
                      <a:avLst/>
                    </a:prstGeom>
                    <a:noFill/>
                    <a:ln>
                      <a:noFill/>
                    </a:ln>
                  </pic:spPr>
                </pic:pic>
              </a:graphicData>
            </a:graphic>
          </wp:inline>
        </w:drawing>
      </w:r>
    </w:p>
    <w:p w14:paraId="5DD339DF">
      <w:pPr>
        <w:pStyle w:val="38"/>
        <w:spacing w:line="400" w:lineRule="exact"/>
        <w:ind w:firstLine="0" w:firstLineChars="0"/>
        <w:jc w:val="center"/>
        <w:rPr>
          <w:rFonts w:ascii="宋体" w:hAnsi="宋体" w:eastAsia="宋体" w:cs="宋体"/>
        </w:rPr>
      </w:pPr>
      <w:r>
        <w:rPr>
          <w:rFonts w:ascii="宋体" w:hAnsi="宋体" w:eastAsia="宋体" w:cs="宋体"/>
          <w:szCs w:val="21"/>
        </w:rPr>
        <w:t>图4.3</w:t>
      </w:r>
      <w:r>
        <w:rPr>
          <w:rFonts w:hint="eastAsia" w:ascii="宋体" w:hAnsi="宋体" w:eastAsia="宋体" w:cs="宋体"/>
          <w:szCs w:val="21"/>
        </w:rPr>
        <w:t>E-R结构示意图</w:t>
      </w:r>
    </w:p>
    <w:p w14:paraId="03F15CC3">
      <w:pPr>
        <w:pStyle w:val="5"/>
        <w:numPr>
          <w:ilvl w:val="2"/>
          <w:numId w:val="2"/>
        </w:numPr>
        <w:bidi w:val="0"/>
        <w:ind w:left="709" w:leftChars="0" w:hanging="709" w:firstLineChars="0"/>
      </w:pPr>
      <w:bookmarkStart w:id="55" w:name="_Toc3912"/>
      <w:bookmarkStart w:id="56" w:name="_Toc28987"/>
      <w:r>
        <w:rPr>
          <w:rFonts w:hint="eastAsia"/>
        </w:rPr>
        <w:t>数据表结构</w:t>
      </w:r>
      <w:bookmarkEnd w:id="55"/>
      <w:bookmarkEnd w:id="56"/>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5914"/>
        <w:gridCol w:w="7197"/>
      </w:tblGrid>
      <w:tr w14:paraId="55DA4E8B">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DDC574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表名</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6CBB7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主要字段（精简）</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6E98E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说明</w:t>
            </w:r>
          </w:p>
        </w:tc>
      </w:tr>
      <w:tr w14:paraId="30D58424">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ED5B8D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user_info</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E1B4A2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username(UNIQUE), password(BCrypt), role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BD4440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用户认证表，password 字段长度设为 100 兼容 BCrypt 哈希值</w:t>
            </w:r>
          </w:p>
        </w:tc>
      </w:tr>
      <w:tr w14:paraId="0C8F6416">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9C398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batch_info</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EFC0C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batch_no(UNIQUE), origin, production_date, enterprise, cleaned</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366A5E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食品批次主表，cleaned 标记是否已清洗（0=未清洗，1=已清洗）</w:t>
            </w:r>
          </w:p>
        </w:tc>
      </w:tr>
      <w:tr w14:paraId="21D0B285">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C3A45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detection_data</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C501D3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batch_id(FK), pesticide, heavy_metal, microbe, test_time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8BBFE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检测数据表，指标值使用 DECIMAL(10,4) 保证精度</w:t>
            </w:r>
          </w:p>
        </w:tc>
      </w:tr>
      <w:tr w14:paraId="18E21AD1">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79178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logistics_data</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38796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batch_id(FK), gps_lng, gps_lat, temperature, humidity, record_time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6F38BE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物流轨迹表，gps 使用 DECIMAL(10,8)，温湿度使用 DECIMAL(6,2)</w:t>
            </w:r>
          </w:p>
        </w:tc>
      </w:tr>
      <w:tr w14:paraId="7EED930F">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709A4A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alert_record</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1A8A1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batch_id(FK), alert_type, risk_score, handled, create_time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02856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预警主表，alert_type 枚举：TEMP/HUMIDITY/PESTICIDE/HEAVY_METAL/MICROBE/COMPOSITE</w:t>
            </w:r>
          </w:p>
        </w:tc>
      </w:tr>
      <w:tr w14:paraId="4D18E99F">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504DB9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risk_assessment</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8050B4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batch_id(FK), risk_level, risk_score, factors(JSON), assessment_date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4216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风险评估表，factors 存储 JSON 格式的评分归因明细</w:t>
            </w:r>
          </w:p>
        </w:tc>
      </w:tr>
      <w:tr w14:paraId="6AA2CC65">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474642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config_param</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91EA3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param_key(UNIQUE), param_value, param_type, param_group, editable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EAA27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系统参数表，editable 标记是否可编辑</w:t>
            </w:r>
          </w:p>
        </w:tc>
      </w:tr>
      <w:tr w14:paraId="355F9BC4">
        <w:trPr>
          <w:trHeight w:val="660" w:hRule="atLeast"/>
        </w:trPr>
        <w:tc>
          <w:tcPr>
            <w:tcW w:w="1889"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88AF5E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operation_log</w:t>
            </w:r>
          </w:p>
        </w:tc>
        <w:tc>
          <w:tcPr>
            <w:tcW w:w="5914"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28041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id(PK), username, operation_type, module, description, status, ip_address, create_time</w:t>
            </w:r>
          </w:p>
        </w:tc>
        <w:tc>
          <w:tcPr>
            <w:tcW w:w="7197"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C639DB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操作日志表，AOP 切面自动采集</w:t>
            </w:r>
          </w:p>
        </w:tc>
      </w:tr>
    </w:tbl>
    <w:p w14:paraId="33278E39">
      <w:pPr>
        <w:pStyle w:val="38"/>
        <w:spacing w:line="400" w:lineRule="exact"/>
        <w:ind w:left="0" w:leftChars="0" w:firstLine="0" w:firstLineChars="0"/>
        <w:jc w:val="left"/>
        <w:rPr>
          <w:rFonts w:hint="eastAsia" w:ascii="宋体" w:hAnsi="宋体" w:eastAsia="宋体" w:cs="宋体"/>
          <w:sz w:val="24"/>
        </w:rPr>
      </w:pPr>
    </w:p>
    <w:p w14:paraId="4A369175">
      <w:pPr>
        <w:pStyle w:val="4"/>
        <w:numPr>
          <w:ilvl w:val="1"/>
          <w:numId w:val="2"/>
        </w:numPr>
        <w:bidi w:val="0"/>
        <w:ind w:left="567" w:leftChars="0" w:hanging="567" w:firstLineChars="0"/>
        <w:rPr>
          <w:rFonts w:hint="eastAsia"/>
          <w:lang w:val="en-US" w:eastAsia="zh-CN"/>
        </w:rPr>
      </w:pPr>
      <w:r>
        <w:rPr>
          <w:rFonts w:hint="eastAsia"/>
          <w:lang w:val="en-US" w:eastAsia="zh-CN"/>
        </w:rPr>
        <w:t>接口设计</w:t>
      </w:r>
    </w:p>
    <w:p w14:paraId="563CE633">
      <w:pPr>
        <w:tabs>
          <w:tab w:val="left" w:pos="377"/>
        </w:tabs>
        <w:snapToGrid w:val="0"/>
        <w:spacing w:line="400" w:lineRule="exact"/>
        <w:jc w:val="left"/>
        <w:rPr>
          <w:rFonts w:ascii="Times New Roman" w:hAnsi="Times New Roman" w:eastAsia="宋体"/>
          <w:szCs w:val="21"/>
        </w:rPr>
      </w:pPr>
      <w:r>
        <w:rPr>
          <w:rFonts w:hint="eastAsia"/>
          <w:sz w:val="24"/>
        </w:rPr>
        <w:t>系统采用RESTful风格设计后端API，关键接口定义如下：</w:t>
      </w:r>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0"/>
        <w:gridCol w:w="3750"/>
        <w:gridCol w:w="3750"/>
        <w:gridCol w:w="3750"/>
      </w:tblGrid>
      <w:tr w14:paraId="5CB8894B">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6E778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接口路径</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16ED5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HTTP方法</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776F2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描述</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D6F59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响应状态码</w:t>
            </w:r>
          </w:p>
        </w:tc>
      </w:tr>
      <w:tr w14:paraId="4F882E48">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347FA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/api/auth/login</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F5628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POST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609D5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JWT 登录认证</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40334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 / 401 Unauthorized</w:t>
            </w:r>
          </w:p>
        </w:tc>
      </w:tr>
      <w:tr w14:paraId="4A8B7EEA">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7FC26D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/api/auth/register</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0E26B0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POST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21AE51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用户注册</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A09B81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 / 400 Bad Request</w:t>
            </w:r>
          </w:p>
        </w:tc>
      </w:tr>
      <w:tr w14:paraId="68296BD1">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9DA6AD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/api/batch/create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25A45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POST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60B49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创建批次及关联数据</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49B84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39B59F9F">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34670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/api/batch/query</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BF4A1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C0ADC9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批次列表查询（分页）</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43998C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60660F40">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DEE6A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/api/batch/{id}</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9EBDA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PUT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A1F2CD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编辑批次基础信息</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220C70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27F55DF4">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DB52B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/api/batch/{id}</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286404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DELETE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D1D629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删除批次（级联）</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FEBB1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14037786">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8BD01D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/api/batch/{id}/trace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43C7E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2682A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获取溯源链数据</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312B1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3A097599">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C0C315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/api/alert/list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A28FE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E228D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预警列表查询（分页）</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C5682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5728C480">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FFDF9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/api/alert/dashboard</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1E084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4AA289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预警大盘聚合数据</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EC9E16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21AA79F0">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E5D98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/api/alert/{id}/handle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739887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PUT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86A5F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标记预警已处理</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B4FE4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335A8201">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DD47F4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/api/overview</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210EF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54EA0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大盘概览聚合数据</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BEAD4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6E856125">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E7BBD9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/api/config/list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5F13D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5C5964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参数列表（分组）</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63C07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28A7BC4A">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02AE1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/api/config/update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87848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PUT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90E77F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更新参数值</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89783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729145EF">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0BAE2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/api/log/list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764BE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GET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7FAF1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操作日志列表（分页）</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718D23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7AF5C0F5">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F63E5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/api/simulation/generate</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A98DF3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POST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7E1D94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生成模拟批次数据</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B53280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r w14:paraId="7A7F3DED">
        <w:trPr>
          <w:trHeight w:val="660" w:hRule="atLeast"/>
        </w:trPr>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6241BB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/api/clean/trigger</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9CCF2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POST</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940F1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手动触发清洗</w:t>
            </w:r>
          </w:p>
        </w:tc>
        <w:tc>
          <w:tcPr>
            <w:tcW w:w="375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FA6AFF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200 OK</w:t>
            </w:r>
          </w:p>
        </w:tc>
      </w:tr>
    </w:tbl>
    <w:p w14:paraId="04525DAB">
      <w:pPr>
        <w:rPr>
          <w:rFonts w:hint="eastAsia"/>
          <w:lang w:val="en-US" w:eastAsia="zh-CN"/>
        </w:rPr>
      </w:pPr>
    </w:p>
    <w:p w14:paraId="137975E3">
      <w:pPr>
        <w:rPr>
          <w:rFonts w:hint="default"/>
          <w:lang w:val="en-US" w:eastAsia="zh-CN"/>
        </w:rPr>
      </w:pPr>
    </w:p>
    <w:p w14:paraId="1C7B29E3">
      <w:pPr>
        <w:pStyle w:val="4"/>
        <w:numPr>
          <w:ilvl w:val="1"/>
          <w:numId w:val="2"/>
        </w:numPr>
        <w:bidi w:val="0"/>
        <w:ind w:left="567" w:leftChars="0" w:hanging="567" w:firstLineChars="0"/>
        <w:rPr>
          <w:rFonts w:hint="eastAsia"/>
          <w:lang w:val="en-US" w:eastAsia="zh-CN"/>
        </w:rPr>
      </w:pPr>
      <w:r>
        <w:rPr>
          <w:rFonts w:hint="eastAsia"/>
          <w:lang w:val="en-US" w:eastAsia="zh-CN"/>
        </w:rPr>
        <w:t>可视化界面设计</w:t>
      </w:r>
    </w:p>
    <w:p w14:paraId="242716A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 Vue3 Composition API 开发，界面设计严格遵循监管场景工作流，共包含 8 个核心视图：</w:t>
      </w:r>
    </w:p>
    <w:p w14:paraId="589AEB1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登录页（/login）：深色毛玻璃风格，背景采用动态光球动画，tab 切换登录/注册表单，底部提供快捷登录入口（admin / supervisor01）；</w:t>
      </w:r>
    </w:p>
    <w:p w14:paraId="09B310D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大盘概览（/overview）：系统主视图，顶部 5 个统计卡片（批次总数/预警总数/待处理预警/平均温度/平均湿度），下方 4 个图表区域（风险等级分布饼图、风险评分直方图、预警类型柱状图、近30天趋势折线图），数据通过 WebSocket 实时推送自动刷新；</w:t>
      </w:r>
    </w:p>
    <w:p w14:paraId="0AE571C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批次录入（/batch/entry）：三区块表单（基础信息/检测数据/物流轨迹），批次号字段带异步重复性校验；</w:t>
      </w:r>
    </w:p>
    <w:p w14:paraId="543B5AF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批次查询（/batch/query）：多条件搜索表格，支持编辑、删除、溯源链跳转操作；</w:t>
      </w:r>
    </w:p>
    <w:p w14:paraId="2C57235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预警大盘（/alert/dashboard）：环形进度（处理率）、等级分布进度条、7天趋势柱状图、TOP5 预警批次排行；</w:t>
      </w:r>
    </w:p>
    <w:p w14:paraId="24339AF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预警列表（/alert/list）：预警记录表格，支持按类型/处理状态过滤，处理按钮仅对未处理预警可见；</w:t>
      </w:r>
    </w:p>
    <w:p w14:paraId="2181CFF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参数配置（/config）：参数分组展示（风险评分/异常检测/预警阈值/定时清洗），行内编辑保存后实时生效；</w:t>
      </w:r>
    </w:p>
    <w:p w14:paraId="3D6A7CC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操作日志（/operation-log）：AOP 自动采集的审计日志表格，展示用户名、角色、操作类型、时间戳等信息。</w:t>
      </w:r>
    </w:p>
    <w:p w14:paraId="5D8D8765">
      <w:pPr>
        <w:pStyle w:val="4"/>
        <w:numPr>
          <w:ilvl w:val="1"/>
          <w:numId w:val="2"/>
        </w:numPr>
        <w:bidi w:val="0"/>
        <w:ind w:left="567" w:leftChars="0" w:hanging="567" w:firstLineChars="0"/>
        <w:rPr>
          <w:rFonts w:hint="eastAsia"/>
          <w:lang w:val="en-US" w:eastAsia="zh-CN"/>
        </w:rPr>
      </w:pPr>
      <w:r>
        <w:rPr>
          <w:rFonts w:hint="eastAsia"/>
          <w:lang w:val="en-US" w:eastAsia="zh-CN"/>
        </w:rPr>
        <w:t>本章小结</w:t>
      </w:r>
    </w:p>
    <w:p w14:paraId="7B10A64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 SpringBoot 单体分层模型；在功能模块层面，围绕认证、批次管理、分析、预警、推送、大屏、配置七大任务，定义了高内聚、低耦合的服务边界与数据流转逻辑；在数据库层面，基于 E-R 图推导出 8 张核心表，字段设计直指业务语义；在接口层面，以 RESTful 规范定义了全部 API，覆盖全部监管操作场景；在可视化层面，所有界面设计均服务于监管决策闭环，形成"感知-研判-处置"完整动线。</w:t>
      </w:r>
    </w:p>
    <w:p w14:paraId="214D1E01">
      <w:pPr>
        <w:pStyle w:val="3"/>
        <w:numPr>
          <w:ilvl w:val="0"/>
          <w:numId w:val="2"/>
        </w:numPr>
        <w:bidi w:val="0"/>
        <w:ind w:left="425" w:leftChars="0" w:hanging="425" w:firstLineChars="0"/>
      </w:pPr>
      <w:bookmarkStart w:id="57" w:name="_Toc26965"/>
      <w:r>
        <w:rPr>
          <w:rFonts w:hint="eastAsia"/>
        </w:rPr>
        <w:t>基于SpringCloud的食品安全溯源系统</w:t>
      </w:r>
      <w:r>
        <w:t>功能模块实现</w:t>
      </w:r>
      <w:bookmarkEnd w:id="57"/>
    </w:p>
    <w:p w14:paraId="10E8475D">
      <w:pPr>
        <w:pStyle w:val="4"/>
        <w:numPr>
          <w:ilvl w:val="1"/>
          <w:numId w:val="2"/>
        </w:numPr>
        <w:bidi w:val="0"/>
        <w:ind w:left="567" w:leftChars="0" w:hanging="567" w:firstLineChars="0"/>
      </w:pPr>
      <w:r>
        <w:rPr>
          <w:rFonts w:hint="eastAsia"/>
          <w:lang w:val="en-US" w:eastAsia="zh-CN"/>
        </w:rPr>
        <w:t>系统开发环境</w:t>
      </w:r>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0"/>
        <w:gridCol w:w="5000"/>
        <w:gridCol w:w="5000"/>
      </w:tblGrid>
      <w:tr w14:paraId="03291AD6">
        <w:trPr>
          <w:trHeight w:val="74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5CE9FA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组件</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D935E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版本</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E67008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说明</w:t>
            </w:r>
          </w:p>
        </w:tc>
      </w:tr>
      <w:tr w14:paraId="0A466BCB">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CE6DD4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JDK</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71EBD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D46C1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Java 运行时环境</w:t>
            </w:r>
          </w:p>
        </w:tc>
      </w:tr>
      <w:tr w14:paraId="3E43CABD">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D6CB6F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SpringBoot</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7950C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2.7.18</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1D7D0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后端框架</w:t>
            </w:r>
          </w:p>
        </w:tc>
      </w:tr>
      <w:tr w14:paraId="19CAA52D">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5600A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MyBatis-Plus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047C6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3.5.5</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E56B2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ORM 增强工具</w:t>
            </w:r>
          </w:p>
        </w:tc>
      </w:tr>
      <w:tr w14:paraId="00B1930D">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57F44F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MySQL</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EF20C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5737F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主数据库</w:t>
            </w:r>
          </w:p>
        </w:tc>
      </w:tr>
      <w:tr w14:paraId="6A8A22D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2C2AA1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Redis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A3AF53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FD5DDF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配置缓存层</w:t>
            </w:r>
          </w:p>
        </w:tc>
      </w:tr>
      <w:tr w14:paraId="5575884C">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D9274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Node.js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56DB5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D9FE0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前端构建工具</w:t>
            </w:r>
          </w:p>
        </w:tc>
      </w:tr>
      <w:tr w14:paraId="528CBB83">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0C1934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Vue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5A0C7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3.3+</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C5B887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前端框架</w:t>
            </w:r>
          </w:p>
        </w:tc>
      </w:tr>
      <w:tr w14:paraId="395A02D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BDD5D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Vite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67E68F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2A66E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前端构建工具</w:t>
            </w:r>
          </w:p>
        </w:tc>
      </w:tr>
      <w:tr w14:paraId="70EE5E1B">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74EAD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Element Plus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07EA45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D787E9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Vue3 组件库</w:t>
            </w:r>
          </w:p>
        </w:tc>
      </w:tr>
      <w:tr w14:paraId="5B6D78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C761CA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ECharts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69423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5.4.x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811648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可视化图表库</w:t>
            </w:r>
          </w:p>
        </w:tc>
      </w:tr>
    </w:tbl>
    <w:p w14:paraId="2850C721">
      <w:pPr>
        <w:pStyle w:val="2"/>
        <w:spacing w:line="480" w:lineRule="auto"/>
        <w:ind w:left="0" w:leftChars="0" w:firstLine="0" w:firstLineChars="0"/>
        <w:jc w:val="both"/>
      </w:pPr>
    </w:p>
    <w:p w14:paraId="3F316E08">
      <w:pPr>
        <w:pStyle w:val="4"/>
        <w:numPr>
          <w:ilvl w:val="1"/>
          <w:numId w:val="2"/>
        </w:numPr>
        <w:bidi w:val="0"/>
        <w:ind w:left="567" w:leftChars="0" w:hanging="567" w:firstLineChars="0"/>
      </w:pPr>
      <w:r>
        <w:rPr>
          <w:rFonts w:hint="eastAsia"/>
          <w:lang w:val="en-US" w:eastAsia="zh-CN"/>
        </w:rPr>
        <w:t>用户认证模块实现</w:t>
      </w:r>
    </w:p>
    <w:p w14:paraId="2D6DE13A">
      <w:pPr>
        <w:pStyle w:val="5"/>
        <w:numPr>
          <w:ilvl w:val="2"/>
          <w:numId w:val="2"/>
        </w:numPr>
        <w:bidi w:val="0"/>
        <w:ind w:left="709" w:leftChars="0" w:hanging="709" w:firstLineChars="0"/>
      </w:pPr>
      <w:r>
        <w:rPr>
          <w:rFonts w:hint="eastAsia"/>
        </w:rPr>
        <w:t>JWT Token 生成与验证</w:t>
      </w:r>
    </w:p>
    <w:p w14:paraId="353E7D98">
      <w:pPr>
        <w:tabs>
          <w:tab w:val="left" w:pos="377"/>
        </w:tabs>
        <w:spacing w:line="400" w:lineRule="exact"/>
        <w:ind w:firstLine="480" w:firstLineChars="200"/>
        <w:jc w:val="left"/>
        <w:rPr>
          <w:rFonts w:hint="eastAsia"/>
        </w:rPr>
      </w:pPr>
      <w:r>
        <w:rPr>
          <w:rFonts w:hint="eastAsia" w:ascii="宋体" w:hAnsi="宋体" w:eastAsia="宋体" w:cs="宋体"/>
          <w:sz w:val="24"/>
        </w:rPr>
        <w:t>用户登录时，后端 AuthController 接收用户名和密码，通过 UserService 查询数据库后调用 BCrypt PasswordEncoder.matches() 比对密码。验证通过后，使用 JJWT 库（jjwt-api + jjwt-impl + jjwt-jackson）生成含用户名、角色和过期时间（2小时）的 JWT Token：</w:t>
      </w:r>
    </w:p>
    <w:p w14:paraId="5C2CBE87">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Map&lt;String, String&gt; claims = new HashMap&lt;&gt;();</w:t>
      </w:r>
    </w:p>
    <w:p w14:paraId="220401E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claims.put("username", username);</w:t>
      </w:r>
    </w:p>
    <w:p w14:paraId="622C99C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claims.put("role", user.getRole());</w:t>
      </w:r>
    </w:p>
    <w:p w14:paraId="1790DF03">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String token = Jwts.builder()</w:t>
      </w:r>
    </w:p>
    <w:p w14:paraId="187F0C2B">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.setClaims(claims)</w:t>
      </w:r>
    </w:p>
    <w:p w14:paraId="7FE5706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.setIssuedAt(new Date())</w:t>
      </w:r>
    </w:p>
    <w:p w14:paraId="0E631D9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.setExpiration(new Date(System.currentTimeMillis() + 2 * 3600 * 1000))</w:t>
      </w:r>
    </w:p>
    <w:p w14:paraId="21BFF8C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.signWith(Keys.hmacShaKeyFor(SECRET_KEY.getBytes()), SignatureAlgorithm.HS256)</w:t>
      </w:r>
    </w:p>
    <w:p w14:paraId="55BBC815">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.compact();：</w:t>
      </w:r>
    </w:p>
    <w:p w14:paraId="7B141DA7">
      <w:pPr>
        <w:pStyle w:val="2"/>
        <w:jc w:val="left"/>
      </w:pPr>
      <w:r>
        <w:t>前端在 Axios 请求拦截器中从 Pinia store 读取 Token，注入 Authorization: Bearer {token} 请求头；响应拦截器捕获 401 状态码，清空 Token 并跳转登录页。</w:t>
      </w:r>
    </w:p>
    <w:p w14:paraId="64963237">
      <w:pPr>
        <w:pStyle w:val="51"/>
        <w:numPr>
          <w:ilvl w:val="2"/>
          <w:numId w:val="2"/>
        </w:numPr>
        <w:tabs>
          <w:tab w:val="left" w:pos="377"/>
        </w:tabs>
        <w:spacing w:before="0" w:after="0" w:line="400" w:lineRule="exact"/>
        <w:ind w:left="709" w:leftChars="0" w:hanging="709" w:firstLineChars="0"/>
        <w:jc w:val="left"/>
        <w:rPr>
          <w:rFonts w:ascii="黑体" w:hAnsi="黑体" w:cs="黑体"/>
        </w:rPr>
      </w:pPr>
      <w:r>
        <w:rPr>
          <w:rFonts w:hint="eastAsia" w:ascii="黑体" w:hAnsi="黑体" w:cs="黑体"/>
        </w:rPr>
        <w:t>登录页面实现</w:t>
      </w:r>
    </w:p>
    <w:p w14:paraId="34D20C2E">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登录页（Login.vue）基于 Element Plus 的 el-tabs 组件实现登录/注册表单切换。背景采用 CSS @keyframes 动画生成多个随机位置和速度的渐变圆形，模拟"光球"漂浮效果。注册表单的确认密码字段使用 Element Plus 表单项的自定义校验器（validator 函数）验证两次输入是否一致。登录成功后 Pinia store 存储 Token 与用户信息，路由守卫根据角色动态注册菜单。</w:t>
      </w:r>
    </w:p>
    <w:p w14:paraId="5A640D1C">
      <w:pPr>
        <w:spacing w:line="480" w:lineRule="auto"/>
        <w:jc w:val="center"/>
        <w:rPr>
          <w:rFonts w:ascii="宋体" w:hAnsi="宋体" w:cs="宋体"/>
        </w:rPr>
      </w:pPr>
      <w:r>
        <w:drawing>
          <wp:inline distT="0" distB="0" distL="114300" distR="114300">
            <wp:extent cx="5271135" cy="3163570"/>
            <wp:effectExtent l="0" t="0" r="1206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71135" cy="3163570"/>
                    </a:xfrm>
                    <a:prstGeom prst="rect">
                      <a:avLst/>
                    </a:prstGeom>
                    <a:noFill/>
                    <a:ln>
                      <a:noFill/>
                    </a:ln>
                  </pic:spPr>
                </pic:pic>
              </a:graphicData>
            </a:graphic>
          </wp:inline>
        </w:drawing>
      </w:r>
    </w:p>
    <w:p w14:paraId="6F50B117">
      <w:pPr>
        <w:tabs>
          <w:tab w:val="left" w:pos="377"/>
        </w:tabs>
        <w:spacing w:line="400" w:lineRule="exact"/>
        <w:jc w:val="center"/>
        <w:rPr>
          <w:rFonts w:hint="default" w:ascii="宋体" w:hAnsi="宋体" w:eastAsia="宋体" w:cs="宋体"/>
          <w:lang w:val="en-US" w:eastAsia="zh-CN"/>
        </w:rPr>
      </w:pPr>
      <w:r>
        <w:rPr>
          <w:rFonts w:hint="eastAsia" w:ascii="宋体" w:hAnsi="宋体" w:eastAsia="宋体" w:cs="宋体"/>
        </w:rPr>
        <w:t>图5</w:t>
      </w:r>
      <w:r>
        <w:rPr>
          <w:rFonts w:ascii="宋体" w:hAnsi="宋体" w:eastAsia="宋体" w:cs="宋体"/>
        </w:rPr>
        <w:t>.</w:t>
      </w:r>
      <w:r>
        <w:rPr>
          <w:rFonts w:hint="eastAsia" w:ascii="宋体" w:hAnsi="宋体" w:eastAsia="宋体" w:cs="宋体"/>
          <w:lang w:val="en-US" w:eastAsia="zh-CN"/>
        </w:rPr>
        <w:t>1登陆页面实现</w:t>
      </w:r>
    </w:p>
    <w:p w14:paraId="7F01953B">
      <w:pPr>
        <w:pStyle w:val="4"/>
        <w:numPr>
          <w:ilvl w:val="1"/>
          <w:numId w:val="2"/>
        </w:numPr>
        <w:bidi w:val="0"/>
        <w:ind w:left="567" w:leftChars="0" w:hanging="567" w:firstLineChars="0"/>
      </w:pPr>
      <w:r>
        <w:rPr>
          <w:rFonts w:hint="eastAsia"/>
        </w:rPr>
        <w:t>批次管理模块实现</w:t>
      </w:r>
    </w:p>
    <w:p w14:paraId="2EA9874D">
      <w:pPr>
        <w:pStyle w:val="5"/>
        <w:numPr>
          <w:ilvl w:val="2"/>
          <w:numId w:val="2"/>
        </w:numPr>
        <w:ind w:left="709" w:leftChars="0" w:hanging="709" w:firstLineChars="0"/>
      </w:pPr>
      <w:bookmarkStart w:id="58" w:name="_Toc10149"/>
      <w:r>
        <w:rPr>
          <w:rFonts w:hint="eastAsia"/>
        </w:rPr>
        <w:t>批次录入</w:t>
      </w:r>
    </w:p>
    <w:p w14:paraId="69E2E118">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lang w:val="en-US" w:eastAsia="zh-CN"/>
        </w:rPr>
        <w:t>B</w:t>
      </w:r>
      <w:r>
        <w:rPr>
          <w:rFonts w:hint="eastAsia" w:ascii="宋体" w:hAnsi="宋体" w:eastAsia="宋体" w:cs="宋体"/>
          <w:sz w:val="24"/>
        </w:rPr>
        <w:t>atchController.createBatch() 接收批次基础信息、检测数据和物流轨迹（列表），在事务内依次执行：batchInfoMapper.insert(batch) → detectionDataMapper.insert(detection) → logisticsDataMapper.insertBatch(logisticsList)。批次号通过远程服务调用（RestTemplate）进行重复性校验，返回 409 Conflict 供前端显示错误提示。</w:t>
      </w:r>
    </w:p>
    <w:p w14:paraId="6DF9ED80">
      <w:pPr>
        <w:rPr>
          <w:rFonts w:hint="eastAsia" w:ascii="宋体" w:hAnsi="宋体" w:eastAsia="宋体" w:cs="宋体"/>
          <w:sz w:val="24"/>
        </w:rPr>
      </w:pPr>
      <w:r>
        <w:rPr>
          <w:rFonts w:hint="eastAsia" w:ascii="宋体" w:hAnsi="宋体" w:eastAsia="宋体" w:cs="宋体"/>
          <w:sz w:val="24"/>
        </w:rPr>
        <w:t>录入成功后触发数据清洗：DataCleanService.cleanBatch(batchId) 执行算法分析，结果落库后调用 DataChangeNotifier.pushOverviewUpdate() 推送 WebSocket 消息，前端自动刷新大盘。</w:t>
      </w:r>
      <w:r>
        <w:drawing>
          <wp:inline distT="0" distB="0" distL="114300" distR="114300">
            <wp:extent cx="5266690" cy="2849245"/>
            <wp:effectExtent l="0" t="0" r="16510" b="209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5266690" cy="2849245"/>
                    </a:xfrm>
                    <a:prstGeom prst="rect">
                      <a:avLst/>
                    </a:prstGeom>
                    <a:noFill/>
                    <a:ln>
                      <a:noFill/>
                    </a:ln>
                  </pic:spPr>
                </pic:pic>
              </a:graphicData>
            </a:graphic>
          </wp:inline>
        </w:drawing>
      </w:r>
    </w:p>
    <w:p w14:paraId="0397945B">
      <w:pPr>
        <w:pStyle w:val="2"/>
        <w:rPr>
          <w:rFonts w:hint="eastAsia"/>
        </w:rPr>
      </w:pPr>
    </w:p>
    <w:p w14:paraId="65F26466">
      <w:pPr>
        <w:pStyle w:val="2"/>
      </w:pPr>
      <w:r>
        <w:rPr>
          <w:rFonts w:hint="eastAsia"/>
        </w:rPr>
        <w:t>图5.</w:t>
      </w:r>
      <w:r>
        <w:rPr>
          <w:rFonts w:hint="eastAsia"/>
          <w:lang w:val="en-US" w:eastAsia="zh-CN"/>
        </w:rPr>
        <w:t>2</w:t>
      </w:r>
      <w:r>
        <w:rPr>
          <w:rFonts w:hint="eastAsia"/>
        </w:rPr>
        <w:t>登陆页面实现</w:t>
      </w:r>
    </w:p>
    <w:p w14:paraId="528BDFF9">
      <w:pPr>
        <w:pStyle w:val="5"/>
        <w:numPr>
          <w:ilvl w:val="2"/>
          <w:numId w:val="2"/>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溯源链查询</w:t>
      </w:r>
    </w:p>
    <w:p w14:paraId="249F991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TraceService.getTraceChain(batchId) 以批次为中心聚合全量数据：</w:t>
      </w:r>
    </w:p>
    <w:p w14:paraId="538BC3D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public TraceChainDTO getTraceChain(Long batchId) {</w:t>
      </w:r>
    </w:p>
    <w:p w14:paraId="043B318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BatchInfo batch = batchInfoMapper.selectById(batchId);</w:t>
      </w:r>
    </w:p>
    <w:p w14:paraId="4A9479C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DetectionData detection = detectionDataMapper.selectLatestByBatchId(batchId);</w:t>
      </w:r>
    </w:p>
    <w:p w14:paraId="4B77BC46">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List&lt;LogisticsData&gt; logistics = logisticsDataMapper.selectByBatchId(batchId);</w:t>
      </w:r>
    </w:p>
    <w:p w14:paraId="055D415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RiskAssessment assessment = riskAssessmentMapper.selectByBatchId(batchId);</w:t>
      </w:r>
    </w:p>
    <w:p w14:paraId="059E47EA">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List&lt;AlertRecord&gt; alerts = alertRecordMapper.selectByBatchId(batchId);</w:t>
      </w:r>
    </w:p>
    <w:p w14:paraId="7B2D345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 组装 DTO 返回</w:t>
      </w:r>
    </w:p>
    <w:p w14:paraId="43F8EA0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768368D8">
      <w:pPr>
        <w:rPr>
          <w:rFonts w:hint="eastAsia" w:ascii="宋体" w:hAnsi="宋体" w:eastAsia="宋体" w:cs="宋体"/>
          <w:sz w:val="24"/>
        </w:rPr>
      </w:pPr>
      <w:r>
        <w:rPr>
          <w:rFonts w:hint="eastAsia" w:ascii="宋体" w:hAnsi="宋体" w:eastAsia="宋体" w:cs="宋体"/>
          <w:sz w:val="24"/>
        </w:rPr>
        <w:t>前端 TraceChain.vue 以时间线形式依次展示：批次基础信息 → 检测环节（三个指标数值及是否超标高亮）→ 物流轨迹列表（温度/湿度异常行高亮）→ 风险评估结果（圆环分数 + JSON 明细展开）→ 预警记录列表。</w:t>
      </w:r>
    </w:p>
    <w:p w14:paraId="7B1B80DE">
      <w:pPr>
        <w:pStyle w:val="2"/>
        <w:rPr>
          <w:rFonts w:hint="eastAsia"/>
        </w:rPr>
      </w:pPr>
      <w:r>
        <w:drawing>
          <wp:inline distT="0" distB="0" distL="114300" distR="114300">
            <wp:extent cx="5266690" cy="28492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stretch>
                      <a:fillRect/>
                    </a:stretch>
                  </pic:blipFill>
                  <pic:spPr>
                    <a:xfrm>
                      <a:off x="0" y="0"/>
                      <a:ext cx="5266690" cy="2849245"/>
                    </a:xfrm>
                    <a:prstGeom prst="rect">
                      <a:avLst/>
                    </a:prstGeom>
                    <a:noFill/>
                    <a:ln>
                      <a:noFill/>
                    </a:ln>
                  </pic:spPr>
                </pic:pic>
              </a:graphicData>
            </a:graphic>
          </wp:inline>
        </w:drawing>
      </w:r>
    </w:p>
    <w:p w14:paraId="4C7C0ADD">
      <w:pPr>
        <w:pStyle w:val="2"/>
        <w:rPr>
          <w:rFonts w:hint="eastAsia"/>
          <w:lang w:val="en-US" w:eastAsia="zh-CN"/>
        </w:rPr>
      </w:pPr>
      <w:r>
        <w:rPr>
          <w:rFonts w:hint="eastAsia"/>
          <w:lang w:val="en-US" w:eastAsia="zh-CN"/>
        </w:rPr>
        <w:t>图5.3溯源链页面实现</w:t>
      </w:r>
    </w:p>
    <w:bookmarkEnd w:id="58"/>
    <w:p w14:paraId="161F9867">
      <w:pPr>
        <w:pStyle w:val="4"/>
        <w:numPr>
          <w:ilvl w:val="1"/>
          <w:numId w:val="2"/>
        </w:numPr>
        <w:bidi w:val="0"/>
        <w:ind w:left="567" w:leftChars="0" w:hanging="567" w:firstLineChars="0"/>
      </w:pPr>
      <w:r>
        <w:rPr>
          <w:rFonts w:hint="eastAsia"/>
        </w:rPr>
        <w:t>数据清洗与智能分析</w:t>
      </w:r>
      <w:r>
        <w:rPr>
          <w:rFonts w:hint="eastAsia"/>
          <w:lang w:val="en-US" w:eastAsia="zh-CN"/>
        </w:rPr>
        <w:t>算法</w:t>
      </w:r>
      <w:r>
        <w:rPr>
          <w:rFonts w:hint="eastAsia"/>
        </w:rPr>
        <w:t>模块实现</w:t>
      </w:r>
    </w:p>
    <w:p w14:paraId="344B07E4">
      <w:pPr>
        <w:pStyle w:val="5"/>
        <w:numPr>
          <w:ilvl w:val="2"/>
          <w:numId w:val="2"/>
        </w:numPr>
        <w:ind w:left="709" w:leftChars="0" w:hanging="709" w:firstLineChars="0"/>
      </w:pPr>
      <w:bookmarkStart w:id="59" w:name="_Toc9125"/>
      <w:bookmarkStart w:id="60" w:name="_Toc291185505"/>
      <w:r>
        <w:rPr>
          <w:rFonts w:hint="eastAsia"/>
        </w:rPr>
        <w:t>StatisticalAnomalyDetector（3σ 异常检测）</w:t>
      </w:r>
    </w:p>
    <w:p w14:paraId="54DA75A1">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该类实现基于拉依达准则（3σ 原则）**的物流温湿度异常检测算法。对于同一批次的 n 条物流轨迹数据，分别计算温度和湿度的样本均值（x̄）与样本标准差（s），其中：</w:t>
      </w:r>
    </w:p>
    <w:p w14:paraId="21A85DE1">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$s = \sqrt{\frac{\sum_{i=1}^{n}(x_i - \bar{x})^2}{n-1}}$</w:t>
      </w:r>
    </w:p>
    <w:p w14:paraId="055EE4AA">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对于每条物流记录，计算其偏离度 $|x_i - \bar{x}|$ 与标准差 s 的比值，映射到 [0, 1] 区间得到异常分数：</w:t>
      </w:r>
    </w:p>
    <w:p w14:paraId="2D8293B5">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public double calculateAnomalyScore(List&lt;LogisticsData&gt; records, double value) {</w:t>
      </w:r>
    </w:p>
    <w:p w14:paraId="27D88DD0">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if (records.size() &lt; 2) return 0.0;</w:t>
      </w:r>
    </w:p>
    <w:p w14:paraId="38166E60">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double mean = calculateMean(records);</w:t>
      </w:r>
    </w:p>
    <w:p w14:paraId="20DE3879">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double std = calculateStd(records, mean);</w:t>
      </w:r>
    </w:p>
    <w:p w14:paraId="6C772DD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if (std &lt; 0.001) return 0.0;  // 方差过小视为无波动</w:t>
      </w:r>
    </w:p>
    <w:p w14:paraId="5DA9FE9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double deviation = Math.abs(value - mean) / std;</w:t>
      </w:r>
    </w:p>
    <w:p w14:paraId="0C3505A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 0-2σ: 0~0.3 | 2-3σ: 0.3~0.7 | &gt;3σ: 0.7~1.0</w:t>
      </w:r>
    </w:p>
    <w:p w14:paraId="190CE87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double score = Math.min(1.0, (deviation - 2.0) / 3.0 * 0.4 + 0.3);</w:t>
      </w:r>
    </w:p>
    <w:p w14:paraId="0024AC9A">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return Math.max(0.0, score);</w:t>
      </w:r>
    </w:p>
    <w:p w14:paraId="3B16ECEB">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6CE95492">
      <w:pPr>
        <w:tabs>
          <w:tab w:val="left" w:pos="377"/>
        </w:tabs>
        <w:spacing w:line="400" w:lineRule="exact"/>
        <w:ind w:firstLine="480" w:firstLineChars="200"/>
      </w:pPr>
      <w:r>
        <w:rPr>
          <w:rFonts w:hint="eastAsia" w:ascii="宋体" w:hAnsi="宋体" w:eastAsia="宋体" w:cs="宋体"/>
          <w:sz w:val="24"/>
        </w:rPr>
        <w:t>所有阈值（σ 系数、分数映射区间）均通过 ConfigService.getNumericValue(key) 动态读取，配置文件示例：anomaly.temp.sigma=3、anomaly.humidity.sigma=3。</w:t>
      </w:r>
    </w:p>
    <w:p w14:paraId="459DF6CB">
      <w:pPr>
        <w:pStyle w:val="5"/>
        <w:numPr>
          <w:ilvl w:val="2"/>
          <w:numId w:val="2"/>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RiskScoring（加权风险评分）</w:t>
      </w:r>
    </w:p>
    <w:p w14:paraId="7260A981">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该类采用规则驱动的加权评分机制，将风险评分分为检测指标维度（占总分 70%）和物流维度（占总分 30%）：</w:t>
      </w:r>
    </w:p>
    <w:p w14:paraId="673E2EB8">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检测指标权重分配：农残 35%，重金属 35%，微生物 30%</w:t>
      </w:r>
    </w:p>
    <w:p w14:paraId="74566CC0">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BigDecimal pesticideWeight = configService.getNumericValue("risk.weight.pesticide", new BigDecimal("0.35"));</w:t>
      </w:r>
    </w:p>
    <w:p w14:paraId="60559529">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BigDecimal heavyMetalWeight = configService.getNumericValue("risk.weight.heavy_metal", new BigDecimal("0.35"));</w:t>
      </w:r>
    </w:p>
    <w:p w14:paraId="15973534">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BigDecimal microbeWeight = configService.getNumericValue("risk.weight.microbe", new BigDecimal("0.30"));</w:t>
      </w:r>
    </w:p>
    <w:p w14:paraId="63535A9E">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物流权重分配：温度 60%，湿度 40%</w:t>
      </w:r>
    </w:p>
    <w:p w14:paraId="67B2711D">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BigDecimal tempWeight = configService.getNumericValue("risk.weight.temp", new BigDecimal("0.60"));</w:t>
      </w:r>
    </w:p>
    <w:p w14:paraId="5FC5D2E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超标型指标（农残、重金属、微生物）采用分段线性评分：超标 1 倍内得分 0-60 分，1-3 倍得分 60-90 分，3 倍以上得分 91-100 分。范围型指标（温度、湿度）按相对偏离度计分。最终评分 = Σ(检测指标分 × 权重) × 0.7 + Σ(物流指标分 × 权重) × 0.3。</w:t>
      </w:r>
    </w:p>
    <w:p w14:paraId="3E13B1B4">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评分结果判定风险等级：0-30 分为 Low，31-70 分为 Medium，71-100 分为 High。所有权重和阈值均从 config_param 表动态读取。</w:t>
      </w:r>
    </w:p>
    <w:p w14:paraId="44BFEA96">
      <w:pPr>
        <w:rPr>
          <w:rFonts w:hint="eastAsia"/>
          <w:lang w:val="en-US" w:eastAsia="zh-CN"/>
        </w:rPr>
      </w:pPr>
    </w:p>
    <w:p w14:paraId="2ADB0B55">
      <w:pPr>
        <w:pStyle w:val="5"/>
        <w:numPr>
          <w:ilvl w:val="2"/>
          <w:numId w:val="2"/>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DataCleanService（清洗流水线入口）</w:t>
      </w:r>
    </w:p>
    <w:p w14:paraId="68CF9E14">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cleanBatch(Long batchId) 方法串联检测数据读取、异常检测、风险评分、结果落库的全流程：</w:t>
      </w:r>
    </w:p>
    <w:p w14:paraId="60268B87">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public void cleanBatch(Long batchId) {</w:t>
      </w:r>
    </w:p>
    <w:p w14:paraId="28B6DCE8">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1. 读取检测数据</w:t>
      </w:r>
    </w:p>
    <w:p w14:paraId="05A4F5EB">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DetectionData detection = detectionDataMapper.selectLatestByBatchId(batchId);</w:t>
      </w:r>
    </w:p>
    <w:p w14:paraId="5E7DA5B8">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List&lt;LogisticsData&gt; logistics = logisticsDataMapper.selectByBatchId(batchId);</w:t>
      </w:r>
    </w:p>
    <w:p w14:paraId="6E26288B">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2. 3σ 异常检测</w:t>
      </w:r>
    </w:p>
    <w:p w14:paraId="164B28D1">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double tempAnomaly = anomalyDetector.detectTemperatureAnomaly(logistics);</w:t>
      </w:r>
    </w:p>
    <w:p w14:paraId="0CBCCC91">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double humAnomaly = anomalyDetector.detectHumidityAnomaly(logistics);</w:t>
      </w:r>
    </w:p>
    <w:p w14:paraId="664CDC17">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3. 风险评分</w:t>
      </w:r>
    </w:p>
    <w:p w14:paraId="45EC674E">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RiskScoringResult result = riskScoring.calculateScore(detection, logistics);</w:t>
      </w:r>
    </w:p>
    <w:p w14:paraId="6720ED21">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4. 落库 risk_assessment</w:t>
      </w:r>
    </w:p>
    <w:p w14:paraId="07EFA34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RiskAssessment assessment = new RiskAssessment();</w:t>
      </w:r>
    </w:p>
    <w:p w14:paraId="715EB93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assessment.setBatchId(batchId);</w:t>
      </w:r>
    </w:p>
    <w:p w14:paraId="579FA09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assessment.setRiskLevel(result.getLevel());</w:t>
      </w:r>
    </w:p>
    <w:p w14:paraId="5E2C919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assessment.setRiskScore(result.getScore());</w:t>
      </w:r>
    </w:p>
    <w:p w14:paraId="3252BD6B">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assessment.setFactors(toJson(result.getFactors()));</w:t>
      </w:r>
    </w:p>
    <w:p w14:paraId="53AF4597">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riskAssessmentMapper.insert(assessment);</w:t>
      </w:r>
    </w:p>
    <w:p w14:paraId="172C3E4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5. 生成预警记录</w:t>
      </w:r>
    </w:p>
    <w:p w14:paraId="19DC348D">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if (tempAnomaly &gt; threshold || result.getScore() &gt; alertThreshold) {</w:t>
      </w:r>
    </w:p>
    <w:p w14:paraId="1302DCB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AlertRecord alert = new AlertRecord();</w:t>
      </w:r>
    </w:p>
    <w:p w14:paraId="7181E4FD">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alert.setBatchId(batchId);</w:t>
      </w:r>
    </w:p>
    <w:p w14:paraId="45B18455">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alert.setAlertType(determineAlertType(tempAnomaly, result));</w:t>
      </w:r>
    </w:p>
    <w:p w14:paraId="5A4265D2">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alert.setRiskScore(BigDecimal.valueOf(result.getScore()));</w:t>
      </w:r>
    </w:p>
    <w:p w14:paraId="1CFC34E1">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alertRecordMapper.insert(alert);</w:t>
      </w:r>
    </w:p>
    <w:p w14:paraId="5E5453F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w:t>
      </w:r>
    </w:p>
    <w:p w14:paraId="2E5B344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6. 标记批次已清洗</w:t>
      </w:r>
    </w:p>
    <w:p w14:paraId="2A0FAED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batchInfoMapper.updateCleaned(batchId, 1);</w:t>
      </w:r>
    </w:p>
    <w:p w14:paraId="5EB0EE66">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w:t>
      </w:r>
    </w:p>
    <w:p w14:paraId="3F72A23B">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cleanAllUnprocessed() 方法由 DataCleanScheduler 定时调用，遍历所有 cleaned=0 的批次执行清洗逻辑。</w:t>
      </w:r>
    </w:p>
    <w:p w14:paraId="30985403">
      <w:pPr>
        <w:rPr>
          <w:rFonts w:hint="eastAsia"/>
          <w:lang w:val="en-US" w:eastAsia="zh-CN"/>
        </w:rPr>
      </w:pPr>
    </w:p>
    <w:p w14:paraId="68739D6E">
      <w:pPr>
        <w:pStyle w:val="5"/>
        <w:numPr>
          <w:ilvl w:val="2"/>
          <w:numId w:val="2"/>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定时清洗调度器的动态调度实现</w:t>
      </w:r>
    </w:p>
    <w:p w14:paraId="2D15ACA0">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传统 @Scheduled 注解写死间隔，无法响应配置变更。本系统使用 TaskScheduler 配合 ConfigService 发布-订阅机制实现动态调度：</w:t>
      </w:r>
    </w:p>
    <w:p w14:paraId="3A51B5D0">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@PostConstruct 启动时注册配置监听器</w:t>
      </w:r>
    </w:p>
    <w:p w14:paraId="5579399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configService.addListener("schedule.enabled", (key, newValue) -&gt; {</w:t>
      </w:r>
    </w:p>
    <w:p w14:paraId="0CF4AF55">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if ("true".equalsIgnoreCase(newValue.trim())) {</w:t>
      </w:r>
    </w:p>
    <w:p w14:paraId="58CCB71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doSchedule();    // 开启调度</w:t>
      </w:r>
    </w:p>
    <w:p w14:paraId="2B120800">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else {</w:t>
      </w:r>
    </w:p>
    <w:p w14:paraId="0C84E46E">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doUnschedule();  // 停止调度</w:t>
      </w:r>
    </w:p>
    <w:p w14:paraId="226B1FC6">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w:t>
      </w:r>
    </w:p>
    <w:p w14:paraId="22C2F00A">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w:t>
      </w:r>
    </w:p>
    <w:p w14:paraId="724210EF">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configService.addListener("schedule.interval", (key, newValue) -&gt; {</w:t>
      </w:r>
    </w:p>
    <w:p w14:paraId="4724288D">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if (scheduled) {</w:t>
      </w:r>
    </w:p>
    <w:p w14:paraId="38ACE898">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doReschedule();  // 间隔变更时重新调度</w:t>
      </w:r>
    </w:p>
    <w:p w14:paraId="77B4D5C3">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w:t>
      </w:r>
    </w:p>
    <w:p w14:paraId="18D6CA4C">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w:t>
      </w:r>
    </w:p>
    <w:p w14:paraId="747F703E">
      <w:pPr>
        <w:tabs>
          <w:tab w:val="left" w:pos="377"/>
        </w:tabs>
        <w:spacing w:line="400" w:lineRule="exact"/>
        <w:ind w:firstLine="480" w:firstLineChars="200"/>
        <w:jc w:val="left"/>
        <w:rPr>
          <w:rFonts w:hint="eastAsia" w:ascii="宋体" w:hAnsi="宋体" w:eastAsia="宋体" w:cs="宋体"/>
          <w:sz w:val="24"/>
        </w:rPr>
      </w:pPr>
    </w:p>
    <w:p w14:paraId="63B3A808">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scheduleAtFixedRate 以固定间隔执行</w:t>
      </w:r>
    </w:p>
    <w:p w14:paraId="625E1E59">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currentTask = taskScheduler.scheduleAtFixedRate(</w:t>
      </w:r>
    </w:p>
    <w:p w14:paraId="12BAE119">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 -&gt; runOnce(),</w:t>
      </w:r>
    </w:p>
    <w:p w14:paraId="5E8AC407">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 xml:space="preserve">    intervalMs</w:t>
      </w:r>
    </w:p>
    <w:p w14:paraId="04314A85">
      <w:pPr>
        <w:tabs>
          <w:tab w:val="left" w:pos="377"/>
        </w:tabs>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w:t>
      </w:r>
    </w:p>
    <w:p w14:paraId="44F920B8">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当管理员在参数配置页面修改 schedule.enabled=true 或 schedule.interval=60 时，对应的监听器立即被触发，清洗任务随之开启或以新间隔重新调度，无需重启服务。</w:t>
      </w:r>
    </w:p>
    <w:p w14:paraId="7F652F15">
      <w:pPr>
        <w:rPr>
          <w:rFonts w:hint="eastAsia"/>
          <w:lang w:val="en-US" w:eastAsia="zh-CN"/>
        </w:rPr>
      </w:pPr>
    </w:p>
    <w:bookmarkEnd w:id="59"/>
    <w:bookmarkEnd w:id="60"/>
    <w:p w14:paraId="0AB60697">
      <w:pPr>
        <w:pStyle w:val="4"/>
        <w:numPr>
          <w:ilvl w:val="1"/>
          <w:numId w:val="2"/>
        </w:numPr>
        <w:bidi w:val="0"/>
        <w:ind w:left="567" w:leftChars="0" w:hanging="567" w:firstLineChars="0"/>
      </w:pPr>
      <w:r>
        <w:rPr>
          <w:rFonts w:hint="eastAsia"/>
        </w:rPr>
        <w:t>WebSocket 实时推送模块实现</w:t>
      </w:r>
    </w:p>
    <w:p w14:paraId="03C47DA2">
      <w:pPr>
        <w:pStyle w:val="5"/>
        <w:numPr>
          <w:ilvl w:val="2"/>
          <w:numId w:val="2"/>
        </w:numPr>
        <w:ind w:left="709" w:leftChars="0" w:hanging="709" w:firstLineChars="0"/>
      </w:pPr>
      <w:bookmarkStart w:id="61" w:name="_Toc7977"/>
      <w:bookmarkStart w:id="62" w:name="_Toc291185510"/>
      <w:r>
        <w:rPr>
          <w:rFonts w:hint="eastAsia"/>
        </w:rPr>
        <w:t>后端 WebSocket 配置与广播</w:t>
      </w:r>
    </w:p>
    <w:p w14:paraId="4C56B64A">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WebSocketConfig 实现 WebSocketConfigurer，将 DataChangeWebSocketHandler 注册为 /ws/data-change 端点：</w:t>
      </w:r>
    </w:p>
    <w:p w14:paraId="68BB3212">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registry.addHandler(dataChangeWebSocketHandler, "/ws/data-change")</w:t>
      </w:r>
    </w:p>
    <w:p w14:paraId="67C74346">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.setAllowedOrigins("*");</w:t>
      </w:r>
    </w:p>
    <w:p w14:paraId="487C7A7C">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DataChangeWebSocketHandler 维护 CopyOnWriteArraySet&lt;WebSocketSession&gt; 存储所有在线会话，broadcast(Map payload) 遍历所有会话发送 JSON 消息：</w:t>
      </w:r>
    </w:p>
    <w:p w14:paraId="29B1A465">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public void broadcast(Map&lt;String, Object&gt; payload) {</w:t>
      </w:r>
    </w:p>
    <w:p w14:paraId="0F63B4B6">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payload.put("timestamp", LocalDateTime.now().toString());</w:t>
      </w:r>
    </w:p>
    <w:p w14:paraId="2E116B4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String json = objectMapper.writeValueAsString(payload);</w:t>
      </w:r>
    </w:p>
    <w:p w14:paraId="25230E88">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for (WebSocketSession session : sessions) {</w:t>
      </w:r>
    </w:p>
    <w:p w14:paraId="4C8D9AF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if (session.isOpen()) {</w:t>
      </w:r>
    </w:p>
    <w:p w14:paraId="31A91868">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session.sendMessage(new TextMessage(json));</w:t>
      </w:r>
    </w:p>
    <w:p w14:paraId="25E9379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w:t>
      </w:r>
    </w:p>
    <w:p w14:paraId="2B9DC36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w:t>
      </w:r>
    </w:p>
    <w:p w14:paraId="0D3CDA18">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29702DBA">
      <w:pPr>
        <w:tabs>
          <w:tab w:val="left" w:pos="377"/>
        </w:tabs>
        <w:spacing w:line="400" w:lineRule="exact"/>
        <w:ind w:firstLine="480" w:firstLineChars="200"/>
        <w:rPr>
          <w:rFonts w:ascii="宋体" w:hAnsi="宋体" w:cs="宋体"/>
        </w:rPr>
      </w:pPr>
      <w:r>
        <w:rPr>
          <w:rFonts w:hint="eastAsia" w:ascii="宋体" w:hAnsi="宋体" w:eastAsia="宋体" w:cs="宋体"/>
          <w:sz w:val="24"/>
        </w:rPr>
        <w:t>DataChangeNotifier 作为门面类封装广播能力，对外暴露 pushOverviewUpdate()、pushAlertNew()、pushBatchNew() 三个方法，业务层调用这些方法时无需感知 WebSocket 细节。</w:t>
      </w:r>
    </w:p>
    <w:p w14:paraId="1359C79A">
      <w:r>
        <w:drawing>
          <wp:inline distT="0" distB="0" distL="114300" distR="114300">
            <wp:extent cx="5267325" cy="5143500"/>
            <wp:effectExtent l="0" t="0" r="15875"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7"/>
                    <a:stretch>
                      <a:fillRect/>
                    </a:stretch>
                  </pic:blipFill>
                  <pic:spPr>
                    <a:xfrm>
                      <a:off x="0" y="0"/>
                      <a:ext cx="5267325" cy="5143500"/>
                    </a:xfrm>
                    <a:prstGeom prst="rect">
                      <a:avLst/>
                    </a:prstGeom>
                    <a:noFill/>
                    <a:ln>
                      <a:noFill/>
                    </a:ln>
                  </pic:spPr>
                </pic:pic>
              </a:graphicData>
            </a:graphic>
          </wp:inline>
        </w:drawing>
      </w:r>
    </w:p>
    <w:p w14:paraId="02F30A70">
      <w:pPr>
        <w:pStyle w:val="2"/>
        <w:rPr>
          <w:rFonts w:hint="default" w:eastAsiaTheme="minorEastAsia"/>
          <w:lang w:val="en-US" w:eastAsia="zh-CN"/>
        </w:rPr>
      </w:pPr>
      <w:r>
        <w:rPr>
          <w:rFonts w:hint="eastAsia"/>
        </w:rPr>
        <w:t>图5.</w:t>
      </w:r>
      <w:r>
        <w:rPr>
          <w:rFonts w:hint="eastAsia"/>
          <w:lang w:val="en-US" w:eastAsia="zh-CN"/>
        </w:rPr>
        <w:t>4 websocket实时推送时序图</w:t>
      </w:r>
    </w:p>
    <w:p w14:paraId="71616A21">
      <w:pPr>
        <w:pStyle w:val="5"/>
        <w:numPr>
          <w:ilvl w:val="2"/>
          <w:numId w:val="2"/>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ascii="Times New Roman" w:hAnsi="Times New Roman" w:eastAsia="黑体" w:cstheme="minorBidi"/>
          <w:kern w:val="2"/>
          <w:sz w:val="28"/>
          <w:szCs w:val="24"/>
          <w:lang w:val="en-US" w:eastAsia="zh-CN" w:bidi="ar-SA"/>
        </w:rPr>
        <w:t>前端 WebSocket 客户端封装</w:t>
      </w:r>
    </w:p>
    <w:p w14:paraId="35F32C69">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前端 ws.js 封装了订阅-发布模式与指数退避重连机制：</w:t>
      </w:r>
    </w:p>
    <w:p w14:paraId="2C611DE5">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连接地址根据当前页面协议自动选择 ws/wss</w:t>
      </w:r>
    </w:p>
    <w:p w14:paraId="5910461A">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const WS_URL = `${location.protocol === 'https:' ? 'wss' : 'ws'}://${location.host}/ws/data-change`</w:t>
      </w:r>
    </w:p>
    <w:p w14:paraId="398E5CA3">
      <w:pPr>
        <w:tabs>
          <w:tab w:val="left" w:pos="377"/>
        </w:tabs>
        <w:spacing w:line="400" w:lineRule="exact"/>
        <w:ind w:firstLine="480" w:firstLineChars="200"/>
        <w:rPr>
          <w:rFonts w:hint="eastAsia" w:ascii="宋体" w:hAnsi="宋体" w:eastAsia="宋体" w:cs="宋体"/>
          <w:sz w:val="24"/>
        </w:rPr>
      </w:pPr>
    </w:p>
    <w:p w14:paraId="5065D90D">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订阅指定类型的消息</w:t>
      </w:r>
    </w:p>
    <w:p w14:paraId="3DB9D88F">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function on(type, handler) {</w:t>
      </w:r>
    </w:p>
    <w:p w14:paraId="1B559E50">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listeners[type] ??= []</w:t>
      </w:r>
    </w:p>
    <w:p w14:paraId="0568C13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listeners[type].push(handler)</w:t>
      </w:r>
    </w:p>
    <w:p w14:paraId="511B0DA9">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1A0EF460">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收到消息时根据 type 分发给对应 handler</w:t>
      </w:r>
    </w:p>
    <w:p w14:paraId="33687275">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function emit(type, data) {</w:t>
      </w:r>
    </w:p>
    <w:p w14:paraId="3ECAC307">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listeners[type]?.forEach(h =&gt; h(data))</w:t>
      </w:r>
    </w:p>
    <w:p w14:paraId="20DD5658">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467D6C89">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指数退避重连：1s → 2s → 5s → 10s → 30s</w:t>
      </w:r>
    </w:p>
    <w:p w14:paraId="062685D1">
      <w:pPr>
        <w:rPr>
          <w:rFonts w:hint="eastAsia"/>
          <w:lang w:val="en-US" w:eastAsia="zh-CN"/>
        </w:rPr>
      </w:pPr>
      <w:r>
        <w:rPr>
          <w:rFonts w:hint="eastAsia" w:ascii="宋体" w:hAnsi="宋体" w:eastAsia="宋体" w:cs="宋体"/>
          <w:sz w:val="24"/>
        </w:rPr>
        <w:t>在 Vue 组件 onMounted 时订阅 WebSocket 消息，onUnmounted 时取消订阅并主动关闭连接，通过 readyState 判断防止在连接建立过程中误关闭。</w:t>
      </w:r>
    </w:p>
    <w:bookmarkEnd w:id="61"/>
    <w:bookmarkEnd w:id="62"/>
    <w:p w14:paraId="75AE43EE">
      <w:pPr>
        <w:pStyle w:val="4"/>
        <w:numPr>
          <w:ilvl w:val="1"/>
          <w:numId w:val="2"/>
        </w:numPr>
        <w:bidi w:val="0"/>
        <w:ind w:left="567" w:leftChars="0" w:hanging="567" w:firstLineChars="0"/>
      </w:pPr>
      <w:r>
        <w:rPr>
          <w:rFonts w:hint="eastAsia"/>
        </w:rPr>
        <w:t>监管大屏可视化模块实现</w:t>
      </w:r>
    </w:p>
    <w:p w14:paraId="6D0E931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大盘概览页面（Overview.vue）集成了 5 个 ECharts 图表，初始化时创建图表实例，WebSocket 推送 OVERVIEW_UPDATE 事件时触发 chart.setOption(newOption, true) 以完全替换模式更新数据：</w:t>
      </w:r>
    </w:p>
    <w:p w14:paraId="548A922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wsService.on('OVERVIEW_UPDATE', (data) =&gt; {</w:t>
      </w:r>
    </w:p>
    <w:p w14:paraId="0B0D0C43">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overviewData.value = data</w:t>
      </w:r>
    </w:p>
    <w:p w14:paraId="67992454">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 xml:space="preserve">    // 各图表通过 watch 响应式监听 overviewData，自动调用 setOption</w:t>
      </w:r>
    </w:p>
    <w:p w14:paraId="4AA3AB5E">
      <w:pPr>
        <w:tabs>
          <w:tab w:val="left" w:pos="377"/>
        </w:tabs>
        <w:spacing w:line="400" w:lineRule="exact"/>
        <w:ind w:firstLine="480" w:firstLineChars="200"/>
        <w:rPr>
          <w:rFonts w:hint="eastAsia" w:ascii="宋体" w:hAnsi="宋体" w:eastAsia="宋体" w:cs="宋体"/>
          <w:sz w:val="24"/>
        </w:rPr>
      </w:pPr>
      <w:r>
        <w:rPr>
          <w:rFonts w:hint="eastAsia" w:ascii="宋体" w:hAnsi="宋体" w:eastAsia="宋体" w:cs="宋体"/>
          <w:sz w:val="24"/>
        </w:rPr>
        <w:t>})</w:t>
      </w:r>
    </w:p>
    <w:p w14:paraId="7587EF14">
      <w:pPr>
        <w:tabs>
          <w:tab w:val="left" w:pos="377"/>
        </w:tabs>
        <w:spacing w:line="400" w:lineRule="exact"/>
        <w:ind w:firstLine="480" w:firstLineChars="200"/>
        <w:rPr>
          <w:rFonts w:ascii="宋体" w:hAnsi="宋体" w:cs="宋体"/>
        </w:rPr>
      </w:pPr>
      <w:r>
        <w:rPr>
          <w:rFonts w:hint="eastAsia" w:ascii="宋体" w:hAnsi="宋体" w:eastAsia="宋体" w:cs="宋体"/>
          <w:sz w:val="24"/>
        </w:rPr>
        <w:t>风险等级饼图通过 visualMap 将 Low（绿）/ Medium（橙）/ High（红）三段颜色固化在配置中，悬停显示详细信息。趋势折线图支持鼠标拖拽缩放时间范围，便于监管人员观察特定时间段的批次与预警波动。</w:t>
      </w:r>
    </w:p>
    <w:p w14:paraId="5C3017F6">
      <w:pPr>
        <w:tabs>
          <w:tab w:val="left" w:pos="377"/>
        </w:tabs>
        <w:spacing w:line="480" w:lineRule="auto"/>
        <w:jc w:val="center"/>
      </w:pPr>
      <w:r>
        <w:drawing>
          <wp:inline distT="0" distB="0" distL="114300" distR="114300">
            <wp:extent cx="5266690" cy="2849245"/>
            <wp:effectExtent l="0" t="0" r="16510"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266690" cy="2849245"/>
                    </a:xfrm>
                    <a:prstGeom prst="rect">
                      <a:avLst/>
                    </a:prstGeom>
                    <a:noFill/>
                    <a:ln>
                      <a:noFill/>
                    </a:ln>
                  </pic:spPr>
                </pic:pic>
              </a:graphicData>
            </a:graphic>
          </wp:inline>
        </w:drawing>
      </w:r>
    </w:p>
    <w:p w14:paraId="62E291A0">
      <w:pPr>
        <w:tabs>
          <w:tab w:val="left" w:pos="377"/>
        </w:tabs>
        <w:spacing w:line="400" w:lineRule="exact"/>
        <w:jc w:val="center"/>
      </w:pPr>
      <w:r>
        <w:rPr>
          <w:rFonts w:hint="eastAsia" w:ascii="宋体" w:hAnsi="宋体" w:eastAsia="宋体" w:cs="宋体"/>
          <w:szCs w:val="21"/>
        </w:rPr>
        <w:t>图5.</w:t>
      </w:r>
      <w:r>
        <w:rPr>
          <w:rFonts w:hint="eastAsia" w:ascii="宋体" w:hAnsi="宋体" w:eastAsia="宋体" w:cs="宋体"/>
          <w:szCs w:val="21"/>
          <w:lang w:val="en-US" w:eastAsia="zh-CN"/>
        </w:rPr>
        <w:t>5 监管大屏页面图</w:t>
      </w:r>
    </w:p>
    <w:p w14:paraId="3482CC76">
      <w:r>
        <w:br w:type="page"/>
      </w:r>
    </w:p>
    <w:p w14:paraId="621CD87E">
      <w:pPr>
        <w:pStyle w:val="2"/>
        <w:spacing w:line="480" w:lineRule="auto"/>
        <w:ind w:firstLine="0" w:firstLineChars="0"/>
        <w:jc w:val="both"/>
      </w:pPr>
    </w:p>
    <w:p w14:paraId="67369BEA">
      <w:pPr>
        <w:pStyle w:val="4"/>
        <w:numPr>
          <w:ilvl w:val="1"/>
          <w:numId w:val="2"/>
        </w:numPr>
        <w:bidi w:val="0"/>
        <w:ind w:left="567" w:leftChars="0" w:hanging="567" w:firstLineChars="0"/>
      </w:pPr>
      <w:bookmarkStart w:id="63" w:name="_Toc28755"/>
      <w:r>
        <w:rPr>
          <w:rFonts w:hint="eastAsia" w:ascii="Times New Roman" w:hAnsi="Times New Roman" w:eastAsia="黑体" w:cstheme="minorBidi"/>
          <w:kern w:val="2"/>
          <w:sz w:val="30"/>
          <w:szCs w:val="24"/>
          <w:lang w:val="en-US" w:eastAsia="zh-CN" w:bidi="ar-SA"/>
        </w:rPr>
        <w:t>系统参数配置模块实现</w:t>
      </w:r>
    </w:p>
    <w:p w14:paraId="3826B56D">
      <w:pPr>
        <w:adjustRightInd w:val="0"/>
        <w:snapToGrid w:val="0"/>
        <w:spacing w:line="400" w:lineRule="exact"/>
        <w:ind w:firstLine="480" w:firstLineChars="200"/>
        <w:jc w:val="left"/>
        <w:rPr>
          <w:rFonts w:hint="eastAsia"/>
          <w:sz w:val="24"/>
        </w:rPr>
      </w:pPr>
      <w:r>
        <w:rPr>
          <w:rFonts w:hint="eastAsia"/>
          <w:sz w:val="24"/>
        </w:rPr>
        <w:t>ConfigService 实现了配置的 CRUD + Redis 缓存 + 发布-订阅监听三层能力：</w:t>
      </w:r>
    </w:p>
    <w:p w14:paraId="380C4630">
      <w:pPr>
        <w:adjustRightInd w:val="0"/>
        <w:snapToGrid w:val="0"/>
        <w:spacing w:line="400" w:lineRule="exact"/>
        <w:ind w:firstLine="480" w:firstLineChars="200"/>
        <w:jc w:val="left"/>
        <w:rPr>
          <w:rFonts w:hint="eastAsia"/>
          <w:sz w:val="24"/>
        </w:rPr>
      </w:pPr>
      <w:r>
        <w:rPr>
          <w:rFonts w:hint="eastAsia"/>
          <w:sz w:val="24"/>
        </w:rPr>
        <w:t>缓存层：读取时优先查 Redis（config:{key}，TTL 30 分钟），未命中再查 DB 并回填缓存；</w:t>
      </w:r>
    </w:p>
    <w:p w14:paraId="19082006">
      <w:pPr>
        <w:adjustRightInd w:val="0"/>
        <w:snapToGrid w:val="0"/>
        <w:spacing w:line="400" w:lineRule="exact"/>
        <w:ind w:firstLine="480" w:firstLineChars="200"/>
        <w:jc w:val="left"/>
        <w:rPr>
          <w:rFonts w:hint="eastAsia"/>
          <w:sz w:val="24"/>
        </w:rPr>
      </w:pPr>
      <w:r>
        <w:rPr>
          <w:rFonts w:hint="eastAsia"/>
          <w:sz w:val="24"/>
        </w:rPr>
        <w:t>持久层：更新时先写 MySQL，再同步更新 Redis，确保一致性；</w:t>
      </w:r>
    </w:p>
    <w:p w14:paraId="0D8ADB2A">
      <w:pPr>
        <w:adjustRightInd w:val="0"/>
        <w:snapToGrid w:val="0"/>
        <w:spacing w:line="400" w:lineRule="exact"/>
        <w:ind w:firstLine="480" w:firstLineChars="200"/>
        <w:jc w:val="left"/>
        <w:rPr>
          <w:rFonts w:hint="eastAsia"/>
          <w:sz w:val="24"/>
        </w:rPr>
      </w:pPr>
      <w:r>
        <w:rPr>
          <w:rFonts w:hint="eastAsia"/>
          <w:sz w:val="24"/>
        </w:rPr>
        <w:t>监听层：addListener(key, listener) 注册变更监听器，updateParam() 在更新成功后主动调用所有监听器的 onChange(key, newValue) 回调。</w:t>
      </w:r>
    </w:p>
    <w:p w14:paraId="4CE791D2">
      <w:pPr>
        <w:adjustRightInd w:val="0"/>
        <w:snapToGrid w:val="0"/>
        <w:spacing w:line="400" w:lineRule="exact"/>
        <w:ind w:firstLine="480" w:firstLineChars="200"/>
        <w:jc w:val="left"/>
        <w:rPr>
          <w:rFonts w:hint="eastAsia"/>
          <w:sz w:val="24"/>
        </w:rPr>
      </w:pPr>
      <w:r>
        <w:rPr>
          <w:rFonts w:hint="eastAsia"/>
          <w:sz w:val="24"/>
        </w:rPr>
        <w:t>前端 Config.vue 以 el-radio-group 分组展示参数，点击保存后调用 /api/config/update 接口，后端 updateParam() 返回成功后直接更新本地 row.paramValue，实时生效。</w:t>
      </w:r>
    </w:p>
    <w:p w14:paraId="4559C9AD">
      <w:pPr>
        <w:pStyle w:val="2"/>
        <w:rPr>
          <w:rFonts w:hint="eastAsia"/>
        </w:rPr>
      </w:pPr>
      <w:r>
        <w:drawing>
          <wp:inline distT="0" distB="0" distL="114300" distR="114300">
            <wp:extent cx="5266690" cy="2849245"/>
            <wp:effectExtent l="0" t="0" r="1651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66690" cy="2849245"/>
                    </a:xfrm>
                    <a:prstGeom prst="rect">
                      <a:avLst/>
                    </a:prstGeom>
                    <a:noFill/>
                    <a:ln>
                      <a:noFill/>
                    </a:ln>
                  </pic:spPr>
                </pic:pic>
              </a:graphicData>
            </a:graphic>
          </wp:inline>
        </w:drawing>
      </w:r>
    </w:p>
    <w:p w14:paraId="546010B0">
      <w:pPr>
        <w:pStyle w:val="2"/>
      </w:pPr>
      <w:r>
        <w:rPr>
          <w:rFonts w:hint="eastAsia"/>
        </w:rPr>
        <w:t>图5.</w:t>
      </w:r>
      <w:r>
        <w:rPr>
          <w:rFonts w:hint="eastAsia"/>
          <w:lang w:val="en-US" w:eastAsia="zh-CN"/>
        </w:rPr>
        <w:t>6参数配置</w:t>
      </w:r>
      <w:r>
        <w:rPr>
          <w:rFonts w:hint="eastAsia"/>
        </w:rPr>
        <w:t>页面实现</w:t>
      </w:r>
    </w:p>
    <w:p w14:paraId="3540AE96">
      <w:pPr>
        <w:pStyle w:val="4"/>
        <w:numPr>
          <w:ilvl w:val="1"/>
          <w:numId w:val="2"/>
        </w:numPr>
        <w:bidi w:val="0"/>
        <w:ind w:left="567" w:leftChars="0" w:hanging="567" w:firstLineChars="0"/>
        <w:rPr>
          <w:rFonts w:hint="eastAsia" w:ascii="Times New Roman" w:hAnsi="Times New Roman" w:eastAsia="黑体" w:cstheme="minorBidi"/>
          <w:kern w:val="2"/>
          <w:sz w:val="30"/>
          <w:szCs w:val="24"/>
          <w:lang w:val="en-US" w:eastAsia="zh-CN" w:bidi="ar-SA"/>
        </w:rPr>
      </w:pPr>
      <w:bookmarkStart w:id="64" w:name="_Toc7428"/>
      <w:r>
        <w:rPr>
          <w:rFonts w:hint="eastAsia" w:ascii="Times New Roman" w:hAnsi="Times New Roman" w:eastAsia="黑体" w:cstheme="minorBidi"/>
          <w:kern w:val="2"/>
          <w:sz w:val="30"/>
          <w:szCs w:val="24"/>
          <w:lang w:val="en-US" w:eastAsia="zh-CN" w:bidi="ar-SA"/>
        </w:rPr>
        <w:t>操作日志审计模块实现</w:t>
      </w:r>
    </w:p>
    <w:p w14:paraId="34BB2850">
      <w:pPr>
        <w:adjustRightInd w:val="0"/>
        <w:snapToGrid w:val="0"/>
        <w:spacing w:line="400" w:lineRule="exact"/>
        <w:ind w:firstLine="480" w:firstLineChars="200"/>
        <w:jc w:val="left"/>
        <w:rPr>
          <w:rFonts w:hint="eastAsia"/>
          <w:sz w:val="24"/>
        </w:rPr>
      </w:pPr>
      <w:r>
        <w:rPr>
          <w:rFonts w:hint="eastAsia"/>
          <w:sz w:val="24"/>
        </w:rPr>
        <w:t>本系统采用 Spring AOP 切面实现操作日志的自动采集。OperationLogAspect 拦截所有 @RestController 中以特定前缀开头的方法（如 /api/batch/*、/api/alert/*），通过 JoinPoint 获取目标方法名、类名，通过 HandlerMethodArgumentResolver 解析 @LoginUser 注解获取当前操作用户名，通过 HttpServletRequest 获取 IP 地址和请求参数。密码字段在记录前做脱敏处理（替换为 ****）。日志异步写入数据库，避免阻塞主业务流程。</w:t>
      </w:r>
    </w:p>
    <w:p w14:paraId="03767E48">
      <w:pPr>
        <w:pStyle w:val="2"/>
        <w:rPr>
          <w:rFonts w:hint="eastAsia"/>
        </w:rPr>
      </w:pPr>
      <w:r>
        <w:drawing>
          <wp:inline distT="0" distB="0" distL="114300" distR="114300">
            <wp:extent cx="5266690" cy="2849245"/>
            <wp:effectExtent l="0" t="0" r="16510"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66690" cy="2849245"/>
                    </a:xfrm>
                    <a:prstGeom prst="rect">
                      <a:avLst/>
                    </a:prstGeom>
                    <a:noFill/>
                    <a:ln>
                      <a:noFill/>
                    </a:ln>
                  </pic:spPr>
                </pic:pic>
              </a:graphicData>
            </a:graphic>
          </wp:inline>
        </w:drawing>
      </w:r>
    </w:p>
    <w:p w14:paraId="062E296F">
      <w:pPr>
        <w:jc w:val="center"/>
        <w:rPr>
          <w:rFonts w:hint="eastAsia"/>
          <w:lang w:val="en-US" w:eastAsia="zh-CN"/>
        </w:rPr>
      </w:pPr>
      <w:r>
        <w:rPr>
          <w:rFonts w:hint="eastAsia"/>
          <w:lang w:val="en-US" w:eastAsia="zh-CN"/>
        </w:rPr>
        <w:t>图5.7操作日志审计页面实现</w:t>
      </w:r>
    </w:p>
    <w:p w14:paraId="584A35FB">
      <w:pPr>
        <w:pStyle w:val="4"/>
        <w:numPr>
          <w:ilvl w:val="1"/>
          <w:numId w:val="2"/>
        </w:numPr>
        <w:bidi w:val="0"/>
        <w:ind w:left="567" w:leftChars="0" w:hanging="567" w:firstLineChars="0"/>
        <w:rPr>
          <w:rFonts w:hint="eastAsia" w:ascii="Times New Roman" w:hAnsi="Times New Roman" w:eastAsia="黑体" w:cstheme="minorBidi"/>
          <w:kern w:val="2"/>
          <w:sz w:val="30"/>
          <w:szCs w:val="24"/>
          <w:lang w:val="en-US" w:eastAsia="zh-CN" w:bidi="ar-SA"/>
        </w:rPr>
      </w:pPr>
      <w:r>
        <w:rPr>
          <w:rFonts w:hint="eastAsia" w:ascii="Times New Roman" w:hAnsi="Times New Roman" w:eastAsia="黑体" w:cstheme="minorBidi"/>
          <w:kern w:val="2"/>
          <w:sz w:val="30"/>
          <w:szCs w:val="24"/>
          <w:lang w:val="en-US" w:eastAsia="zh-CN" w:bidi="ar-SA"/>
        </w:rPr>
        <w:t>本章小结</w:t>
      </w:r>
    </w:p>
    <w:p w14:paraId="0FE29DA3">
      <w:pPr>
        <w:rPr>
          <w:rFonts w:hint="eastAsia"/>
          <w:lang w:val="en-US" w:eastAsia="zh-CN"/>
        </w:rPr>
      </w:pPr>
      <w:r>
        <w:rPr>
          <w:rFonts w:hint="eastAsia"/>
          <w:sz w:val="24"/>
        </w:rPr>
        <w:t>本章围绕系统七大功能模块逐一展开实现细节的解析。JWT 认证通过 BCrypt + JJWT 实现安全无状态鉴权；批次管理通过 MyBatis-Plus 事务保障数据一致性；3σ 异常检测与加权风险评分算法均基于纯 Java 原生实现，阈值参数化存储于配置表，支持运行时动态调整；TaskScheduler + ConfigService 发布-订阅机制实现定时任务的动态调度；WebSocket 推送通过 DataChangeNotifier 门面统一封装，前端订阅-发布模式实现多页面实时同步；ECharts 图表通过响应式数据绑定实现无刷新自动重绘；AOP 切面实现零侵入的操作日志采集。</w:t>
      </w:r>
    </w:p>
    <w:p w14:paraId="6FDA6FB8">
      <w:pPr>
        <w:pStyle w:val="3"/>
        <w:numPr>
          <w:ilvl w:val="0"/>
          <w:numId w:val="2"/>
        </w:numPr>
        <w:bidi w:val="0"/>
        <w:ind w:left="425" w:leftChars="0" w:hanging="425" w:firstLineChars="0"/>
        <w:rPr>
          <w:rFonts w:hint="eastAsia"/>
          <w:sz w:val="24"/>
        </w:rPr>
      </w:pPr>
      <w:r>
        <w:rPr>
          <w:rFonts w:hint="eastAsia"/>
        </w:rPr>
        <w:t>基于SpringCloud的食品安全溯源系统测试</w:t>
      </w:r>
      <w:bookmarkEnd w:id="63"/>
      <w:bookmarkEnd w:id="64"/>
    </w:p>
    <w:p w14:paraId="7FDD2EBB">
      <w:pPr>
        <w:adjustRightInd w:val="0"/>
        <w:snapToGrid w:val="0"/>
        <w:spacing w:line="400" w:lineRule="exact"/>
        <w:ind w:firstLine="480" w:firstLineChars="200"/>
        <w:jc w:val="left"/>
        <w:rPr>
          <w:sz w:val="24"/>
        </w:rPr>
      </w:pPr>
    </w:p>
    <w:p w14:paraId="606BB0F4">
      <w:pPr>
        <w:pStyle w:val="4"/>
        <w:numPr>
          <w:ilvl w:val="1"/>
          <w:numId w:val="4"/>
        </w:numPr>
        <w:bidi w:val="0"/>
        <w:ind w:left="567" w:leftChars="0" w:hanging="567" w:firstLineChars="0"/>
        <w:rPr>
          <w:rFonts w:hint="eastAsia"/>
          <w:lang w:val="en-US" w:eastAsia="zh-CN"/>
        </w:rPr>
      </w:pPr>
      <w:r>
        <w:rPr>
          <w:rFonts w:hint="eastAsia"/>
          <w:lang w:val="en-US" w:eastAsia="zh-CN"/>
        </w:rPr>
        <w:t>测试环境</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5000"/>
        <w:gridCol w:w="5000"/>
        <w:gridCol w:w="5000"/>
      </w:tblGrid>
      <w:tr w14:paraId="0293E4D5">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B92C71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组件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A48EA8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版本</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61D1E6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说明</w:t>
            </w:r>
          </w:p>
        </w:tc>
      </w:tr>
      <w:tr w14:paraId="4237D8B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35AF48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操作系统</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D643B2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macOS 14 / Windows 11</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716FF9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开发与测试环境</w:t>
            </w:r>
          </w:p>
        </w:tc>
      </w:tr>
      <w:tr w14:paraId="76C1DEAF">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82E1B6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JDK</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4EE07A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OpenJDK 11</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560A02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Java 运行时</w:t>
            </w:r>
          </w:p>
        </w:tc>
      </w:tr>
      <w:tr w14:paraId="32A873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19DDDD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MySQL</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2DA87E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8.0.33</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279A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数据库</w:t>
            </w:r>
          </w:p>
        </w:tc>
      </w:tr>
      <w:tr w14:paraId="37C00B6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230F15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Redis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342204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7.0.11</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15FAF5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缓存</w:t>
            </w:r>
          </w:p>
        </w:tc>
      </w:tr>
      <w:tr w14:paraId="772776B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D20F59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Chrome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0DA798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120+</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062D4A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浏览器测试</w:t>
            </w:r>
          </w:p>
        </w:tc>
      </w:tr>
      <w:tr w14:paraId="420B00E2">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6DC868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Postman</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86886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10.x</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CBFCF6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HTTP 接口测试</w:t>
            </w:r>
          </w:p>
        </w:tc>
      </w:tr>
    </w:tbl>
    <w:p w14:paraId="38A72A5C">
      <w:pPr>
        <w:pStyle w:val="4"/>
        <w:numPr>
          <w:ilvl w:val="1"/>
          <w:numId w:val="4"/>
        </w:numPr>
        <w:bidi w:val="0"/>
        <w:ind w:left="567" w:leftChars="0" w:hanging="567" w:firstLineChars="0"/>
      </w:pPr>
      <w:r>
        <w:rPr>
          <w:rFonts w:hint="eastAsia"/>
        </w:rPr>
        <w:t>功能测试</w:t>
      </w:r>
    </w:p>
    <w:p w14:paraId="2ED3F299">
      <w:pPr>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auto"/>
        <w:rPr>
          <w:sz w:val="24"/>
        </w:rPr>
      </w:pPr>
      <w:bookmarkStart w:id="65" w:name="_Hlk7554218"/>
      <w:r>
        <w:rPr>
          <w:rFonts w:hint="eastAsia"/>
          <w:sz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65"/>
      <w:r>
        <w:rPr>
          <w:rFonts w:hint="eastAsia"/>
          <w:sz w:val="24"/>
        </w:rPr>
        <w:t>本章测试用例展示如下。</w:t>
      </w:r>
    </w:p>
    <w:p w14:paraId="0325D2CD">
      <w:pPr>
        <w:pStyle w:val="5"/>
        <w:numPr>
          <w:ilvl w:val="2"/>
          <w:numId w:val="4"/>
        </w:numPr>
        <w:ind w:left="709" w:leftChars="0" w:hanging="709" w:firstLineChars="0"/>
      </w:pPr>
      <w:r>
        <w:rPr>
          <w:rFonts w:hint="eastAsia"/>
          <w:lang w:val="en-US" w:eastAsia="zh-CN"/>
        </w:rPr>
        <w:t>用户认证测试</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3000"/>
        <w:gridCol w:w="3000"/>
        <w:gridCol w:w="3000"/>
        <w:gridCol w:w="3000"/>
      </w:tblGrid>
      <w:tr w14:paraId="24F20AB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46326E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用例</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DBD7D9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输入</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FF9EC7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预期结果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48FA51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实际结果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B59F02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是否通过</w:t>
            </w:r>
          </w:p>
        </w:tc>
      </w:tr>
      <w:tr w14:paraId="4A926C52">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E8C571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正确登录</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12719E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admin / 123456</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F5EC78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返回 JWT Token，跳转大盘页</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961A2A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FD1C62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3F3F643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AA8521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错误密码</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88D3E5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admin / 000000</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0E70A7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E9A1E1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722192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1D462B96">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2A636F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Token过期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B44E71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过期 Token 请求</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152BEA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2BD203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2E3E3E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3DBE619B">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038BB7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无 Token 访问</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E0F449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未携带 Token</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DFF150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跳转登录页</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CA8D09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B31033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bl>
    <w:p w14:paraId="14454E78"/>
    <w:p w14:paraId="433F6525">
      <w:pPr>
        <w:pStyle w:val="5"/>
        <w:numPr>
          <w:ilvl w:val="2"/>
          <w:numId w:val="4"/>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cstheme="minorBidi"/>
          <w:kern w:val="2"/>
          <w:sz w:val="28"/>
          <w:szCs w:val="24"/>
          <w:lang w:val="en-US" w:eastAsia="zh-CN" w:bidi="ar-SA"/>
        </w:rPr>
        <w:t>批次录入测试</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3000"/>
        <w:gridCol w:w="3000"/>
        <w:gridCol w:w="3000"/>
        <w:gridCol w:w="3000"/>
      </w:tblGrid>
      <w:tr w14:paraId="1F5897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BAE71F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用例</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9DB0C4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输入</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EE6D5F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预期结果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ABDB7B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实际结果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509561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是否通过</w:t>
            </w:r>
          </w:p>
        </w:tc>
      </w:tr>
      <w:tr w14:paraId="22D176E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E831B7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正常录入</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3E3C0F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完整批次信息</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B5816C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创建成功，推送 WebSocket</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05EA78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大盘数据自动刷新</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BE2AFA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016E7681">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13FE76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批次号重复</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0E155D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已存在的批次号</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8832CE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返回 409 Conflict</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490906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前端显示重复提示</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77BF5C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2496DA0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52ADA0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缺必填字段</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4EE0DB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批次号留空</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6C133C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返回 400 Bad Request</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23F0BF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前端显示字段校验错误</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59D2A8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bl>
    <w:p w14:paraId="7E1DBF1D">
      <w:pPr>
        <w:rPr>
          <w:rFonts w:hint="eastAsia"/>
          <w:lang w:val="en-US" w:eastAsia="zh-CN"/>
        </w:rPr>
      </w:pPr>
    </w:p>
    <w:p w14:paraId="451608DD">
      <w:pPr>
        <w:pStyle w:val="5"/>
        <w:numPr>
          <w:ilvl w:val="2"/>
          <w:numId w:val="4"/>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cstheme="minorBidi"/>
          <w:kern w:val="2"/>
          <w:sz w:val="28"/>
          <w:szCs w:val="24"/>
          <w:lang w:val="en-US" w:eastAsia="zh-CN" w:bidi="ar-SA"/>
        </w:rPr>
        <w:t>预警处理测试</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3000"/>
        <w:gridCol w:w="3000"/>
        <w:gridCol w:w="3000"/>
        <w:gridCol w:w="3000"/>
      </w:tblGrid>
      <w:tr w14:paraId="7DB953DF">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F62CE0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用例</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57B728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操作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16A10F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预期结果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C3D2BE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实际结果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B9F730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是否通过</w:t>
            </w:r>
          </w:p>
        </w:tc>
      </w:tr>
      <w:tr w14:paraId="6D15C81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3F4502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处理预警</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CE7D05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点击处理按钮</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69753C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handled 置为 1，列表刷新</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792F9C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8F5366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71624D4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1FA833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过滤待处理</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4F4D3E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选择"未处理"状态</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BE7E5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仅展示未处理预警</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A01E74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2ECD081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bl>
    <w:p w14:paraId="70B09E04">
      <w:pPr>
        <w:rPr>
          <w:rFonts w:hint="eastAsia"/>
          <w:lang w:val="en-US" w:eastAsia="zh-CN"/>
        </w:rPr>
      </w:pPr>
    </w:p>
    <w:p w14:paraId="234E960D">
      <w:pPr>
        <w:pStyle w:val="5"/>
        <w:numPr>
          <w:ilvl w:val="2"/>
          <w:numId w:val="4"/>
        </w:numPr>
        <w:ind w:left="709" w:leftChars="0" w:hanging="709" w:firstLineChars="0"/>
        <w:rPr>
          <w:rFonts w:hint="eastAsia" w:ascii="Times New Roman" w:hAnsi="Times New Roman" w:eastAsia="黑体" w:cstheme="minorBidi"/>
          <w:kern w:val="2"/>
          <w:sz w:val="28"/>
          <w:szCs w:val="24"/>
          <w:lang w:val="en-US" w:eastAsia="zh-CN" w:bidi="ar-SA"/>
        </w:rPr>
      </w:pPr>
      <w:r>
        <w:rPr>
          <w:rFonts w:hint="eastAsia" w:cstheme="minorBidi"/>
          <w:kern w:val="2"/>
          <w:sz w:val="28"/>
          <w:szCs w:val="24"/>
          <w:lang w:val="en-US" w:eastAsia="zh-CN" w:bidi="ar-SA"/>
        </w:rPr>
        <w:t>参数动态调整测试</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3000"/>
        <w:gridCol w:w="3000"/>
        <w:gridCol w:w="3000"/>
        <w:gridCol w:w="3000"/>
      </w:tblGrid>
      <w:tr w14:paraId="61662D2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03790C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用例</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B53116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操作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056AAF3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预期结果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4B60E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实际结果</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A28EC8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是否通过</w:t>
            </w:r>
          </w:p>
        </w:tc>
      </w:tr>
      <w:tr w14:paraId="175930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40B34F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修改清洗间隔</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353D16E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schedule.interval 改为 5</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62CCB2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下次清洗以 5s 间隔执行</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147CD73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4623F0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22A6EAE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7E8415A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关闭定时清洗</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90BB95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schedule.enabled 改为 false</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7A4A8F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定时任务立即停止</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C0FE4B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53F58F2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5AD7771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04A91D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调整风险权重</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84F62C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修改各指标权重</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3E0A15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新录入批次按新权重计算</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6CE0F67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000" w:type="dxa"/>
            <w:tcBorders>
              <w:top w:val="single" w:color="D9D9D9" w:sz="8" w:space="0"/>
              <w:left w:val="single" w:color="D9D9D9" w:sz="8" w:space="0"/>
              <w:bottom w:val="single" w:color="D9D9D9" w:sz="8" w:space="0"/>
              <w:right w:val="single" w:color="D9D9D9" w:sz="8" w:space="0"/>
            </w:tcBorders>
            <w:shd w:val="clear"/>
            <w:vAlign w:val="center"/>
          </w:tcPr>
          <w:p w14:paraId="4391CCB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bl>
    <w:p w14:paraId="795C66DB">
      <w:pPr>
        <w:rPr>
          <w:rFonts w:hint="eastAsia"/>
          <w:lang w:val="en-US" w:eastAsia="zh-CN"/>
        </w:rPr>
      </w:pPr>
    </w:p>
    <w:p w14:paraId="0BD3DDE9">
      <w:pPr>
        <w:pStyle w:val="4"/>
        <w:numPr>
          <w:ilvl w:val="1"/>
          <w:numId w:val="4"/>
        </w:numPr>
        <w:bidi w:val="0"/>
        <w:ind w:left="567" w:leftChars="0" w:hanging="567" w:firstLineChars="0"/>
      </w:pPr>
      <w:r>
        <w:rPr>
          <w:rFonts w:hint="eastAsia"/>
        </w:rPr>
        <w:t>WebSocket 实时通信测试</w:t>
      </w:r>
    </w:p>
    <w:p w14:paraId="249ECD97">
      <w:pPr>
        <w:adjustRightInd w:val="0"/>
        <w:snapToGrid w:val="0"/>
        <w:spacing w:line="400" w:lineRule="exact"/>
        <w:ind w:firstLine="480" w:firstLineChars="200"/>
        <w:jc w:val="left"/>
        <w:rPr>
          <w:rFonts w:hint="eastAsia" w:ascii="宋体" w:hAnsi="宋体" w:cs="宋体"/>
          <w:sz w:val="24"/>
        </w:rPr>
      </w:pPr>
      <w:r>
        <w:rPr>
          <w:rFonts w:hint="eastAsia" w:ascii="宋体" w:hAnsi="宋体" w:cs="宋体"/>
          <w:sz w:val="24"/>
        </w:rPr>
        <w:t>测试方法：使用 Chrome DevTools Network 面板监控 WebSocket 连接，模拟批次录入后观察推送消息。</w:t>
      </w:r>
    </w:p>
    <w:tbl>
      <w:tblPr>
        <w:tblW w:w="1496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740"/>
        <w:gridCol w:w="3740"/>
        <w:gridCol w:w="3740"/>
        <w:gridCol w:w="3740"/>
      </w:tblGrid>
      <w:tr w14:paraId="1B5498C6">
        <w:trPr>
          <w:trHeight w:val="72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96C12B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测试点</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7EE076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预期</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CB071D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实际结果</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34E94B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是否通过</w:t>
            </w:r>
          </w:p>
        </w:tc>
      </w:tr>
      <w:tr w14:paraId="2017D241">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20A0BC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连接建立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811640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ws://localhost:3000/ws/data-change 连接成功</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F10A3E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建立连接</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F666BE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14240E8E">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9B4F0F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消息推送</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1562CB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批次录入后收到 OVERVIEW_UPDATE 消息</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4B957A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收到 JSON 消息，含 type/data/timestamp</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0BAE6D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1BB12332">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527E38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消息格式</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03D61C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JSON 格式，type 字段有效，data 非空</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4B71CA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符合预期</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4643C4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01D1D21A">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17DDEA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多标签页同步</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E5481D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打开两个标签页，录入批次，两个标签均自动刷新</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51A950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两个标签同步更新</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FF2781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r w14:paraId="7A428567">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A1B57BC">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断线重连</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3E5FB1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关闭后端，前端自动重连</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31C022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指数退避重连，延迟符合预期</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70BAC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w:t>
            </w:r>
          </w:p>
        </w:tc>
      </w:tr>
    </w:tbl>
    <w:p w14:paraId="26D2F9A0">
      <w:pPr>
        <w:pStyle w:val="2"/>
      </w:pPr>
    </w:p>
    <w:p w14:paraId="7AE3F2F8">
      <w:pPr>
        <w:pStyle w:val="4"/>
        <w:numPr>
          <w:ilvl w:val="1"/>
          <w:numId w:val="4"/>
        </w:numPr>
        <w:bidi w:val="0"/>
        <w:ind w:left="567" w:leftChars="0" w:hanging="567" w:firstLineChars="0"/>
      </w:pPr>
      <w:r>
        <w:rPr>
          <w:rFonts w:hint="eastAsia"/>
          <w:lang w:val="en-US" w:eastAsia="zh-CN"/>
        </w:rPr>
        <w:t>本章小结</w:t>
      </w:r>
    </w:p>
    <w:p w14:paraId="5C39BFC1">
      <w:pPr>
        <w:adjustRightInd w:val="0"/>
        <w:snapToGrid w:val="0"/>
        <w:spacing w:line="400" w:lineRule="exact"/>
        <w:ind w:firstLine="480" w:firstLineChars="200"/>
        <w:rPr>
          <w:rFonts w:ascii="宋体" w:hAnsi="宋体" w:eastAsia="宋体" w:cs="宋体"/>
          <w:sz w:val="24"/>
        </w:rPr>
      </w:pPr>
      <w:r>
        <w:rPr>
          <w:rFonts w:hint="eastAsia" w:ascii="宋体" w:hAnsi="宋体" w:eastAsia="宋体" w:cs="宋体"/>
          <w:sz w:val="24"/>
        </w:rPr>
        <w:t>本章通过功能测试与 WebSocket 通信测试验证了系统的核心业务流程。认证模块正确实现了 JWT 无状态鉴权与异常拦截；批次录入模块保障了数据一致性与重复性校验；预警处理模块实现了状态管理与列表联动；参数动态调整功能验证了 TaskScheduler + 发布-订阅机制的有效性；WebSocket 实时通信在单标签页推送、多标签页同步、断线重连等场景下均表现正常，满足监管大屏实时性需求。</w:t>
      </w:r>
    </w:p>
    <w:p w14:paraId="1F17893B">
      <w:pPr>
        <w:pStyle w:val="49"/>
        <w:spacing w:before="0" w:after="0" w:line="240" w:lineRule="auto"/>
        <w:jc w:val="both"/>
        <w:rPr>
          <w:b/>
        </w:rPr>
        <w:sectPr>
          <w:headerReference r:id="rId6" w:type="default"/>
          <w:pgSz w:w="11906" w:h="16838"/>
          <w:pgMar w:top="1440" w:right="1800" w:bottom="1440" w:left="1800" w:header="1134" w:footer="992" w:gutter="0"/>
          <w:cols w:space="425" w:num="1"/>
          <w:docGrid w:type="lines" w:linePitch="312" w:charSpace="0"/>
        </w:sectPr>
      </w:pPr>
      <w:bookmarkStart w:id="66" w:name="_Toc15258"/>
      <w:bookmarkEnd w:id="66"/>
    </w:p>
    <w:p w14:paraId="4F8513EF">
      <w:pPr>
        <w:pStyle w:val="3"/>
        <w:numPr>
          <w:ilvl w:val="0"/>
          <w:numId w:val="2"/>
        </w:numPr>
        <w:bidi w:val="0"/>
        <w:ind w:left="425" w:leftChars="0" w:hanging="425" w:firstLineChars="0"/>
      </w:pPr>
      <w:bookmarkStart w:id="67" w:name="_Toc2802"/>
      <w:r>
        <w:rPr>
          <w:rFonts w:hint="eastAsia"/>
        </w:rPr>
        <w:t>结论</w:t>
      </w:r>
      <w:bookmarkEnd w:id="67"/>
      <w:r>
        <w:rPr>
          <w:rFonts w:hint="eastAsia"/>
          <w:lang w:val="en-US" w:eastAsia="zh-CN"/>
        </w:rPr>
        <w:t>与展望</w:t>
      </w:r>
    </w:p>
    <w:p w14:paraId="26532214">
      <w:pPr>
        <w:pStyle w:val="4"/>
        <w:numPr>
          <w:ilvl w:val="1"/>
          <w:numId w:val="5"/>
        </w:numPr>
        <w:ind w:left="567" w:leftChars="0" w:hanging="567" w:firstLineChars="0"/>
        <w:rPr>
          <w:rFonts w:ascii="黑体" w:hAnsi="黑体" w:cs="黑体"/>
        </w:rPr>
      </w:pPr>
      <w:r>
        <w:rPr>
          <w:rFonts w:hint="eastAsia"/>
          <w:lang w:val="en-US" w:eastAsia="zh-CN"/>
        </w:rPr>
        <w:t>结论</w:t>
      </w:r>
    </w:p>
    <w:p w14:paraId="727E71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rPr>
      </w:pPr>
      <w:r>
        <w:rPr>
          <w:rFonts w:hint="eastAsia"/>
          <w:sz w:val="24"/>
        </w:rPr>
        <w:t>本课题以"监管可用、工程可行、技术先进"为原则，设计并实现了一个面向食品安全监管机构的轻量级溯源系统。课题完成了以下主要工作：</w:t>
      </w:r>
    </w:p>
    <w:p w14:paraId="5D0F5C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rPr>
      </w:pPr>
      <w:r>
        <w:rPr>
          <w:rFonts w:hint="eastAsia"/>
          <w:sz w:val="24"/>
        </w:rPr>
        <w:t>（1）系统架构：采用 SpringBoot 2.7 单体架构，以 MyBatis-Plus 作为 ORM 框架、Redis 作为配置缓存层，构建了数据层、持久层、业务层、接口层、前端层五层清晰的分层体系，部署门槛低，运维成本可控；</w:t>
      </w:r>
    </w:p>
    <w:p w14:paraId="65DF6F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rPr>
      </w:pPr>
      <w:r>
        <w:rPr>
          <w:rFonts w:hint="eastAsia"/>
          <w:sz w:val="24"/>
        </w:rPr>
        <w:t>（2）算法实现：基于 3σ 统计原则实现了物流温湿度异常检测算法，基于加权规则引擎实现了多维度风险评分算法，所有算法阈值均通过系统参数表动态配置，支持运行时"改配置即生效"，无需重启服务；</w:t>
      </w:r>
    </w:p>
    <w:p w14:paraId="3C79EC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rPr>
      </w:pPr>
      <w:r>
        <w:rPr>
          <w:rFonts w:hint="eastAsia"/>
          <w:sz w:val="24"/>
        </w:rPr>
        <w:t>（3）实时通信：基于 Spring 原生 WebSocket + Vue3 订阅-发布模式构建了服务端主动推送通道，指数退避重连机制保障了连接的健壮性，实现了多标签页实时数据同步；</w:t>
      </w:r>
    </w:p>
    <w:p w14:paraId="6756EA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sz w:val="24"/>
        </w:rPr>
      </w:pPr>
      <w:r>
        <w:rPr>
          <w:rFonts w:hint="eastAsia"/>
          <w:sz w:val="24"/>
        </w:rPr>
        <w:t>（4）可视化：基于 ECharts 构建了监管友好型大盘，包含仪表盘、饼图、柱状图、折线图等多维图表，数据无刷新自动更新，切实提升监管效能；</w:t>
      </w:r>
    </w:p>
    <w:p w14:paraId="1DEAD1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rPr>
      </w:pPr>
      <w:r>
        <w:rPr>
          <w:rFonts w:hint="eastAsia"/>
          <w:sz w:val="24"/>
        </w:rPr>
        <w:t>（5）工程实践：AOP 切面实现了零侵入的操作日志审计，Spring TaskScheduler 配合 ConfigService 发布-订阅实现了定时清洗任务的动态调度。</w:t>
      </w:r>
    </w:p>
    <w:p w14:paraId="6D56CF75">
      <w:pPr>
        <w:pStyle w:val="4"/>
        <w:numPr>
          <w:ilvl w:val="1"/>
          <w:numId w:val="5"/>
        </w:numPr>
        <w:bidi w:val="0"/>
        <w:ind w:left="567" w:leftChars="0" w:hanging="567" w:firstLineChars="0"/>
      </w:pPr>
      <w:r>
        <w:rPr>
          <w:rFonts w:hint="eastAsia"/>
          <w:lang w:val="en-US" w:eastAsia="zh-CN"/>
        </w:rPr>
        <w:t>展望</w:t>
      </w:r>
    </w:p>
    <w:p w14:paraId="63470EF0">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hint="eastAsia" w:ascii="宋体" w:hAnsi="宋体" w:eastAsia="宋体"/>
          <w:sz w:val="24"/>
          <w:szCs w:val="24"/>
        </w:rPr>
      </w:pPr>
      <w:r>
        <w:rPr>
          <w:rFonts w:hint="eastAsia" w:ascii="宋体" w:hAnsi="宋体" w:eastAsia="宋体"/>
          <w:sz w:val="24"/>
          <w:szCs w:val="24"/>
        </w:rPr>
        <w:t>本系统在工程实践层面达到了预期目标，但仍有以下可改进方向：</w:t>
      </w:r>
    </w:p>
    <w:p w14:paraId="1100F76B">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hint="eastAsia" w:ascii="宋体" w:hAnsi="宋体" w:eastAsia="宋体"/>
          <w:sz w:val="24"/>
          <w:szCs w:val="24"/>
        </w:rPr>
      </w:pPr>
      <w:r>
        <w:rPr>
          <w:rFonts w:hint="eastAsia" w:ascii="宋体" w:hAnsi="宋体" w:eastAsia="宋体"/>
          <w:sz w:val="24"/>
          <w:szCs w:val="24"/>
        </w:rPr>
        <w:t>（1）真实 IoT 设备对接：当前系统依赖手动录入和模拟数据，未来可引入 MQTT 协议对接温湿度传感器、GPS 追踪器等 IoT 设备，实现数据自动采集，进一步提升监管时效性；</w:t>
      </w:r>
    </w:p>
    <w:p w14:paraId="693E2B46">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hint="eastAsia" w:ascii="宋体" w:hAnsi="宋体" w:eastAsia="宋体"/>
          <w:sz w:val="24"/>
          <w:szCs w:val="24"/>
        </w:rPr>
      </w:pPr>
      <w:r>
        <w:rPr>
          <w:rFonts w:hint="eastAsia" w:ascii="宋体" w:hAnsi="宋体" w:eastAsia="宋体"/>
          <w:sz w:val="24"/>
          <w:szCs w:val="24"/>
        </w:rPr>
        <w:t>（2）多用户并发优化：当前 WebSocket 会话管理使用内存存储，未来可引入 Redis 发布-订阅实现跨节点广播，支持多实例水平扩展以应对更大规模的并发连接；</w:t>
      </w:r>
    </w:p>
    <w:p w14:paraId="1C96E3F3">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hint="eastAsia" w:ascii="宋体" w:hAnsi="宋体" w:eastAsia="宋体"/>
          <w:sz w:val="24"/>
          <w:szCs w:val="24"/>
        </w:rPr>
      </w:pPr>
      <w:r>
        <w:rPr>
          <w:rFonts w:hint="eastAsia" w:ascii="宋体" w:hAnsi="宋体" w:eastAsia="宋体"/>
          <w:sz w:val="24"/>
          <w:szCs w:val="24"/>
        </w:rPr>
        <w:t>（3）可视化增强：可引入 ECharts Geo 热力地图展示各省风险分布，引入桑基图（Sankey）展示供应链流转路径，进一步丰富监管大屏的地理维度和流程维度表达；</w:t>
      </w:r>
    </w:p>
    <w:p w14:paraId="4D977020">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hint="eastAsia" w:ascii="宋体" w:hAnsi="宋体" w:eastAsia="宋体" w:cstheme="minorBidi"/>
          <w:sz w:val="24"/>
          <w:szCs w:val="24"/>
        </w:rPr>
      </w:pPr>
      <w:r>
        <w:rPr>
          <w:rFonts w:hint="eastAsia" w:ascii="宋体" w:hAnsi="宋体" w:eastAsia="宋体"/>
          <w:sz w:val="24"/>
          <w:szCs w:val="24"/>
        </w:rPr>
        <w:t>（4）算法深化：当前 3σ 异常检测基于单批次历史数据，未来可引入多批次联合分析，综合考虑季节性因素、产地聚集特征等，提升异常检测的准确率和召回率。</w:t>
      </w:r>
    </w:p>
    <w:p w14:paraId="4B5A1F03">
      <w:pPr>
        <w:pStyle w:val="2"/>
        <w:keepNext w:val="0"/>
        <w:keepLines w:val="0"/>
        <w:pageBreakBefore w:val="0"/>
        <w:widowControl w:val="0"/>
        <w:kinsoku/>
        <w:wordWrap/>
        <w:overflowPunct/>
        <w:topLinePunct w:val="0"/>
        <w:autoSpaceDE/>
        <w:autoSpaceDN/>
        <w:bidi w:val="0"/>
        <w:adjustRightInd/>
        <w:snapToGrid/>
        <w:spacing w:line="400" w:lineRule="exact"/>
        <w:textAlignment w:val="auto"/>
      </w:pPr>
    </w:p>
    <w:p w14:paraId="6356440C">
      <w:pPr>
        <w:pStyle w:val="2"/>
        <w:sectPr>
          <w:headerReference r:id="rId7" w:type="default"/>
          <w:pgSz w:w="11906" w:h="16838"/>
          <w:pgMar w:top="1440" w:right="1800" w:bottom="1440" w:left="1800" w:header="1134" w:footer="992" w:gutter="0"/>
          <w:cols w:space="425" w:num="1"/>
          <w:docGrid w:type="lines" w:linePitch="312" w:charSpace="0"/>
        </w:sectPr>
      </w:pPr>
    </w:p>
    <w:p w14:paraId="25BFA897">
      <w:pPr>
        <w:pStyle w:val="49"/>
        <w:spacing w:before="0" w:after="0" w:line="400" w:lineRule="exact"/>
      </w:pPr>
      <w:bookmarkStart w:id="68" w:name="_Toc842"/>
      <w:bookmarkStart w:id="69" w:name="_Toc9953"/>
      <w:r>
        <w:rPr>
          <w:rFonts w:hint="eastAsia"/>
        </w:rPr>
        <w:t>参考文献</w:t>
      </w:r>
      <w:bookmarkEnd w:id="68"/>
      <w:bookmarkEnd w:id="69"/>
    </w:p>
    <w:p w14:paraId="64AA8E80">
      <w:pPr>
        <w:rPr>
          <w:rFonts w:hint="eastAsia" w:ascii="宋体" w:hAnsi="宋体" w:eastAsia="宋体"/>
          <w:szCs w:val="21"/>
          <w:shd w:val="clear" w:color="auto" w:fill="FFFFFF"/>
        </w:rPr>
      </w:pPr>
      <w:r>
        <w:rPr>
          <w:rFonts w:hint="eastAsia" w:ascii="宋体" w:hAnsi="宋体" w:eastAsia="宋体"/>
          <w:szCs w:val="21"/>
          <w:shd w:val="clear" w:color="auto" w:fill="FFFFFF"/>
        </w:rPr>
        <w:t>[1] López-Pimentel J C, et al. Blockchain-based Traceability System for Avocado Supply Chain[J]. Computers and Electronics in Agriculture, 2020.</w:t>
      </w:r>
    </w:p>
    <w:p w14:paraId="27C0F936">
      <w:pPr>
        <w:rPr>
          <w:rFonts w:hint="eastAsia" w:ascii="宋体" w:hAnsi="宋体" w:eastAsia="宋体"/>
          <w:szCs w:val="21"/>
          <w:shd w:val="clear" w:color="auto" w:fill="FFFFFF"/>
        </w:rPr>
      </w:pPr>
      <w:r>
        <w:rPr>
          <w:rFonts w:hint="eastAsia" w:ascii="宋体" w:hAnsi="宋体" w:eastAsia="宋体"/>
          <w:szCs w:val="21"/>
          <w:shd w:val="clear" w:color="auto" w:fill="FFFFFF"/>
        </w:rPr>
        <w:t>[2] Kamilaris A, et al. The Rise of Blockchain Technology in Agriculture and Food Supply Chains[J]. Food Science &amp; Technology, 2019.</w:t>
      </w:r>
    </w:p>
    <w:p w14:paraId="599718F6">
      <w:pPr>
        <w:rPr>
          <w:rFonts w:hint="eastAsia" w:ascii="宋体" w:hAnsi="宋体" w:eastAsia="宋体"/>
          <w:szCs w:val="21"/>
          <w:shd w:val="clear" w:color="auto" w:fill="FFFFFF"/>
        </w:rPr>
      </w:pPr>
      <w:r>
        <w:rPr>
          <w:rFonts w:hint="eastAsia" w:ascii="宋体" w:hAnsi="宋体" w:eastAsia="宋体"/>
          <w:szCs w:val="21"/>
          <w:shd w:val="clear" w:color="auto" w:fill="FFFFFF"/>
        </w:rPr>
        <w:t>[3] 任守纲，等. 基于区块链的农产品全产业链溯源平台设计[J]. 农业工程学报，2020.</w:t>
      </w:r>
    </w:p>
    <w:p w14:paraId="50C1F317">
      <w:pPr>
        <w:rPr>
          <w:rFonts w:hint="eastAsia" w:ascii="宋体" w:hAnsi="宋体" w:eastAsia="宋体"/>
          <w:szCs w:val="21"/>
          <w:shd w:val="clear" w:color="auto" w:fill="FFFFFF"/>
        </w:rPr>
      </w:pPr>
      <w:r>
        <w:rPr>
          <w:rFonts w:hint="eastAsia" w:ascii="宋体" w:hAnsi="宋体" w:eastAsia="宋体"/>
          <w:szCs w:val="21"/>
          <w:shd w:val="clear" w:color="auto" w:fill="FFFFFF"/>
        </w:rPr>
        <w:t>[4] 董云峰，等. 粮油食品可信追溯模型研究[J]. 食品安全质量检测学报，2020.</w:t>
      </w:r>
    </w:p>
    <w:p w14:paraId="783AA11C">
      <w:pPr>
        <w:rPr>
          <w:rFonts w:hint="eastAsia" w:ascii="宋体" w:hAnsi="宋体" w:eastAsia="宋体"/>
          <w:szCs w:val="21"/>
          <w:shd w:val="clear" w:color="auto" w:fill="FFFFFF"/>
        </w:rPr>
      </w:pPr>
      <w:r>
        <w:rPr>
          <w:rFonts w:hint="eastAsia" w:ascii="宋体" w:hAnsi="宋体" w:eastAsia="宋体"/>
          <w:szCs w:val="21"/>
          <w:shd w:val="clear" w:color="auto" w:fill="FFFFFF"/>
        </w:rPr>
        <w:t>[5] 张斌，等. 基于SpringCloud的食品安全溯源系统的设计与实现[J]. 计算机时代，2023.</w:t>
      </w:r>
    </w:p>
    <w:p w14:paraId="68EAC99E">
      <w:pPr>
        <w:rPr>
          <w:rFonts w:hint="eastAsia" w:ascii="宋体" w:hAnsi="宋体" w:eastAsia="宋体"/>
          <w:szCs w:val="21"/>
          <w:shd w:val="clear" w:color="auto" w:fill="FFFFFF"/>
        </w:rPr>
      </w:pPr>
      <w:r>
        <w:rPr>
          <w:rFonts w:hint="eastAsia" w:ascii="宋体" w:hAnsi="宋体" w:eastAsia="宋体"/>
          <w:szCs w:val="21"/>
          <w:shd w:val="clear" w:color="auto" w:fill="FFFFFF"/>
        </w:rPr>
        <w:t>[6] Spring Boot Reference Documentation[EB/OL]. https://docs.spring.io/spring-boot/docs/current/reference/html/</w:t>
      </w:r>
    </w:p>
    <w:p w14:paraId="5792AF55">
      <w:pPr>
        <w:rPr>
          <w:rFonts w:hint="eastAsia" w:ascii="宋体" w:hAnsi="宋体" w:eastAsia="宋体"/>
          <w:szCs w:val="21"/>
          <w:shd w:val="clear" w:color="auto" w:fill="FFFFFF"/>
        </w:rPr>
      </w:pPr>
      <w:r>
        <w:rPr>
          <w:rFonts w:hint="eastAsia" w:ascii="宋体" w:hAnsi="宋体" w:eastAsia="宋体"/>
          <w:szCs w:val="21"/>
          <w:shd w:val="clear" w:color="auto" w:fill="FFFFFF"/>
        </w:rPr>
        <w:t>[7] Vue.js Documentation[EB/OL]. https://vuejs.org/</w:t>
      </w:r>
    </w:p>
    <w:p w14:paraId="314C1BCA">
      <w:pPr>
        <w:rPr>
          <w:rFonts w:hint="eastAsia" w:ascii="宋体" w:hAnsi="宋体" w:eastAsia="宋体"/>
          <w:szCs w:val="21"/>
          <w:shd w:val="clear" w:color="auto" w:fill="FFFFFF"/>
        </w:rPr>
      </w:pPr>
      <w:r>
        <w:rPr>
          <w:rFonts w:hint="eastAsia" w:ascii="宋体" w:hAnsi="宋体" w:eastAsia="宋体"/>
          <w:szCs w:val="21"/>
          <w:shd w:val="clear" w:color="auto" w:fill="FFFFFF"/>
        </w:rPr>
        <w:t>[8] ECharts Documentation[EB/OL]. https://echarts.apache.org/</w:t>
      </w:r>
    </w:p>
    <w:p w14:paraId="15A6777D">
      <w:pPr>
        <w:rPr>
          <w:rFonts w:hint="eastAsia" w:ascii="宋体" w:hAnsi="宋体" w:eastAsia="宋体"/>
          <w:szCs w:val="21"/>
          <w:shd w:val="clear" w:color="auto" w:fill="FFFFFF"/>
        </w:rPr>
      </w:pPr>
      <w:r>
        <w:rPr>
          <w:rFonts w:hint="eastAsia" w:ascii="宋体" w:hAnsi="宋体" w:eastAsia="宋体"/>
          <w:szCs w:val="21"/>
          <w:shd w:val="clear" w:color="auto" w:fill="FFFFFF"/>
        </w:rPr>
        <w:t>[9] MyBatis-Plus Documentation[EB/OL]. https://baomidou.com/</w:t>
      </w:r>
    </w:p>
    <w:p w14:paraId="3B7E35DA">
      <w:pPr>
        <w:rPr>
          <w:rFonts w:hint="eastAsia" w:ascii="宋体" w:hAnsi="宋体" w:eastAsia="宋体"/>
          <w:szCs w:val="21"/>
          <w:shd w:val="clear" w:color="auto" w:fill="FFFFFF"/>
        </w:rPr>
      </w:pPr>
      <w:r>
        <w:rPr>
          <w:rFonts w:hint="eastAsia" w:ascii="宋体" w:hAnsi="宋体" w:eastAsia="宋体"/>
          <w:szCs w:val="21"/>
          <w:shd w:val="clear" w:color="auto" w:fill="FFFFFF"/>
        </w:rPr>
        <w:t>[10] 丁欣，等. 基于WebSocket的实时数据推送系统研究与实现[J]. 计算机应用与软件，2022.</w:t>
      </w:r>
    </w:p>
    <w:p w14:paraId="548E8F1B">
      <w:pPr>
        <w:rPr>
          <w:rFonts w:hint="eastAsia" w:ascii="宋体" w:hAnsi="宋体" w:eastAsia="宋体"/>
          <w:szCs w:val="21"/>
          <w:shd w:val="clear" w:color="auto" w:fill="FFFFFF"/>
        </w:rPr>
      </w:pPr>
      <w:r>
        <w:rPr>
          <w:rFonts w:hint="eastAsia" w:ascii="宋体" w:hAnsi="宋体" w:eastAsia="宋体"/>
          <w:szCs w:val="21"/>
          <w:shd w:val="clear" w:color="auto" w:fill="FFFFFF"/>
        </w:rPr>
        <w:t>[11] 李航. 统计学习方法[M]. 北京：清华大学出版社，2019.</w:t>
      </w:r>
    </w:p>
    <w:p w14:paraId="7F5CCFD1">
      <w:pPr>
        <w:rPr>
          <w:rFonts w:ascii="宋体" w:hAnsi="宋体" w:eastAsia="宋体" w:cs="宋体"/>
          <w:szCs w:val="21"/>
          <w:shd w:val="clear" w:color="auto" w:fill="FFFFFF"/>
        </w:rPr>
      </w:pPr>
      <w:r>
        <w:rPr>
          <w:rFonts w:hint="eastAsia" w:ascii="宋体" w:hAnsi="宋体" w:eastAsia="宋体"/>
          <w:szCs w:val="21"/>
          <w:shd w:val="clear" w:color="auto" w:fill="FFFFFF"/>
        </w:rPr>
        <w:t>[12] 中华人民共和国国务院. "十四五"数字经济发展规划[Z]. 2022.</w:t>
      </w:r>
      <w:r>
        <w:rPr>
          <w:rFonts w:hint="eastAsia" w:ascii="宋体" w:hAnsi="宋体" w:eastAsia="宋体" w:cs="宋体"/>
          <w:szCs w:val="21"/>
          <w:shd w:val="clear" w:color="auto" w:fill="FFFFFF"/>
        </w:rPr>
        <w:br w:type="page"/>
      </w:r>
    </w:p>
    <w:p w14:paraId="3AFDB2B6">
      <w:pPr>
        <w:pStyle w:val="49"/>
        <w:spacing w:before="0" w:after="0" w:line="400" w:lineRule="exact"/>
        <w:rPr>
          <w:b/>
          <w:bCs/>
          <w:szCs w:val="32"/>
        </w:rPr>
      </w:pPr>
      <w:bookmarkStart w:id="70" w:name="_Toc23697"/>
      <w:r>
        <w:rPr>
          <w:rFonts w:hint="eastAsia"/>
          <w:b/>
          <w:bCs/>
          <w:szCs w:val="32"/>
        </w:rPr>
        <w:t>致谢</w:t>
      </w:r>
      <w:bookmarkEnd w:id="70"/>
    </w:p>
    <w:p w14:paraId="265080CA">
      <w:pPr>
        <w:spacing w:line="400" w:lineRule="exact"/>
        <w:jc w:val="left"/>
        <w:rPr>
          <w:b/>
          <w:bCs/>
          <w:sz w:val="32"/>
          <w:szCs w:val="32"/>
        </w:rPr>
      </w:pPr>
    </w:p>
    <w:p w14:paraId="007A0F27">
      <w:pPr>
        <w:spacing w:line="400" w:lineRule="exact"/>
        <w:ind w:firstLine="480" w:firstLineChars="200"/>
        <w:jc w:val="left"/>
        <w:rPr>
          <w:rFonts w:hint="eastAsia" w:ascii="Times New Roman" w:hAnsi="Times New Roman" w:cstheme="minorEastAsia"/>
          <w:sz w:val="24"/>
        </w:rPr>
      </w:pPr>
      <w:r>
        <w:rPr>
          <w:rFonts w:hint="eastAsia" w:ascii="Times New Roman" w:hAnsi="Times New Roman" w:cstheme="minorEastAsia"/>
          <w:sz w:val="24"/>
        </w:rPr>
        <w:t>时光匆匆流逝，大学四年生活即将告一段落。毕业项目的设计与实现和论文编写是大学最后一段最忙碌也最充实的日子。这段时间无论是在学术理论还是在人生处世的道理上均受益颇多，充满了挑战与收获。</w:t>
      </w:r>
    </w:p>
    <w:p w14:paraId="087444E1">
      <w:pPr>
        <w:spacing w:line="400" w:lineRule="exact"/>
        <w:ind w:firstLine="480" w:firstLineChars="200"/>
        <w:jc w:val="left"/>
        <w:rPr>
          <w:rFonts w:hint="eastAsia" w:ascii="Times New Roman" w:hAnsi="Times New Roman" w:cstheme="minorEastAsia"/>
          <w:sz w:val="24"/>
        </w:rPr>
      </w:pPr>
      <w:r>
        <w:rPr>
          <w:rFonts w:hint="eastAsia" w:ascii="Times New Roman" w:hAnsi="Times New Roman" w:cstheme="minorEastAsia"/>
          <w:sz w:val="24"/>
        </w:rPr>
        <w:t>在此，首先感谢我的指导老师唐建国副教授，在课题选题、技术路线规划和论文撰写过程中给予了悉心指导与耐心帮助，每当遇到技术难点时，老师总能以丰富的工程经验和深厚的学术积淀为我指点迷津。其次感谢身边的同学和朋友，大家相互取长补短、相互学习，遇到问题时虚心求教、敢于讨论，正是这种钻研精神支撑着我完成整个课题。最后感谢学校提供了一个良好的学习环境，让我能够将四年来积累的知识融会贯通应用于实际项目中。</w:t>
      </w:r>
    </w:p>
    <w:p w14:paraId="14AC02B3">
      <w:pPr>
        <w:spacing w:line="400" w:lineRule="exact"/>
        <w:ind w:firstLine="480" w:firstLineChars="200"/>
        <w:jc w:val="left"/>
        <w:rPr>
          <w:rFonts w:hint="eastAsia" w:ascii="Times New Roman" w:hAnsi="Times New Roman" w:cstheme="minorEastAsia"/>
          <w:sz w:val="24"/>
        </w:rPr>
      </w:pPr>
      <w:r>
        <w:rPr>
          <w:rFonts w:hint="eastAsia" w:ascii="Times New Roman" w:hAnsi="Times New Roman" w:cstheme="minorEastAsia"/>
          <w:sz w:val="24"/>
        </w:rPr>
        <w:t>经过这段时间的坚持不懈，我不仅完成了毕业论文的撰写，更收获了一种面对问题不退缩、主动解决不放弃的精神。这种精神将成为我未来职业生涯中面对一切挑战时的助力。</w:t>
      </w:r>
    </w:p>
    <w:p w14:paraId="500B23C1">
      <w:pPr>
        <w:spacing w:line="400" w:lineRule="exact"/>
        <w:ind w:firstLine="480" w:firstLineChars="200"/>
        <w:jc w:val="left"/>
        <w:rPr>
          <w:rFonts w:ascii="宋体" w:hAnsi="宋体" w:eastAsia="宋体" w:cs="宋体"/>
          <w:szCs w:val="21"/>
          <w:shd w:val="clear" w:color="auto" w:fill="FFFFFF"/>
        </w:rPr>
      </w:pPr>
      <w:r>
        <w:rPr>
          <w:rFonts w:hint="eastAsia" w:ascii="Times New Roman" w:hAnsi="Times New Roman" w:cstheme="minorEastAsia"/>
          <w:sz w:val="24"/>
        </w:rPr>
        <w:t>在此，谨向所有给予我帮助和支持的老师、同学和家人致以最诚挚的感谢！</w:t>
      </w:r>
    </w:p>
    <w:sectPr>
      <w:headerReference r:id="rId8" w:type="default"/>
      <w:pgSz w:w="11906" w:h="16838"/>
      <w:pgMar w:top="1440" w:right="1800" w:bottom="1440" w:left="1800" w:header="113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jc w:val="center"/>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9184">
    <w:pPr>
      <w:pBdr>
        <w:bottom w:val="single" w:color="auto" w:sz="4" w:space="0"/>
      </w:pBdr>
      <w:jc w:val="center"/>
    </w:pPr>
    <w:r>
      <w:rPr>
        <w:rFonts w:hint="eastAsia"/>
        <w:sz w:val="18"/>
        <w:szCs w:val="18"/>
      </w:rPr>
      <w:t>广东东软学院本科毕业设计（论文）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Bdr>
        <w:bottom w:val="single" w:color="auto" w:sz="4" w:space="0"/>
      </w:pBdr>
      <w:jc w:val="center"/>
    </w:pPr>
    <w:r>
      <w:rPr>
        <w:rFonts w:hint="eastAsia"/>
        <w:sz w:val="18"/>
        <w:szCs w:val="18"/>
        <w:lang w:val="en-US" w:eastAsia="zh-CN"/>
      </w:rPr>
      <w:t>河南工业大学</w:t>
    </w:r>
    <w:r>
      <w:rPr>
        <w:rFonts w:hint="eastAsia"/>
        <w:sz w:val="18"/>
        <w:szCs w:val="18"/>
      </w:rPr>
      <w:t>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F5678CA6"/>
    <w:multiLevelType w:val="multilevel"/>
    <w:tmpl w:val="F5678CA6"/>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
    <w:nsid w:val="FB7FAF81"/>
    <w:multiLevelType w:val="multilevel"/>
    <w:tmpl w:val="FB7FAF81"/>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
    <w:nsid w:val="FF381A84"/>
    <w:multiLevelType w:val="multilevel"/>
    <w:tmpl w:val="FF381A84"/>
    <w:lvl w:ilvl="0" w:tentative="0">
      <w:start w:val="1"/>
      <w:numFmt w:val="chineseCounting"/>
      <w:suff w:val="nothing"/>
      <w:lvlText w:val="第%1章 "/>
      <w:lvlJc w:val="left"/>
      <w:pPr>
        <w:ind w:left="425" w:hanging="425"/>
      </w:pPr>
      <w:rPr>
        <w:rFonts w:hint="eastAsia"/>
        <w:b/>
        <w:bCs/>
        <w:sz w:val="32"/>
        <w:szCs w:val="32"/>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5AC58CA8"/>
    <w:multiLevelType w:val="singleLevel"/>
    <w:tmpl w:val="5AC58CA8"/>
    <w:lvl w:ilvl="0" w:tentative="0">
      <w:start w:val="1"/>
      <w:numFmt w:val="chineseCountingThousand"/>
      <w:lvlText w:val="%1、"/>
      <w:lvlJc w:val="left"/>
      <w:pPr>
        <w:ind w:left="420" w:hanging="420"/>
      </w:pPr>
      <w:rPr>
        <w:rFonts w:hint="eastAsia" w:ascii="黑体" w:hAnsi="黑体" w:eastAsia="黑体"/>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68F2B6E"/>
    <w:rsid w:val="187A3611"/>
    <w:rsid w:val="187F6653"/>
    <w:rsid w:val="1959683C"/>
    <w:rsid w:val="1AAC7CB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5FF78233"/>
    <w:rsid w:val="60B574F8"/>
    <w:rsid w:val="613864FA"/>
    <w:rsid w:val="61DA72FF"/>
    <w:rsid w:val="61E05469"/>
    <w:rsid w:val="624C54C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F172CF5"/>
    <w:rsid w:val="6FEEF0ED"/>
    <w:rsid w:val="71B404AE"/>
    <w:rsid w:val="71C31DE5"/>
    <w:rsid w:val="76BE02F5"/>
    <w:rsid w:val="77BF7F7D"/>
    <w:rsid w:val="780ADB40"/>
    <w:rsid w:val="7BFFB432"/>
    <w:rsid w:val="7C354E99"/>
    <w:rsid w:val="7EFE277E"/>
    <w:rsid w:val="7F55FE1D"/>
    <w:rsid w:val="8DFE8914"/>
    <w:rsid w:val="BFB717A2"/>
    <w:rsid w:val="C3BFCA84"/>
    <w:rsid w:val="D7D32A20"/>
    <w:rsid w:val="D8763037"/>
    <w:rsid w:val="DFD7011F"/>
    <w:rsid w:val="DFFA5DEA"/>
    <w:rsid w:val="DFFF72A5"/>
    <w:rsid w:val="E6FE4F89"/>
    <w:rsid w:val="E7F73B81"/>
    <w:rsid w:val="EEFF3D64"/>
    <w:rsid w:val="EFB22878"/>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45</Pages>
  <Words>2791</Words>
  <Characters>15909</Characters>
  <Lines>132</Lines>
  <Paragraphs>37</Paragraphs>
  <TotalTime>32</TotalTime>
  <ScaleCrop>false</ScaleCrop>
  <LinksUpToDate>false</LinksUpToDate>
  <CharactersWithSpaces>18663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Administrator</dc:creator>
  <cp:lastModifiedBy>Fighter</cp:lastModifiedBy>
  <dcterms:modified xsi:type="dcterms:W3CDTF">2026-04-05T12:34:36Z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5CE99791A69E0F9A73D9B669B9B508D6_43</vt:lpwstr>
  </property>
</Properties>
</file>