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  <w:jc w:val="center"/>
      </w:pPr>
      <w:r>
        <w:rPr>
          <w:rFonts w:ascii="微软雅黑" w:hAnsi="微软雅黑" w:eastAsia="微软雅黑"/>
          <w:b/>
          <w:i w:val="0"/>
          <w:color w:val="1F4E79"/>
          <w:sz w:val="36"/>
        </w:rPr>
        <w:t>敏感词库分类与使用指南</w:t>
      </w:r>
    </w:p>
    <w:p>
      <w:pPr>
        <w:spacing w:after="60"/>
        <w:ind w:left="340"/>
      </w:pPr>
      <w:r>
        <w:rPr>
          <w:rFonts w:ascii="微软雅黑" w:hAnsi="微软雅黑" w:eastAsia="微软雅黑"/>
          <w:b w:val="0"/>
          <w:i/>
          <w:color w:val="595959"/>
          <w:sz w:val="20"/>
        </w:rPr>
        <w:t>⚠️ 本文件为</w:t>
      </w:r>
      <w:r>
        <w:rPr>
          <w:rFonts w:ascii="微软雅黑" w:hAnsi="微软雅黑" w:eastAsia="微软雅黑"/>
          <w:b/>
          <w:i/>
          <w:color w:val="595959"/>
          <w:sz w:val="20"/>
        </w:rPr>
        <w:t>虚构示例数据</w:t>
      </w:r>
      <w:r>
        <w:rPr>
          <w:rFonts w:ascii="微软雅黑" w:hAnsi="微软雅黑" w:eastAsia="微软雅黑"/>
          <w:b w:val="0"/>
          <w:i/>
          <w:color w:val="595959"/>
          <w:sz w:val="20"/>
        </w:rPr>
        <w:t>。配套文件：</w:t>
      </w:r>
      <w:r>
        <w:rPr>
          <w:rFonts w:ascii="Consolas" w:hAnsi="Consolas" w:eastAsia="Consolas"/>
          <w:b w:val="0"/>
          <w:i w:val="0"/>
          <w:color w:val="B03030"/>
          <w:sz w:val="20"/>
        </w:rPr>
        <w:t>敏感词总表-示例.csv</w:t>
      </w:r>
      <w:r>
        <w:rPr>
          <w:rFonts w:ascii="微软雅黑" w:hAnsi="微软雅黑" w:eastAsia="微软雅黑"/>
          <w:b w:val="0"/>
          <w:i/>
          <w:color w:val="595959"/>
          <w:sz w:val="20"/>
        </w:rPr>
        <w:t xml:space="preserve"> / </w:t>
      </w:r>
      <w:r>
        <w:rPr>
          <w:rFonts w:ascii="Consolas" w:hAnsi="Consolas" w:eastAsia="Consolas"/>
          <w:b w:val="0"/>
          <w:i w:val="0"/>
          <w:color w:val="B03030"/>
          <w:sz w:val="20"/>
        </w:rPr>
        <w:t>敏感词总表.xlsx</w:t>
      </w:r>
      <w:r>
        <w:rPr>
          <w:rFonts w:ascii="微软雅黑" w:hAnsi="微软雅黑" w:eastAsia="微软雅黑"/>
          <w:b w:val="0"/>
          <w:i/>
          <w:color w:val="595959"/>
          <w:sz w:val="20"/>
        </w:rPr>
        <w:t xml:space="preserve">（主表 </w:t>
      </w:r>
      <w:r>
        <w:rPr>
          <w:rFonts w:ascii="微软雅黑" w:hAnsi="微软雅黑" w:eastAsia="微软雅黑"/>
          <w:b/>
          <w:i/>
          <w:color w:val="595959"/>
          <w:sz w:val="20"/>
        </w:rPr>
        <w:t>285 条</w:t>
      </w:r>
      <w:r>
        <w:rPr>
          <w:rFonts w:ascii="微软雅黑" w:hAnsi="微软雅黑" w:eastAsia="微软雅黑"/>
          <w:b w:val="0"/>
          <w:i/>
          <w:color w:val="595959"/>
          <w:sz w:val="20"/>
        </w:rPr>
        <w:t>规则，去重后唯一权威版本）。</w:t>
      </w:r>
    </w:p>
    <w:p>
      <w:pPr>
        <w:spacing w:after="60"/>
        <w:ind w:left="340"/>
      </w:pPr>
      <w:r>
        <w:rPr>
          <w:rFonts w:ascii="微软雅黑" w:hAnsi="微软雅黑" w:eastAsia="微软雅黑"/>
          <w:b w:val="0"/>
          <w:i/>
          <w:color w:val="595959"/>
          <w:sz w:val="20"/>
        </w:rPr>
        <w:t>版本：V1.1-2026.07（V1.1 修订：条数口径更正 191→285；分类体系标题更正为五大类；补充 Sheet 拆分逻辑与二级分类命名规范说明）</w:t>
      </w:r>
    </w:p>
    <w:p>
      <w:pPr>
        <w:spacing w:before="280" w:after="12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〇、前置：产品类别合规基线（审核的第一步）</w:t>
      </w:r>
    </w:p>
    <w:p>
      <w:pPr>
        <w:spacing w:after="60"/>
        <w:ind w:left="340"/>
      </w:pPr>
      <w:r>
        <w:rPr>
          <w:rFonts w:ascii="微软雅黑" w:hAnsi="微软雅黑" w:eastAsia="微软雅黑"/>
          <w:b/>
          <w:i/>
          <w:color w:val="595959"/>
          <w:sz w:val="20"/>
        </w:rPr>
        <w:t>审核任何内容前，先确认产品类别</w:t>
      </w:r>
      <w:r>
        <w:rPr>
          <w:rFonts w:ascii="微软雅黑" w:hAnsi="微软雅黑" w:eastAsia="微软雅黑"/>
          <w:b w:val="0"/>
          <w:i/>
          <w:color w:val="595959"/>
          <w:sz w:val="20"/>
        </w:rPr>
        <w:t>。同一表述在不同品类下风险等级可能完全不同。以下四类为法定分类（「滋补品」是营销概念，不是法定分类）。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fill="1F4E7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品类</w:t>
            </w:r>
          </w:p>
        </w:tc>
        <w:tc>
          <w:tcPr>
            <w:tcW w:type="dxa" w:w="2353"/>
            <w:shd w:val="clear" w:fill="1F4E7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能说什么</w:t>
            </w:r>
          </w:p>
        </w:tc>
        <w:tc>
          <w:tcPr>
            <w:tcW w:type="dxa" w:w="2353"/>
            <w:shd w:val="clear" w:fill="1F4E7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不能说什么</w:t>
            </w:r>
          </w:p>
        </w:tc>
        <w:tc>
          <w:tcPr>
            <w:tcW w:type="dxa" w:w="2353"/>
            <w:shd w:val="clear" w:fill="1F4E7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风险特征</w:t>
            </w:r>
          </w:p>
        </w:tc>
      </w:tr>
      <w:tr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P0 处方药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仅限医学药学专业刊物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不得大众广告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出现在大众媒介即🔴高风险</w:t>
            </w:r>
          </w:p>
        </w:tc>
      </w:tr>
      <w:tr>
        <w:tc>
          <w:tcPr>
            <w:tcW w:type="dxa" w:w="2353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P1 非处方药（OTC）</w:t>
            </w:r>
          </w:p>
        </w:tc>
        <w:tc>
          <w:tcPr>
            <w:tcW w:type="dxa" w:w="2353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功效限说明书逐字范围</w:t>
            </w:r>
          </w:p>
        </w:tc>
        <w:tc>
          <w:tcPr>
            <w:tcW w:type="dxa" w:w="2353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超说明书功效、专业背书、功效转译</w:t>
            </w:r>
          </w:p>
        </w:tc>
        <w:tc>
          <w:tcPr>
            <w:tcW w:type="dxa" w:w="2353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功效转译（如"吃出好气色"）= 🟠中风险</w:t>
            </w:r>
          </w:p>
        </w:tc>
      </w:tr>
      <w:tr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P2 保健食品（蓝帽子）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功能限批文白名单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超批文功能、缺警示语、用代言人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超批文功能 = 🔴高风险</w:t>
            </w:r>
          </w:p>
        </w:tc>
      </w:tr>
      <w:tr>
        <w:tc>
          <w:tcPr>
            <w:tcW w:type="dxa" w:w="2353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P3 普通食品</w:t>
            </w:r>
          </w:p>
        </w:tc>
        <w:tc>
          <w:tcPr>
            <w:tcW w:type="dxa" w:w="2353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原料/口感/场景/文化/情感</w:t>
            </w:r>
          </w:p>
        </w:tc>
        <w:tc>
          <w:tcPr>
            <w:tcW w:type="dxa" w:w="2353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任何功效、保健功能暗示</w:t>
            </w:r>
          </w:p>
        </w:tc>
        <w:tc>
          <w:tcPr>
            <w:tcW w:type="dxa" w:w="2353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暗示保健功能（如"美容养颜"）= 🔴高风险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判定流程</w:t>
      </w:r>
      <w:r>
        <w:rPr>
          <w:rFonts w:ascii="微软雅黑" w:hAnsi="微软雅黑" w:eastAsia="微软雅黑"/>
          <w:b w:val="0"/>
          <w:i w:val="0"/>
          <w:sz w:val="21"/>
        </w:rPr>
        <w:t>：① 确认产品类别 → ② 加载该品类合规基线 → ③ 在基线之上判定违规风险等级（高/中/低）</w:t>
      </w:r>
    </w:p>
    <w:p>
      <w:pPr>
        <w:spacing w:before="280" w:after="12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一、分类体系（五大类 · 十四小类）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一、法律风险类（A–F）：国家法律法规红线，按品类差异化适用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 xml:space="preserve">   A 绝对化用语        依据《广告法》第九条及《广告绝对化用语执法指南》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 xml:space="preserve">   B 疾病治疗功能      依据《广告法》第十七条、《食品安全法》第七十三条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 xml:space="preserve">   C 药品广告禁令      依据《广告法》第十六条、《药品流通监督管理办法》第二十条（仅 P1）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 xml:space="preserve">   D 保健食品特殊规定  依据《广告法》第十八条、保健功能目录、警示用语指南（仅 P2）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 xml:space="preserve">   E 专业背书/患者名义 依据《广告法》第九条、第十六条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 xml:space="preserve">   F 虚假夸大/真实性存疑 依据《广告法》第二十八条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二、平台规则类（G–J）：平台在法规之上的加码规则，按渠道加载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 xml:space="preserve">   G 抖音   H 小红书   I 天猫淘宝   J 微信/视频号/快手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三、侵权风险类（K–L）：第三方权利风险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 xml:space="preserve">   K 商标与竞品（含自有商标滥用、地理标志规范）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 xml:space="preserve">   L 肖像/IP/版权（字体、图片、音乐、影视 IP）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四、品牌规范类（M）：企业内部品牌资产使用规范（比法律更严）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五、特殊人群与场景类（N）：孕妇、婴幼儿、未成年人、疾病人群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判定原则</w:t>
      </w:r>
      <w:r>
        <w:rPr>
          <w:rFonts w:ascii="微软雅黑" w:hAnsi="微软雅黑" w:eastAsia="微软雅黑"/>
          <w:b w:val="0"/>
          <w:i w:val="0"/>
          <w:sz w:val="21"/>
        </w:rPr>
        <w:t>：法律法规红线是不可逾越的底线；平台规则与品牌内部规范是在法律底线之上的</w:t>
      </w:r>
      <w:r>
        <w:rPr>
          <w:rFonts w:ascii="微软雅黑" w:hAnsi="微软雅黑" w:eastAsia="微软雅黑"/>
          <w:b/>
          <w:i w:val="0"/>
          <w:sz w:val="21"/>
        </w:rPr>
        <w:t>加码</w:t>
      </w:r>
      <w:r>
        <w:rPr>
          <w:rFonts w:ascii="微软雅黑" w:hAnsi="微软雅黑" w:eastAsia="微软雅黑"/>
          <w:b w:val="0"/>
          <w:i w:val="0"/>
          <w:sz w:val="21"/>
        </w:rPr>
        <w:t>。同一表述命中多条规则时，按最高等级处理；同一表述在不同平台尺度不同时，按目标渠道子库判定。</w:t>
      </w:r>
    </w:p>
    <w:p>
      <w:pPr>
        <w:spacing w:before="280" w:after="12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二、字段使用说明（CSV 列含义）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1F4E7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字段</w:t>
            </w:r>
          </w:p>
        </w:tc>
        <w:tc>
          <w:tcPr>
            <w:tcW w:type="dxa" w:w="3137"/>
            <w:shd w:val="clear" w:fill="1F4E7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用途</w:t>
            </w:r>
          </w:p>
        </w:tc>
        <w:tc>
          <w:tcPr>
            <w:tcW w:type="dxa" w:w="3137"/>
            <w:shd w:val="clear" w:fill="1F4E7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填写规则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词条ID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唯一编号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类别字母-三位序号，停用不回收编号</w:t>
            </w:r>
          </w:p>
        </w:tc>
      </w:tr>
      <w:tr>
        <w:tc>
          <w:tcPr>
            <w:tcW w:type="dxa" w:w="3137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风险等级</w:t>
            </w:r>
          </w:p>
        </w:tc>
        <w:tc>
          <w:tcPr>
            <w:tcW w:type="dxa" w:w="3137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红/橙/黄</w:t>
            </w:r>
          </w:p>
        </w:tc>
        <w:tc>
          <w:tcPr>
            <w:tcW w:type="dxa" w:w="3137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在品类基线之上判定（见第〇节）；同一表述不同品类风险可能不同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适用产品类别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最关键列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P0处方药/P1药品/P2保健食品/P3普通食品/全部；</w:t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留空等于埋雷，禁止留空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；标注多个品类时须配合「审核动作=按类别判定」</w:t>
            </w:r>
          </w:p>
        </w:tc>
      </w:tr>
      <w:tr>
        <w:tc>
          <w:tcPr>
            <w:tcW w:type="dxa" w:w="3137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适用渠道</w:t>
            </w:r>
          </w:p>
        </w:tc>
        <w:tc>
          <w:tcPr>
            <w:tcW w:type="dxa" w:w="3137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平台子规则定位</w:t>
            </w:r>
          </w:p>
        </w:tc>
        <w:tc>
          <w:tcPr>
            <w:tcW w:type="dxa" w:w="3137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「全部渠道」或具体平台名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违规依据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法律效力的来源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必须落到具体条款；平台规则注明规则名称</w:t>
            </w:r>
          </w:p>
        </w:tc>
      </w:tr>
      <w:tr>
        <w:tc>
          <w:tcPr>
            <w:tcW w:type="dxa" w:w="3137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审核动作</w:t>
            </w:r>
          </w:p>
        </w:tc>
        <w:tc>
          <w:tcPr>
            <w:tcW w:type="dxa" w:w="3137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执行指令</w:t>
            </w:r>
          </w:p>
        </w:tc>
        <w:tc>
          <w:tcPr>
            <w:tcW w:type="dxa" w:w="3137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五类标准动作，定义见下表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状态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在用 / 停用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误报多的改「停用」，留档防反复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审核动作五类标准定义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1F4E7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动作</w:t>
            </w:r>
          </w:p>
        </w:tc>
        <w:tc>
          <w:tcPr>
            <w:tcW w:type="dxa" w:w="4706"/>
            <w:shd w:val="clear" w:fill="1F4E7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定义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驳回</w:t>
            </w:r>
          </w:p>
        </w:tc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不得发布，命中即退回（对应高风险）</w:t>
            </w:r>
          </w:p>
        </w:tc>
      </w:tr>
      <w:tr>
        <w:tc>
          <w:tcPr>
            <w:tcW w:type="dxa" w:w="4706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原则驳回</w:t>
            </w:r>
          </w:p>
        </w:tc>
        <w:tc>
          <w:tcPr>
            <w:tcW w:type="dxa" w:w="4706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默认驳回；确有业务必要的，须法务部负责人书面豁免后方可使用（对应中风险）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提示优化</w:t>
            </w:r>
          </w:p>
        </w:tc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可通过，但必须随审核意见给出优化建议（对应低风险）</w:t>
            </w:r>
          </w:p>
        </w:tc>
      </w:tr>
      <w:tr>
        <w:tc>
          <w:tcPr>
            <w:tcW w:type="dxa" w:w="4706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按类别判定</w:t>
            </w:r>
          </w:p>
        </w:tc>
        <w:tc>
          <w:tcPr>
            <w:tcW w:type="dxa" w:w="4706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按「适用产品类别」分轨处理：如某表述对 P3 为驳回、对 P2 须核对批文后放行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要求补充</w:t>
            </w:r>
          </w:p>
        </w:tc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内容本身可用，但缺失法定标注或证明材料，补齐后方可放行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Excel 文件 Sheet 拆分逻辑（敏感词总表.xlsx）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1F4E7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Sheet</w:t>
            </w:r>
          </w:p>
        </w:tc>
        <w:tc>
          <w:tcPr>
            <w:tcW w:type="dxa" w:w="3137"/>
            <w:shd w:val="clear" w:fill="1F4E7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性质</w:t>
            </w:r>
          </w:p>
        </w:tc>
        <w:tc>
          <w:tcPr>
            <w:tcW w:type="dxa" w:w="3137"/>
            <w:shd w:val="clear" w:fill="1F4E7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入选规则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Sheet1-共性敏感词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视图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主表中「适用产品类别=全部」的词条</w:t>
            </w:r>
          </w:p>
        </w:tc>
      </w:tr>
      <w:tr>
        <w:tc>
          <w:tcPr>
            <w:tcW w:type="dxa" w:w="3137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Sheet2-药品敏感词</w:t>
            </w:r>
          </w:p>
        </w:tc>
        <w:tc>
          <w:tcPr>
            <w:tcW w:type="dxa" w:w="3137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视图</w:t>
            </w:r>
          </w:p>
        </w:tc>
        <w:tc>
          <w:tcPr>
            <w:tcW w:type="dxa" w:w="3137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主表中适用类别含「P1」的词条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Sheet3-保健食品敏感词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视图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主表中适用类别含「P2」的词条</w:t>
            </w:r>
          </w:p>
        </w:tc>
      </w:tr>
      <w:tr>
        <w:tc>
          <w:tcPr>
            <w:tcW w:type="dxa" w:w="3137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Sheet4-食品敏感词</w:t>
            </w:r>
          </w:p>
        </w:tc>
        <w:tc>
          <w:tcPr>
            <w:tcW w:type="dxa" w:w="3137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视图</w:t>
            </w:r>
          </w:p>
        </w:tc>
        <w:tc>
          <w:tcPr>
            <w:tcW w:type="dxa" w:w="3137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主表中适用类别含「P3」的词条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Sheet5-综合汇总表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主表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全部词条去重后的唯一权威版本</w:t>
            </w:r>
          </w:p>
        </w:tc>
      </w:tr>
    </w:tbl>
    <w:p/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Sheet1–4 均为 Sheet5 主表的</w:t>
      </w:r>
      <w:r>
        <w:rPr>
          <w:rFonts w:ascii="微软雅黑" w:hAnsi="微软雅黑" w:eastAsia="微软雅黑"/>
          <w:b/>
          <w:i w:val="0"/>
          <w:sz w:val="21"/>
        </w:rPr>
        <w:t>视图</w:t>
      </w:r>
      <w:r>
        <w:rPr>
          <w:rFonts w:ascii="微软雅黑" w:hAnsi="微软雅黑" w:eastAsia="微软雅黑"/>
          <w:b w:val="0"/>
          <w:i w:val="0"/>
          <w:sz w:val="21"/>
        </w:rPr>
        <w:t>，新增/停用词条只改主表，再刷新视图；跨品类词条（如 D-003 标「P1药品；P3食品」）会同时出现在多个视图，属正常设计，并非放错位置。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分品类 CSV 与 Excel 各 Sheet 一一对应，条数为视图条数（含跨类重复），全量以主表 285 条为准。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二级分类命名规范</w:t>
      </w:r>
      <w:r>
        <w:rPr>
          <w:rFonts w:ascii="微软雅黑" w:hAnsi="微软雅黑" w:eastAsia="微软雅黑"/>
          <w:b w:val="0"/>
          <w:i w:val="0"/>
          <w:sz w:val="21"/>
        </w:rPr>
        <w:t>：同类概念统一命名——保健功能相关一律用「保健功能白名单」；功效暗示一律用「功效暗示（擦边）」；画面类背书一律用「专业背书（画面）」。存量历史命名（如「保健功能宣称」「功效宣称」）在下版本维护时归并，新增词条一律按规范命名。</w:t>
      </w:r>
    </w:p>
    <w:p>
      <w:pPr>
        <w:spacing w:before="280" w:after="12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三、变体与谐音识别规则（人工审核与智能筛查通用）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下列规避手段</w:t>
      </w:r>
      <w:r>
        <w:rPr>
          <w:rFonts w:ascii="微软雅黑" w:hAnsi="微软雅黑" w:eastAsia="微软雅黑"/>
          <w:b/>
          <w:i w:val="0"/>
          <w:sz w:val="21"/>
        </w:rPr>
        <w:t>一律按命中原词处理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i w:val="0"/>
          <w:sz w:val="21"/>
        </w:rPr>
        <w:t xml:space="preserve">1. </w:t>
      </w:r>
      <w:r>
        <w:rPr>
          <w:rFonts w:ascii="微软雅黑" w:hAnsi="微软雅黑" w:eastAsia="微软雅黑"/>
          <w:b/>
          <w:i w:val="0"/>
          <w:sz w:val="21"/>
        </w:rPr>
        <w:t>谐音字</w:t>
      </w:r>
      <w:r>
        <w:rPr>
          <w:rFonts w:ascii="微软雅黑" w:hAnsi="微软雅黑" w:eastAsia="微软雅黑"/>
          <w:b w:val="0"/>
          <w:i w:val="0"/>
          <w:sz w:val="21"/>
        </w:rPr>
        <w:t>：蕞（最）、冶/制（治）、zhi 愈（治愈）、弟一（第一）、笑果（效果）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i w:val="0"/>
          <w:sz w:val="21"/>
        </w:rPr>
        <w:t xml:space="preserve">2. </w:t>
      </w:r>
      <w:r>
        <w:rPr>
          <w:rFonts w:ascii="微软雅黑" w:hAnsi="微软雅黑" w:eastAsia="微软雅黑"/>
          <w:b/>
          <w:i w:val="0"/>
          <w:sz w:val="21"/>
        </w:rPr>
        <w:t>拼音/缩写</w:t>
      </w:r>
      <w:r>
        <w:rPr>
          <w:rFonts w:ascii="微软雅黑" w:hAnsi="微软雅黑" w:eastAsia="微软雅黑"/>
          <w:b w:val="0"/>
          <w:i w:val="0"/>
          <w:sz w:val="21"/>
        </w:rPr>
        <w:t>：zhi 疗、bx（补血）、zui 低价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i w:val="0"/>
          <w:sz w:val="21"/>
        </w:rPr>
        <w:t xml:space="preserve">3. </w:t>
      </w:r>
      <w:r>
        <w:rPr>
          <w:rFonts w:ascii="微软雅黑" w:hAnsi="微软雅黑" w:eastAsia="微软雅黑"/>
          <w:b/>
          <w:i w:val="0"/>
          <w:sz w:val="21"/>
        </w:rPr>
        <w:t>拆字符号</w:t>
      </w:r>
      <w:r>
        <w:rPr>
          <w:rFonts w:ascii="微软雅黑" w:hAnsi="微软雅黑" w:eastAsia="微软雅黑"/>
          <w:b w:val="0"/>
          <w:i w:val="0"/>
          <w:sz w:val="21"/>
        </w:rPr>
        <w:t>：最·好、第 1、治*疗、治丨疗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i w:val="0"/>
          <w:sz w:val="21"/>
        </w:rPr>
        <w:t xml:space="preserve">4. </w:t>
      </w:r>
      <w:r>
        <w:rPr>
          <w:rFonts w:ascii="微软雅黑" w:hAnsi="微软雅黑" w:eastAsia="微软雅黑"/>
          <w:b/>
          <w:i w:val="0"/>
          <w:sz w:val="21"/>
        </w:rPr>
        <w:t>表情/图形替代</w:t>
      </w:r>
      <w:r>
        <w:rPr>
          <w:rFonts w:ascii="微软雅黑" w:hAnsi="微软雅黑" w:eastAsia="微软雅黑"/>
          <w:b w:val="0"/>
          <w:i w:val="0"/>
          <w:sz w:val="21"/>
        </w:rPr>
        <w:t>：用「💯」替代 100%、用「No.1」替代第一（No.1 同样违规）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i w:val="0"/>
          <w:sz w:val="21"/>
        </w:rPr>
        <w:t xml:space="preserve">5. </w:t>
      </w:r>
      <w:r>
        <w:rPr>
          <w:rFonts w:ascii="微软雅黑" w:hAnsi="微软雅黑" w:eastAsia="微软雅黑"/>
          <w:b/>
          <w:i w:val="0"/>
          <w:sz w:val="21"/>
        </w:rPr>
        <w:t>语义擦边</w:t>
      </w:r>
      <w:r>
        <w:rPr>
          <w:rFonts w:ascii="微软雅黑" w:hAnsi="微软雅黑" w:eastAsia="微软雅黑"/>
          <w:b w:val="0"/>
          <w:i w:val="0"/>
          <w:sz w:val="21"/>
        </w:rPr>
        <w:t>：不直接使用违禁词但构成同等暗示的表述（如「吃完再去查指标」「指标降下来了」暗示疗效）</w:t>
      </w:r>
    </w:p>
    <w:p>
      <w:pPr>
        <w:spacing w:before="280" w:after="12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四、安全表述清单（改写词库 · 24 条）</w:t>
      </w:r>
    </w:p>
    <w:p>
      <w:pPr>
        <w:spacing w:after="60"/>
        <w:ind w:left="340"/>
      </w:pPr>
      <w:r>
        <w:rPr>
          <w:rFonts w:ascii="微软雅黑" w:hAnsi="微软雅黑" w:eastAsia="微软雅黑"/>
          <w:b w:val="0"/>
          <w:i/>
          <w:color w:val="595959"/>
          <w:sz w:val="20"/>
        </w:rPr>
        <w:t>这是「一键改写」的首选弹药库，全部经合规审核确认（示例）。使用时须注意【适用边界】列。</w:t>
      </w:r>
    </w:p>
    <w:p>
      <w:pPr>
        <w:spacing w:before="160" w:after="120"/>
      </w:pPr>
      <w:r>
        <w:rPr>
          <w:rFonts w:ascii="微软雅黑" w:hAnsi="微软雅黑" w:eastAsia="微软雅黑"/>
          <w:b/>
          <w:i w:val="0"/>
          <w:color w:val="1F4E79"/>
          <w:sz w:val="24"/>
        </w:rPr>
        <w:t>（一）功效替代类（用于承接被驳回的功效表述）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1F4E7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表述</w:t>
            </w:r>
          </w:p>
        </w:tc>
        <w:tc>
          <w:tcPr>
            <w:tcW w:type="dxa" w:w="3137"/>
            <w:shd w:val="clear" w:fill="1F4E7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适用产品类别</w:t>
            </w:r>
          </w:p>
        </w:tc>
        <w:tc>
          <w:tcPr>
            <w:tcW w:type="dxa" w:w="3137"/>
            <w:shd w:val="clear" w:fill="1F4E7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使用边界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传统滋补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全部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不绑定具体疾病与功效</w:t>
            </w:r>
          </w:p>
        </w:tc>
      </w:tr>
      <w:tr>
        <w:tc>
          <w:tcPr>
            <w:tcW w:type="dxa" w:w="3137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日常食养</w:t>
            </w:r>
          </w:p>
        </w:tc>
        <w:tc>
          <w:tcPr>
            <w:tcW w:type="dxa" w:w="3137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P3 普通食品</w:t>
            </w:r>
          </w:p>
        </w:tc>
        <w:tc>
          <w:tcPr>
            <w:tcW w:type="dxa" w:w="3137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强调生活方式，不暗示功能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温养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P1 药品（在说明书语境内）/ P3 文化语境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P3 使用时不得与症状关联</w:t>
            </w:r>
          </w:p>
        </w:tc>
      </w:tr>
      <w:tr>
        <w:tc>
          <w:tcPr>
            <w:tcW w:type="dxa" w:w="3137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食养同源</w:t>
            </w:r>
          </w:p>
        </w:tc>
        <w:tc>
          <w:tcPr>
            <w:tcW w:type="dxa" w:w="3137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P3</w:t>
            </w:r>
          </w:p>
        </w:tc>
        <w:tc>
          <w:tcPr>
            <w:tcW w:type="dxa" w:w="3137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不延伸出疗效叙述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道地取材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全部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须有原料产地与供应链证明</w:t>
            </w:r>
          </w:p>
        </w:tc>
      </w:tr>
      <w:tr>
        <w:tc>
          <w:tcPr>
            <w:tcW w:type="dxa" w:w="3137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匠心熬制</w:t>
            </w:r>
          </w:p>
        </w:tc>
        <w:tc>
          <w:tcPr>
            <w:tcW w:type="dxa" w:w="3137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全部</w:t>
            </w:r>
          </w:p>
        </w:tc>
        <w:tc>
          <w:tcPr>
            <w:tcW w:type="dxa" w:w="3137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与非遗技艺表述联动时须规范引用认定文件</w:t>
            </w:r>
          </w:p>
        </w:tc>
      </w:tr>
    </w:tbl>
    <w:p/>
    <w:p>
      <w:pPr>
        <w:spacing w:before="160" w:after="120"/>
      </w:pPr>
      <w:r>
        <w:rPr>
          <w:rFonts w:ascii="微软雅黑" w:hAnsi="微软雅黑" w:eastAsia="微软雅黑"/>
          <w:b/>
          <w:i w:val="0"/>
          <w:color w:val="1F4E79"/>
          <w:sz w:val="24"/>
        </w:rPr>
        <w:t>（二）品质表达类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1F4E7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表述</w:t>
            </w:r>
          </w:p>
        </w:tc>
        <w:tc>
          <w:tcPr>
            <w:tcW w:type="dxa" w:w="3137"/>
            <w:shd w:val="clear" w:fill="1F4E7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适用产品类别</w:t>
            </w:r>
          </w:p>
        </w:tc>
        <w:tc>
          <w:tcPr>
            <w:tcW w:type="dxa" w:w="3137"/>
            <w:shd w:val="clear" w:fill="1F4E7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使用边界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甄选原料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全部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原料等级表述须有内控标准支撑</w:t>
            </w:r>
          </w:p>
        </w:tc>
      </w:tr>
      <w:tr>
        <w:tc>
          <w:tcPr>
            <w:tcW w:type="dxa" w:w="3137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配料干净</w:t>
            </w:r>
          </w:p>
        </w:tc>
        <w:tc>
          <w:tcPr>
            <w:tcW w:type="dxa" w:w="3137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P3</w:t>
            </w:r>
          </w:p>
        </w:tc>
        <w:tc>
          <w:tcPr>
            <w:tcW w:type="dxa" w:w="3137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须与配料表一致，不得暗示「无添加=更健康」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开袋即食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P3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—</w:t>
            </w:r>
          </w:p>
        </w:tc>
      </w:tr>
      <w:tr>
        <w:tc>
          <w:tcPr>
            <w:tcW w:type="dxa" w:w="3137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独立小包装</w:t>
            </w:r>
          </w:p>
        </w:tc>
        <w:tc>
          <w:tcPr>
            <w:tcW w:type="dxa" w:w="3137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P3</w:t>
            </w:r>
          </w:p>
        </w:tc>
        <w:tc>
          <w:tcPr>
            <w:tcW w:type="dxa" w:w="3137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—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全程可溯源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全部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按溯源系统实际覆盖范围表述，不得说「每一批都」除非属实</w:t>
            </w:r>
          </w:p>
        </w:tc>
      </w:tr>
      <w:tr>
        <w:tc>
          <w:tcPr>
            <w:tcW w:type="dxa" w:w="3137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百年传承</w:t>
            </w:r>
          </w:p>
        </w:tc>
        <w:tc>
          <w:tcPr>
            <w:tcW w:type="dxa" w:w="3137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全部</w:t>
            </w:r>
          </w:p>
        </w:tc>
        <w:tc>
          <w:tcPr>
            <w:tcW w:type="dxa" w:w="3137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限于品牌历史叙述</w:t>
            </w:r>
          </w:p>
        </w:tc>
      </w:tr>
    </w:tbl>
    <w:p/>
    <w:p>
      <w:pPr>
        <w:spacing w:before="160" w:after="120"/>
      </w:pPr>
      <w:r>
        <w:rPr>
          <w:rFonts w:ascii="微软雅黑" w:hAnsi="微软雅黑" w:eastAsia="微软雅黑"/>
          <w:b/>
          <w:i w:val="0"/>
          <w:color w:val="1F4E79"/>
          <w:sz w:val="24"/>
        </w:rPr>
        <w:t>（三）口碑表达类（替代「第一/最」）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1F4E7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表述</w:t>
            </w:r>
          </w:p>
        </w:tc>
        <w:tc>
          <w:tcPr>
            <w:tcW w:type="dxa" w:w="3137"/>
            <w:shd w:val="clear" w:fill="1F4E7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适用产品类别</w:t>
            </w:r>
          </w:p>
        </w:tc>
        <w:tc>
          <w:tcPr>
            <w:tcW w:type="dxa" w:w="3137"/>
            <w:shd w:val="clear" w:fill="1F4E7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使用边界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口碑之选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全部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—</w:t>
            </w:r>
          </w:p>
        </w:tc>
      </w:tr>
      <w:tr>
        <w:tc>
          <w:tcPr>
            <w:tcW w:type="dxa" w:w="3137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很多人回购</w:t>
            </w:r>
          </w:p>
        </w:tc>
        <w:tc>
          <w:tcPr>
            <w:tcW w:type="dxa" w:w="3137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P3 / P2</w:t>
            </w:r>
          </w:p>
        </w:tc>
        <w:tc>
          <w:tcPr>
            <w:tcW w:type="dxa" w:w="3137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不得虚构数据；不与功效绑定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老客常囤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P3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—</w:t>
            </w:r>
          </w:p>
        </w:tc>
      </w:tr>
      <w:tr>
        <w:tc>
          <w:tcPr>
            <w:tcW w:type="dxa" w:w="3137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复购人气款</w:t>
            </w:r>
          </w:p>
        </w:tc>
        <w:tc>
          <w:tcPr>
            <w:tcW w:type="dxa" w:w="3137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P3</w:t>
            </w:r>
          </w:p>
        </w:tc>
        <w:tc>
          <w:tcPr>
            <w:tcW w:type="dxa" w:w="3137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以店铺真实数据为背景，不标注具体百分比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深受消费者喜爱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全部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—</w:t>
            </w:r>
          </w:p>
        </w:tc>
      </w:tr>
    </w:tbl>
    <w:p/>
    <w:p>
      <w:pPr>
        <w:spacing w:before="160" w:after="120"/>
      </w:pPr>
      <w:r>
        <w:rPr>
          <w:rFonts w:ascii="微软雅黑" w:hAnsi="微软雅黑" w:eastAsia="微软雅黑"/>
          <w:b/>
          <w:i w:val="0"/>
          <w:color w:val="1F4E79"/>
          <w:sz w:val="24"/>
        </w:rPr>
        <w:t>（四）场景与情感类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1F4E7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表述</w:t>
            </w:r>
          </w:p>
        </w:tc>
        <w:tc>
          <w:tcPr>
            <w:tcW w:type="dxa" w:w="3137"/>
            <w:shd w:val="clear" w:fill="1F4E7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适用产品类别</w:t>
            </w:r>
          </w:p>
        </w:tc>
        <w:tc>
          <w:tcPr>
            <w:tcW w:type="dxa" w:w="3137"/>
            <w:shd w:val="clear" w:fill="1F4E7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使用边界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下午茶搭子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P3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—</w:t>
            </w:r>
          </w:p>
        </w:tc>
      </w:tr>
      <w:tr>
        <w:tc>
          <w:tcPr>
            <w:tcW w:type="dxa" w:w="3137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办公室小食</w:t>
            </w:r>
          </w:p>
        </w:tc>
        <w:tc>
          <w:tcPr>
            <w:tcW w:type="dxa" w:w="3137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P3</w:t>
            </w:r>
          </w:p>
        </w:tc>
        <w:tc>
          <w:tcPr>
            <w:tcW w:type="dxa" w:w="3137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—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秋冬食养季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全部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季节场景，不暗示防病</w:t>
            </w:r>
          </w:p>
        </w:tc>
      </w:tr>
      <w:tr>
        <w:tc>
          <w:tcPr>
            <w:tcW w:type="dxa" w:w="3137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年货好礼</w:t>
            </w:r>
          </w:p>
        </w:tc>
        <w:tc>
          <w:tcPr>
            <w:tcW w:type="dxa" w:w="3137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P3</w:t>
            </w:r>
          </w:p>
        </w:tc>
        <w:tc>
          <w:tcPr>
            <w:tcW w:type="dxa" w:w="3137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P1 药品避免礼品化诱导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给妈妈的贴心礼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P3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不得延伸「妈妈吃了身体好」类功效联想</w:t>
            </w:r>
          </w:p>
        </w:tc>
      </w:tr>
      <w:tr>
        <w:tc>
          <w:tcPr>
            <w:tcW w:type="dxa" w:w="3137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加班间隙的能量小食</w:t>
            </w:r>
          </w:p>
        </w:tc>
        <w:tc>
          <w:tcPr>
            <w:tcW w:type="dxa" w:w="3137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P3</w:t>
            </w:r>
          </w:p>
        </w:tc>
        <w:tc>
          <w:tcPr>
            <w:tcW w:type="dxa" w:w="3137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「能量」仅指食物供能，不暗示抗疲劳功能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国潮养生新方式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P3 / P2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「养生」限生活方式语境</w:t>
            </w:r>
          </w:p>
        </w:tc>
      </w:tr>
    </w:tbl>
    <w:p/>
    <w:p>
      <w:pPr>
        <w:spacing w:before="280" w:after="12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五、各类别使用要点备忘</w:t>
      </w:r>
    </w:p>
    <w:p>
      <w:pPr>
        <w:spacing w:before="160" w:after="120"/>
      </w:pPr>
      <w:r>
        <w:rPr>
          <w:rFonts w:ascii="微软雅黑" w:hAnsi="微软雅黑" w:eastAsia="微软雅黑"/>
          <w:b/>
          <w:i w:val="0"/>
          <w:color w:val="1F4E79"/>
          <w:sz w:val="24"/>
        </w:rPr>
        <w:t>A 绝对化用语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注意《执法指南》豁免情形：仅表达企业自我定位且不指向商品功效的部分表述可不认定为违法，但</w:t>
      </w:r>
      <w:r>
        <w:rPr>
          <w:rFonts w:ascii="微软雅黑" w:hAnsi="微软雅黑" w:eastAsia="微软雅黑"/>
          <w:b/>
          <w:i w:val="0"/>
          <w:sz w:val="21"/>
        </w:rPr>
        <w:t>公司内部一律从严</w:t>
      </w:r>
      <w:r>
        <w:rPr>
          <w:rFonts w:ascii="微软雅黑" w:hAnsi="微软雅黑" w:eastAsia="微软雅黑"/>
          <w:b w:val="0"/>
          <w:i w:val="0"/>
          <w:sz w:val="21"/>
        </w:rPr>
        <w:t>，豁免需法务部负责人书面审批。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「国家级非物质文化遗产」类表述：非遗项目名称可规范引用（见 05 资质文件清单），但不得改写为「国家级滋补品」。</w:t>
      </w:r>
    </w:p>
    <w:p>
      <w:pPr>
        <w:spacing w:before="160" w:after="120"/>
      </w:pPr>
      <w:r>
        <w:rPr>
          <w:rFonts w:ascii="微软雅黑" w:hAnsi="微软雅黑" w:eastAsia="微软雅黑"/>
          <w:b/>
          <w:i w:val="0"/>
          <w:color w:val="1F4E79"/>
          <w:sz w:val="24"/>
        </w:rPr>
        <w:t>B 疾病治疗功能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P1 药品的合法表述空间 = 药品说明书逐字范围（示例：补血滋阴，润燥，止血；用于血虚萎黄、眩晕心悸、心烦不眠、肺燥咳嗽）。任何「翻译」「扩写」「通俗化」都视为超范围。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高危变体：疾病名+产品同框（贫血×阿胶糕）、症状清单式排版、评论区自导自演疗效问答。</w:t>
      </w:r>
    </w:p>
    <w:p>
      <w:pPr>
        <w:spacing w:before="160" w:after="120"/>
      </w:pPr>
      <w:r>
        <w:rPr>
          <w:rFonts w:ascii="微软雅黑" w:hAnsi="微软雅黑" w:eastAsia="微软雅黑"/>
          <w:b/>
          <w:i w:val="0"/>
          <w:color w:val="1F4E79"/>
          <w:sz w:val="24"/>
        </w:rPr>
        <w:t>B-补 功效转译判定（滋补类药品高频问题）</w:t>
      </w:r>
    </w:p>
    <w:p>
      <w:pPr>
        <w:spacing w:after="60"/>
        <w:ind w:left="340"/>
      </w:pPr>
      <w:r>
        <w:rPr>
          <w:rFonts w:ascii="微软雅黑" w:hAnsi="微软雅黑" w:eastAsia="微软雅黑"/>
          <w:b w:val="0"/>
          <w:i/>
          <w:color w:val="595959"/>
          <w:sz w:val="20"/>
        </w:rPr>
        <w:t>滋补类 OTC 药品的功效表述方向常落在说明书适应症范围内（如「血虚萎黄」→「气色好」），但</w:t>
      </w:r>
      <w:r>
        <w:rPr>
          <w:rFonts w:ascii="微软雅黑" w:hAnsi="微软雅黑" w:eastAsia="微软雅黑"/>
          <w:b/>
          <w:i/>
          <w:color w:val="595959"/>
          <w:sz w:val="20"/>
        </w:rPr>
        <w:t>方向在范围内 ≠ 可以通俗化转译</w:t>
      </w:r>
      <w:r>
        <w:rPr>
          <w:rFonts w:ascii="微软雅黑" w:hAnsi="微软雅黑" w:eastAsia="微软雅黑"/>
          <w:b w:val="0"/>
          <w:i/>
          <w:color w:val="595959"/>
          <w:sz w:val="20"/>
        </w:rPr>
        <w:t>。药品广告审查标准要求功效表述与说明书一致，"吃出好气色"是对"改善血虚萎黄"的非原文转译，属中风险（橙色）。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判定规则：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i w:val="0"/>
          <w:sz w:val="21"/>
        </w:rPr>
        <w:t xml:space="preserve">1. </w:t>
      </w:r>
      <w:r>
        <w:rPr>
          <w:rFonts w:ascii="微软雅黑" w:hAnsi="微软雅黑" w:eastAsia="微软雅黑"/>
          <w:b w:val="0"/>
          <w:i w:val="0"/>
          <w:sz w:val="21"/>
        </w:rPr>
        <w:t>表述是否为说明书原文 → 是 → 通过；否 → 进入下一步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i w:val="0"/>
          <w:sz w:val="21"/>
        </w:rPr>
        <w:t xml:space="preserve">2. </w:t>
      </w:r>
      <w:r>
        <w:rPr>
          <w:rFonts w:ascii="微软雅黑" w:hAnsi="微软雅黑" w:eastAsia="微软雅黑"/>
          <w:b w:val="0"/>
          <w:i w:val="0"/>
          <w:sz w:val="21"/>
        </w:rPr>
        <w:t>表述是否构成功效因果句式（「吃出/喝出/带来+结果」）→ 是 → 中风险，原则驳回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i w:val="0"/>
          <w:sz w:val="21"/>
        </w:rPr>
        <w:t xml:space="preserve">3. </w:t>
      </w:r>
      <w:r>
        <w:rPr>
          <w:rFonts w:ascii="微软雅黑" w:hAnsi="微软雅黑" w:eastAsia="微软雅黑"/>
          <w:b w:val="0"/>
          <w:i w:val="0"/>
          <w:sz w:val="21"/>
        </w:rPr>
        <w:t>表述是否出现在</w:t>
      </w:r>
      <w:r>
        <w:rPr>
          <w:rFonts w:ascii="微软雅黑" w:hAnsi="微软雅黑" w:eastAsia="微软雅黑"/>
          <w:b/>
          <w:i w:val="0"/>
          <w:sz w:val="21"/>
        </w:rPr>
        <w:t>文化叙述</w:t>
      </w:r>
      <w:r>
        <w:rPr>
          <w:rFonts w:ascii="微软雅黑" w:hAnsi="微软雅黑" w:eastAsia="微软雅黑"/>
          <w:b w:val="0"/>
          <w:i w:val="0"/>
          <w:sz w:val="21"/>
        </w:rPr>
        <w:t>中且</w:t>
      </w:r>
      <w:r>
        <w:rPr>
          <w:rFonts w:ascii="微软雅黑" w:hAnsi="微软雅黑" w:eastAsia="微软雅黑"/>
          <w:b/>
          <w:i w:val="0"/>
          <w:sz w:val="21"/>
        </w:rPr>
        <w:t>未与产品消费绑定因果</w:t>
      </w:r>
      <w:r>
        <w:rPr>
          <w:rFonts w:ascii="微软雅黑" w:hAnsi="微软雅黑" w:eastAsia="微软雅黑"/>
          <w:b w:val="0"/>
          <w:i w:val="0"/>
          <w:sz w:val="21"/>
        </w:rPr>
        <w:t xml:space="preserve"> → 是 → 可放行（如「中医讲究气血调和、气色调养」作为文化背景介绍）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合规路径（"气色"概念的合法用法）：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P1 药品：用说明书规范表述替代（「用于血虚萎黄」是"好气色"的合规等价物）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P3 食品：改用场景/情感表达（「来一块，对自己好一点」），不建立"吃→气色好"的因果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品牌文化叙述：可提"气色"概念，但须作为文化背景而非产品功效承诺</w:t>
      </w:r>
    </w:p>
    <w:p>
      <w:pPr>
        <w:spacing w:before="160" w:after="120"/>
      </w:pPr>
      <w:r>
        <w:rPr>
          <w:rFonts w:ascii="微软雅黑" w:hAnsi="微软雅黑" w:eastAsia="微软雅黑"/>
          <w:b/>
          <w:i w:val="0"/>
          <w:color w:val="1F4E79"/>
          <w:sz w:val="24"/>
        </w:rPr>
        <w:t>D 保健食品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功能声称白名单制：批文写什么说什么，一字不多。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警示语「保健食品不是药物，不能代替药物治疗疾病」</w:t>
      </w:r>
      <w:r>
        <w:rPr>
          <w:rFonts w:ascii="微软雅黑" w:hAnsi="微软雅黑" w:eastAsia="微软雅黑"/>
          <w:b/>
          <w:i w:val="0"/>
          <w:sz w:val="21"/>
        </w:rPr>
        <w:t>缺失即红色违规</w:t>
      </w:r>
      <w:r>
        <w:rPr>
          <w:rFonts w:ascii="微软雅黑" w:hAnsi="微软雅黑" w:eastAsia="微软雅黑"/>
          <w:b w:val="0"/>
          <w:i w:val="0"/>
          <w:sz w:val="21"/>
        </w:rPr>
        <w:t>，不用看内容。</w:t>
      </w:r>
    </w:p>
    <w:p>
      <w:pPr>
        <w:spacing w:before="160" w:after="120"/>
      </w:pPr>
      <w:r>
        <w:rPr>
          <w:rFonts w:ascii="微软雅黑" w:hAnsi="微软雅黑" w:eastAsia="微软雅黑"/>
          <w:b/>
          <w:i w:val="0"/>
          <w:color w:val="1F4E79"/>
          <w:sz w:val="24"/>
        </w:rPr>
        <w:t>G–J 平台规则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平台规则处罚后果示例（虚构）：抖音中断直播/下架商品/扣除信用分；小红书限流/下架笔记/封禁商业权限；天猫扣分降权/删除商品；微信删文/封禁功能。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平台规则更新快，子库文件每月最后一个工作日复查官方规则中心。</w:t>
      </w:r>
    </w:p>
    <w:p>
      <w:pPr>
        <w:spacing w:before="160" w:after="120"/>
      </w:pPr>
      <w:r>
        <w:rPr>
          <w:rFonts w:ascii="微软雅黑" w:hAnsi="微软雅黑" w:eastAsia="微软雅黑"/>
          <w:b/>
          <w:i w:val="0"/>
          <w:color w:val="1F4E79"/>
          <w:sz w:val="24"/>
        </w:rPr>
        <w:t>K–L 侵权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竞品名不仅不能贬，</w:t>
      </w:r>
      <w:r>
        <w:rPr>
          <w:rFonts w:ascii="微软雅黑" w:hAnsi="微软雅黑" w:eastAsia="微软雅黑"/>
          <w:b/>
          <w:i w:val="0"/>
          <w:sz w:val="21"/>
        </w:rPr>
        <w:t>原则上不出现</w:t>
      </w:r>
      <w:r>
        <w:rPr>
          <w:rFonts w:ascii="微软雅黑" w:hAnsi="微软雅黑" w:eastAsia="微软雅黑"/>
          <w:b w:val="0"/>
          <w:i w:val="0"/>
          <w:sz w:val="21"/>
        </w:rPr>
        <w:t>；正向对比也禁止（无公开公正依据）。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字体是历史重灾区（见案例库 V-08）：设计交付物必须附《字体使用清单》，仅可使用授权字体库内字体。</w:t>
      </w:r>
    </w:p>
    <w:p>
      <w:pPr>
        <w:spacing w:before="160" w:after="120"/>
      </w:pPr>
      <w:r>
        <w:rPr>
          <w:rFonts w:ascii="微软雅黑" w:hAnsi="微软雅黑" w:eastAsia="微软雅黑"/>
          <w:b/>
          <w:i w:val="0"/>
          <w:color w:val="1F4E79"/>
          <w:sz w:val="24"/>
        </w:rPr>
        <w:t>N 特殊人群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孕妇、哺乳期、婴幼儿、未成年人为绝对禁区，任何「XX 也能吃」句式一律拦截。</w:t>
      </w:r>
    </w:p>
    <w:p>
      <w:pPr>
        <w:spacing w:before="280" w:after="12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六、维护机制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i w:val="0"/>
          <w:sz w:val="21"/>
        </w:rPr>
        <w:t xml:space="preserve">1. </w:t>
      </w:r>
      <w:r>
        <w:rPr>
          <w:rFonts w:ascii="微软雅黑" w:hAnsi="微软雅黑" w:eastAsia="微软雅黑"/>
          <w:b/>
          <w:i w:val="0"/>
          <w:sz w:val="21"/>
        </w:rPr>
        <w:t>每周</w:t>
      </w:r>
      <w:r>
        <w:rPr>
          <w:rFonts w:ascii="微软雅黑" w:hAnsi="微软雅黑" w:eastAsia="微软雅黑"/>
          <w:b w:val="0"/>
          <w:i w:val="0"/>
          <w:sz w:val="21"/>
        </w:rPr>
        <w:t>：审核与投诉处置过程中记录的「疑似新擦边词」汇总 → 法务审核负责人复核 → 确认入库。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i w:val="0"/>
          <w:sz w:val="21"/>
        </w:rPr>
        <w:t xml:space="preserve">2. </w:t>
      </w:r>
      <w:r>
        <w:rPr>
          <w:rFonts w:ascii="微软雅黑" w:hAnsi="微软雅黑" w:eastAsia="微软雅黑"/>
          <w:b/>
          <w:i w:val="0"/>
          <w:sz w:val="21"/>
        </w:rPr>
        <w:t>每月</w:t>
      </w:r>
      <w:r>
        <w:rPr>
          <w:rFonts w:ascii="微软雅黑" w:hAnsi="微软雅黑" w:eastAsia="微软雅黑"/>
          <w:b w:val="0"/>
          <w:i w:val="0"/>
          <w:sz w:val="21"/>
        </w:rPr>
        <w:t>：词库例会审议新增/停用；平台子库复查。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i w:val="0"/>
          <w:sz w:val="21"/>
        </w:rPr>
        <w:t xml:space="preserve">3. </w:t>
      </w:r>
      <w:r>
        <w:rPr>
          <w:rFonts w:ascii="微软雅黑" w:hAnsi="微软雅黑" w:eastAsia="微软雅黑"/>
          <w:b/>
          <w:i w:val="0"/>
          <w:sz w:val="21"/>
        </w:rPr>
        <w:t>即时</w:t>
      </w:r>
      <w:r>
        <w:rPr>
          <w:rFonts w:ascii="微软雅黑" w:hAnsi="微软雅黑" w:eastAsia="微软雅黑"/>
          <w:b w:val="0"/>
          <w:i w:val="0"/>
          <w:sz w:val="21"/>
        </w:rPr>
        <w:t>：新法规生效、新处罚案例、平台重大规则更新时，48 小时内评估入库。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i w:val="0"/>
          <w:sz w:val="21"/>
        </w:rPr>
        <w:t xml:space="preserve">4. </w:t>
      </w:r>
      <w:r>
        <w:rPr>
          <w:rFonts w:ascii="微软雅黑" w:hAnsi="微软雅黑" w:eastAsia="微软雅黑"/>
          <w:b w:val="0"/>
          <w:i w:val="0"/>
          <w:sz w:val="21"/>
        </w:rPr>
        <w:t>每次更新递增版本号（当前示例版本 V1.1-2026.07），变更记录同步至审核员群。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