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rFonts w:ascii="微软雅黑" w:hAnsi="微软雅黑" w:eastAsia="微软雅黑"/>
          <w:b/>
          <w:i w:val="0"/>
          <w:color w:val="1F4E79"/>
          <w:sz w:val="36"/>
        </w:rPr>
        <w:t>守正胶香知识库 · 总索引（README）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595959"/>
          <w:sz w:val="20"/>
        </w:rPr>
        <w:t>知识库定位：东阿阿胶内容合规审核的统一知识底座，供「胶香守正」合规 Agent 与法务部内容合规审核组使用。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595959"/>
          <w:sz w:val="20"/>
        </w:rPr>
        <w:t>最近更新：2026-07-31（全面体检后集中修订：新增 14 份文件、修订 4 份、词库升级 V2.0）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595959"/>
          <w:sz w:val="20"/>
        </w:rPr>
        <w:t>维护人：法务部内容合规审核组 ｜ 修改权限：仅法务部；业务侧只读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一、目录结构总览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守正胶香知识库/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├── README-守正胶香知识库总索引（本文件）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├── 东阿阿胶内容合规审核SOP-V5.0.docx          【总纲】审核流程/品类基线/风险分级/SLA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├── 敏感词总表.xlsx                             【规则】763条敏感词（V2.0，10个sheet）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├── 敏感词总表-V1.0-旧版备份.xlsx               【历史】285条旧版，留档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├── 敏感词分类与使用指南.docx                   【规则】词表分类逻辑/字段定义/变体识别/安全表述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├── 东阿阿胶内容宣传合规案例库修改版.docx        【案例】真实处罚案例（判定依据/案号援引）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├── 投诉与监管处置记录-脱敏示例.docx            【案例】投诉处置与规则反哺（培训教材）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├── 产品资质文件清单.docx                       【基准】105个药品批号+4个保健食品批号+说明书功效白名单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├── 直播间安全话术卡.docx                       【工具】直播高频危险提问合规应答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├── 授权字体清单（模板）.docx                   【工具】字体授权登记与交付核查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├── 法规文件/                                   【依据层】23份法规与监管文件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│   ├── （全文法规12部 + 监管文件5份 + 本次新增节录6份）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│   └── 法规条款版本映射表.docx                 【本次新增】版本台账，防引用过期版本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├── 平台规则（14份，根目录平铺）                 【渠道层】京东/小红书/抖音/微信系/淘宝直播/阿里妈妈/快手/拼多多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├── pending/                                    【流程】待复核新规则（自动化写入）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│   ├── pending写入规范.docx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│   └── archived/（复核后归档）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└── cases/attachments/                          【案例】处罚文书PDF快照（防链接失效）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二、文件清单与说明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1. 总纲与内部规则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文件</w:t>
            </w:r>
          </w:p>
        </w:tc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一句话说明</w:t>
            </w:r>
          </w:p>
        </w:tc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东阿阿胶内容合规审核SOP-V5.0.docx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审核管理总规程：会审制、四品类基线、双维度风险分级、SLA、红黄牌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本次修订（V5.0.1 编辑性修订）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敏感词总表.xlsx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763 条机检规则：Sheet1-4 品类视图 + Sheet5 主表 + Sheet6 平台视图 + Sheet7 图片视觉审核 + Sheet8 变体识别 + Sheet9 安全表述与白名单 + Sheet10 说明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本次升级 V2.0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敏感词分类与使用指南.docx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词表的分类体系（五大类十四小类）、字段与审核动作定义、Sheet 拆分逻辑、变体识别规则、24 条安全表述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本次新增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（自品牌合规表达库同步并修订）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产品资质文件清单.docx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全产品批号台账 + 阿胶/复方阿胶浆说明书功能主治原文（P1/P2 功效判定唯一基准）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本次新增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（自品牌合规表达库同步）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2. 案例库（两套，分工明确）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文件</w:t>
            </w:r>
          </w:p>
        </w:tc>
        <w:tc>
          <w:tcPr>
            <w:tcW w:type="dxa" w:w="2353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定位</w:t>
            </w:r>
          </w:p>
        </w:tc>
        <w:tc>
          <w:tcPr>
            <w:tcW w:type="dxa" w:w="2353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编号体系</w:t>
            </w:r>
          </w:p>
        </w:tc>
        <w:tc>
          <w:tcPr>
            <w:tcW w:type="dxa" w:w="2353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东阿阿胶内容宣传合规案例库修改版.docx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真实处罚案例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——判定依据/案号援引（引用须带案号+出处链接）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DEEJ-A/B/C/D/E-xx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本次修订（配套文件声明更正）</w:t>
            </w:r>
          </w:p>
        </w:tc>
      </w:tr>
      <w:tr>
        <w:tc>
          <w:tcPr>
            <w:tcW w:type="dxa" w:w="2353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投诉与监管处置记录-脱敏示例.docx</w:t>
            </w:r>
          </w:p>
        </w:tc>
        <w:tc>
          <w:tcPr>
            <w:tcW w:type="dxa" w:w="2353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虚构脱敏示例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——培训教材/Agent 错题本，不作判定依据</w:t>
            </w:r>
          </w:p>
        </w:tc>
        <w:tc>
          <w:tcPr>
            <w:tcW w:type="dxa" w:w="2353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C-xx</w:t>
            </w:r>
          </w:p>
        </w:tc>
        <w:tc>
          <w:tcPr>
            <w:tcW w:type="dxa" w:w="2353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本次新增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（自品牌合规表达库同步）</w:t>
            </w:r>
          </w:p>
        </w:tc>
      </w:tr>
    </w:tbl>
    <w:p/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595959"/>
          <w:sz w:val="20"/>
        </w:rPr>
        <w:t>另有《违规案例库-脱敏示例.md》（V-01~V-16 虚构示例）存于工作区品牌合规表达库，同属培训教材。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3. 法规文件（法规文件/ 目录）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类别</w:t>
            </w:r>
          </w:p>
        </w:tc>
        <w:tc>
          <w:tcPr>
            <w:tcW w:type="dxa" w:w="4706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文件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法律全文（12部）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广告法（2021修正）、药品管理法（2019修订）、食品安全法（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2025修正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）、反不正当竞争法（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2025修订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）、消费者权益保护法（2013修正）、电子商务法、中医药法、食品安全法实施条例</w:t>
            </w:r>
          </w:p>
        </w:tc>
      </w:tr>
      <w:tr>
        <w:tc>
          <w:tcPr>
            <w:tcW w:type="dxa" w:w="4706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监管文件（5份）</w:t>
            </w:r>
          </w:p>
        </w:tc>
        <w:tc>
          <w:tcPr>
            <w:tcW w:type="dxa" w:w="4706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互联网广告管理办法、三品一械广告审查暂行办法（令第21号）、药品网络销售监督管理办法、医疗广告管理办法、广告绝对化用语执法指南、保健食品标注警示用语指南、保健功能目录2023年版（2份PDF）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本次新增节录（6份）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药品流通监督管理办法（买赠禁令第20条）、商标法（驰名商标/侵权条款）、刑法（虚假广告罪第222条）、价格法与明码标价规定（价格欺诈条款）、著作权法（字体/图片/音乐侵权条款）、保健食品注册与备案管理办法（批号格式/白名单）</w:t>
            </w:r>
          </w:p>
        </w:tc>
      </w:tr>
      <w:tr>
        <w:tc>
          <w:tcPr>
            <w:tcW w:type="dxa" w:w="4706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本次新增台账</w:t>
            </w:r>
          </w:p>
        </w:tc>
        <w:tc>
          <w:tcPr>
            <w:tcW w:type="dxa" w:w="4706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法规条款版本映射表（版本变更防错引，含已废止法规警示）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4. 平台规则（渠道层）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平台</w:t>
            </w:r>
          </w:p>
        </w:tc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文件</w:t>
            </w:r>
          </w:p>
        </w:tc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京东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京东营销合规词库.docx、京东营销合规平台规则库.docx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已有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小红书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小红书营销规则_药品与保健品完整版.docx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已有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抖音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抖音平台营销规则汇编.docx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已有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微信系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微信小店虚假宣传-使用广告禁用词实施细则、微信视频号运营规范、视频号禁止发布的营销信息列表、视频号直播行为规范、视频号直播功能使用协议、视频号直播加热要求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已有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淘宝/天猫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淘宝直播管理规则_整理.docx、直播推广管理规则.docx、阿里妈妈违规行为管理规范.docx、阿里妈妈货品全站推广场景素材合规治理公告.docx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已有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快手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快手平台营销合规规则（官方整理）.docx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本次新增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拼多多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拼多多平台营销合规规则（官方整理）.docx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本次新增</w:t>
            </w:r>
          </w:p>
        </w:tc>
      </w:tr>
    </w:tbl>
    <w:p/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595959"/>
          <w:sz w:val="20"/>
        </w:rPr>
        <w:t>快手/拼多多两份为官方规则中心公开页面整理版（含来源链接与访问日期），平台规则更新频繁，引用前应按文中链接复核最新版本。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5. 工具与流程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文件</w:t>
            </w:r>
          </w:p>
        </w:tc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用途</w:t>
            </w:r>
          </w:p>
        </w:tc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直播间安全话术卡.docx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直播高频危险提问合规应答（开场强制结构+对照表+兜底话术）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本次新增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授权字体清单（模板）.docx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字体授权登记与交付核查（待设计部门填充后生效）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本次新增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（模板）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pending/pending写入规范.docx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待复核新规则的写入/复核/归档流程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本次新增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三、使用指引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sz w:val="21"/>
        </w:rPr>
        <w:t>审核一份文案的最短路径</w:t>
      </w:r>
      <w:r>
        <w:rPr>
          <w:rFonts w:ascii="微软雅黑" w:hAnsi="微软雅黑" w:eastAsia="微软雅黑"/>
          <w:b w:val="0"/>
          <w:i w:val="0"/>
          <w:sz w:val="21"/>
        </w:rPr>
        <w:t>：先定产品类别（SOP 第三条）→ 敏感词总表按品类视图精确比对 → 未命中走变体识别（Sheet8）与语义审核 → 结论引用法规条款或词条编号。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判定依据优先级</w:t>
      </w:r>
      <w:r>
        <w:rPr>
          <w:rFonts w:ascii="微软雅黑" w:hAnsi="微软雅黑" w:eastAsia="微软雅黑"/>
          <w:b w:val="0"/>
          <w:i w:val="0"/>
          <w:sz w:val="21"/>
        </w:rPr>
        <w:t>：法规原文 &gt; SOP &gt; 敏感词总表 &gt; 平台规则；命中多条时就高处置。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sz w:val="21"/>
        </w:rPr>
        <w:t>案例引用纪律</w:t>
      </w:r>
      <w:r>
        <w:rPr>
          <w:rFonts w:ascii="微软雅黑" w:hAnsi="微软雅黑" w:eastAsia="微软雅黑"/>
          <w:b w:val="0"/>
          <w:i w:val="0"/>
          <w:sz w:val="21"/>
        </w:rPr>
        <w:t>：真实案例库引用必须带案号+出处链接；本库无同类判例时不得编造案例，应提交法务复核。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4. </w:t>
      </w:r>
      <w:r>
        <w:rPr>
          <w:rFonts w:ascii="微软雅黑" w:hAnsi="微软雅黑" w:eastAsia="微软雅黑"/>
          <w:b/>
          <w:i w:val="0"/>
          <w:sz w:val="21"/>
        </w:rPr>
        <w:t>词库更新</w:t>
      </w:r>
      <w:r>
        <w:rPr>
          <w:rFonts w:ascii="微软雅黑" w:hAnsi="微软雅黑" w:eastAsia="微软雅黑"/>
          <w:b w:val="0"/>
          <w:i w:val="0"/>
          <w:sz w:val="21"/>
        </w:rPr>
        <w:t>：每周疑似新擦边词 → pending/ → 法务复核入库；每月平台子库复查（SOP 第二十六条）。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5. </w:t>
      </w:r>
      <w:r>
        <w:rPr>
          <w:rFonts w:ascii="微软雅黑" w:hAnsi="微软雅黑" w:eastAsia="微软雅黑"/>
          <w:b/>
          <w:i w:val="0"/>
          <w:sz w:val="21"/>
        </w:rPr>
        <w:t>法规引用前</w:t>
      </w:r>
      <w:r>
        <w:rPr>
          <w:rFonts w:ascii="微软雅黑" w:hAnsi="微软雅黑" w:eastAsia="微软雅黑"/>
          <w:b w:val="0"/>
          <w:i w:val="0"/>
          <w:sz w:val="21"/>
        </w:rPr>
        <w:t>：先查《法规条款版本映射表》确认版本与条款号。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*本索引随知识库每次变更同步更新。*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