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0.6 (Arbeitsgrundlage)</w:t>
      </w:r>
    </w:p>
    <w:p w14:paraId="5A892297" w14:textId="77777777" w:rsidR="00E17A90" w:rsidRPr="00793205" w:rsidRDefault="00000000">
      <w:pPr>
        <w:spacing w:after="80"/>
        <w:jc w:val="center"/>
        <w:rPr>
          <w:lang w:val="de-DE"/>
        </w:rPr>
      </w:pPr>
      <w:r>
        <w:t>Stand: 07.09.2026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0.6 (Arbeitsgrundlage)</w:t>
      </w:r>
    </w:p>
    <w:p w14:paraId="6D9F5A44" w14:textId="77777777" w:rsidR="00E17A90" w:rsidRPr="00793205" w:rsidRDefault="00000000">
      <w:pPr>
        <w:rPr>
          <w:lang w:val="de-DE"/>
        </w:rPr>
      </w:pPr>
      <w:r>
        <w:t>Stand: 07.09.2026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Pr>
          <w:b/>
        </w:rPr>
        <w:t>Modularität:</w:t>
      </w:r>
      <w:r>
        <w:t xml:space="preserve">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Pr>
          <w:b/>
        </w:rPr>
        <w:t>Nachvollziehbarkeit:</w:t>
      </w:r>
      <w:r>
        <w:t xml:space="preserve">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Pr>
          <w:b/>
        </w:rPr>
        <w:t>Lokaler Start:</w:t>
      </w:r>
      <w:r>
        <w:t xml:space="preserve">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Pr>
          <w:b/>
        </w:rPr>
        <w:t>Manuelle Kontrolle:</w:t>
      </w:r>
      <w:r>
        <w:t xml:space="preserve">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Pr>
          <w:b/>
        </w:rPr>
        <w:t>Datensparsamkeit:</w:t>
      </w:r>
      <w:r>
        <w:t xml:space="preserve">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Pr>
          <w:b/>
        </w:rPr>
        <w:t>Verlässliche KI:</w:t>
      </w:r>
      <w:r>
        <w:t xml:space="preserve">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14:paraId="69FFB2B4" w14:textId="77777777" w:rsidR="00E17A90" w:rsidRPr="00477EC1" w:rsidRDefault="00000000">
      <w:pPr>
        <w:pStyle w:val="Heading2"/>
        <w:rPr>
          <w:lang w:val="de-DE"/>
        </w:rPr>
      </w:pPr>
      <w:r w:rsidRPr="00477EC1">
        <w:rPr>
          <w:rFonts w:ascii="Calibri" w:hAnsi="Calibri"/>
          <w:lang w:val="de-DE"/>
        </w:rPr>
        <w:lastRenderedPageBreak/>
        <w:t>5.9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rsidRPr="00477EC1">
        <w:rPr>
          <w:rFonts w:ascii="Calibri" w:hAnsi="Calibri"/>
          <w:lang w:val="de-DE"/>
        </w:rPr>
        <w:t>5.10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rPr>
          <w:rFonts w:ascii="Calibri" w:hAnsi="Calibri"/>
        </w:rPr>
        <w:lastRenderedPageBreak/>
        <w:t xml:space="preserve">5.11 </w:t>
      </w:r>
      <w:proofErr w:type="spellStart"/>
      <w:r>
        <w:rPr>
          <w:rFonts w:ascii="Calibri" w:hAnsi="Calibri"/>
        </w:rPr>
        <w:t>Einstellungen</w:t>
      </w:r>
      <w:proofErr w:type="spellEnd"/>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rPr>
          <w:b/>
        </w:rPr>
        <w:t>GitHub:</w:t>
      </w:r>
      <w:r>
        <w:t xml:space="preserve"> Repositories, Issues, Pull Requests, Commits und CI-Status.</w:t>
      </w:r>
    </w:p>
    <w:p w14:paraId="6EEBBFAF" w14:textId="77777777" w:rsidR="00E17A90" w:rsidRPr="00477EC1" w:rsidRDefault="00000000">
      <w:pPr>
        <w:numPr>
          <w:ilvl w:val="0"/>
          <w:numId w:val="29"/>
        </w:numPr>
        <w:spacing w:after="80"/>
        <w:ind w:hanging="271"/>
        <w:rPr>
          <w:lang w:val="de-DE"/>
        </w:rPr>
      </w:pPr>
      <w:r>
        <w:rPr>
          <w:b/>
        </w:rPr>
        <w:t>Kalender:</w:t>
      </w:r>
      <w:r>
        <w:t xml:space="preserve">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Pr>
          <w:b/>
        </w:rPr>
        <w:t>Dokumentablage:</w:t>
      </w:r>
      <w:r>
        <w:t xml:space="preserve"> Lokale Dateien und Uploads für Studium und Wissen.</w:t>
      </w:r>
    </w:p>
    <w:p w14:paraId="6C616E0A" w14:textId="77777777" w:rsidR="00E17A90" w:rsidRPr="00477EC1" w:rsidRDefault="00000000">
      <w:pPr>
        <w:numPr>
          <w:ilvl w:val="0"/>
          <w:numId w:val="29"/>
        </w:numPr>
        <w:spacing w:after="80"/>
        <w:ind w:hanging="271"/>
        <w:rPr>
          <w:lang w:val="de-DE"/>
        </w:rPr>
      </w:pPr>
      <w:r>
        <w:rPr>
          <w:b/>
        </w:rPr>
        <w:t>KI-Anbieter:</w:t>
      </w:r>
      <w:r>
        <w:t xml:space="preserve"> Verarbeitung nur nach aktivierter Datenfreigabe.</w:t>
      </w:r>
    </w:p>
    <w:p w14:paraId="70C7795B" w14:textId="77777777" w:rsidR="00E17A90" w:rsidRPr="00477EC1" w:rsidRDefault="00000000">
      <w:pPr>
        <w:numPr>
          <w:ilvl w:val="0"/>
          <w:numId w:val="29"/>
        </w:numPr>
        <w:spacing w:after="80"/>
        <w:ind w:hanging="271"/>
        <w:rPr>
          <w:lang w:val="de-DE"/>
        </w:rPr>
      </w:pPr>
      <w:r>
        <w:rPr>
          <w:b/>
        </w:rPr>
        <w:t>Finanzen:</w:t>
      </w:r>
      <w:r>
        <w:t xml:space="preserve">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Pr>
          <w:b/>
        </w:rPr>
        <w:t>Fitnessdaten:</w:t>
      </w:r>
      <w:r>
        <w:t xml:space="preserve">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rsidRPr="00477EC1">
        <w:rPr>
          <w:lang w:val="de-DE"/>
        </w:rPr>
        <w:t>Sprachsteuerung und mobile native Apps.</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 Eine Einzelinstanzsperre schützt den SQLite-Schreiber. Der Sidecar erhält nur freigegebene Umgebungswerte und bestätigt jeden Start mit einem neuen zufälligen Readiness-Nachweis.</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zuletzt mit jeweils 88 API-Tests auf SQLite und PostgreSQL sowie ergänzenden Datenbank-, Web-, Browser-, Sidecar-, Rust- und Repository-Prüfungen bestätigt. Jedes neu gebaute DMG erhält eine eigene portable SHA-256-Datei; eine ältere feste Artefaktprüfsumme ist kein aktueller Freigabenachweis.</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t>Welche weitere Kalenderquelle soll nach ICS und dem kontrollierten CalDAV-Import unterstützt werden?</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07.09.2026: Der lokal erfolgreiche M6-Nachweis und der vollständige Sicherheits-, Integritäts- und Stabilitätsreview wurden ergänzt. Dazu gehören stärkere Passwortableitung, Sitzungs- und Login-Härtung, externe Netzwerk- und Backup-Grenzen, Dokumentintegrität, Browser-CSP, Sidecar-Isolation und Einzelinstanzschutz. Die öffentliche Produktfreigabe und ihre externen Apple- und Geräte-Gates bleiben ausdrücklich aufgeschoben.</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footerReference w:type="first" r:id="rId12"/>
      <w:footerReference w:type="even"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0.6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