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63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设备或者系统之间的，进行数据交换时共同遵守的一套规则、标准。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在通信中，物理设备本身是不懂交流的，只能分辨简单的0和1，所以对于通信来说，具有天然的不可靠性，如果没有一套严格的约定，会出现问题</w:t>
      </w:r>
    </w:p>
    <w:p w14:paraId="38DADEF6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设备硬件语言不通，高低电平需要提前规定，多少位算一个字节？有没有统一的编码，电平， 解压标准？所以，通信前规定好协议，能有效确保一方发出的信号，能被另一方正确解读。</w:t>
      </w:r>
    </w:p>
    <w:p w14:paraId="20BF197E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出现层面不同（鸡同鸭讲），原始信号流开始只是一段无序的bit流，接收方不知道哪段是地址，哪段是数据，所以无法保证接收到的数据是否出错。通过定义好协议，可以定义帧格式可提前规定一个数据包中的各部分内容作用，从而让接收方分辨出哪一段是有效数据并可检测到数据是否出错。</w:t>
      </w:r>
    </w:p>
    <w:p w14:paraId="1105B4D6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道干扰，在共享信道或者远距离传输中，同时“说话”会互相干扰，发太快了对方处理不过来会丢包。所以协议里规定了介质访问控制，流量控制和丢包控制，来协调发送节奏，同时明确传输双方，减少不必要的干扰。</w:t>
      </w:r>
    </w:p>
    <w:p w14:paraId="41DEC1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总的来说，通信协议其实就是一个规则，是对物理层“不可靠”“抽象性”的封装，把容易出错的原始信号，封装成了开发者能直接识别、调用的可靠数据传输服务。</w:t>
      </w:r>
    </w:p>
    <w:p w14:paraId="0DE0032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821F2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通信协议中规定了哪些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</w:p>
    <w:p w14:paraId="55FDF49B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“说话”的语法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规定数据的个数，编码，信号电平</w:t>
      </w:r>
    </w:p>
    <w:p w14:paraId="15F9FA16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“说话”的语义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规定控制信息、错误处理和结束条件</w:t>
      </w:r>
    </w:p>
    <w:p w14:paraId="7BA7780D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帧格式，规定速度匹配、顺序先后、格式分层。</w:t>
      </w:r>
    </w:p>
    <w:p w14:paraId="4EDFD0E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典型的规定有哪些</w:t>
      </w:r>
    </w:p>
    <w:p w14:paraId="30CE2865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如蓝牙，WIFI，USB（与实际物理意义相关的器件）</w:t>
      </w:r>
    </w:p>
    <w:p w14:paraId="3A280CF1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如IP协议（无线通信中常用），用于寻址和路由（确定数据从源设备到目标设备的传输路径的过程）</w:t>
      </w:r>
    </w:p>
    <w:p w14:paraId="75A0ED3E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传输层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如TCP协议（提供可靠传输），UDP（提供高效传输）</w:t>
      </w:r>
    </w:p>
    <w:p w14:paraId="1CCC6C9C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应用层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如HTTP（网页用）、MQTT（物联网用）</w:t>
      </w:r>
    </w:p>
    <w:p w14:paraId="76E26F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3B583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62302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0902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472D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FPGA中通信分类：</w:t>
      </w:r>
      <w:r>
        <w:rPr>
          <w:rFonts w:hint="eastAsia"/>
          <w:lang w:val="en-US" w:eastAsia="zh-CN"/>
        </w:rPr>
        <w:tab/>
      </w:r>
    </w:p>
    <w:p w14:paraId="2137738D">
      <w:pPr>
        <w:numPr>
          <w:ilvl w:val="0"/>
          <w:numId w:val="0"/>
        </w:numPr>
      </w:pPr>
      <w:r>
        <w:drawing>
          <wp:inline distT="0" distB="0" distL="114300" distR="114300">
            <wp:extent cx="5010785" cy="224536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C94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9E485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同步通信与异步通信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</w:p>
    <w:p w14:paraId="54CD765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同步通信：带时钟同步信号的数据传输，发送方和接收方在同一时钟的控制下，同步传输数据</w:t>
      </w:r>
    </w:p>
    <w:p w14:paraId="628F3A3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异步通信：不带时钟同步信号的数据传输，发送方与接收方使用各自的时钟控制数据的发送和接收</w:t>
      </w:r>
    </w:p>
    <w:p w14:paraId="13478AC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38100</wp:posOffset>
            </wp:positionV>
            <wp:extent cx="4935855" cy="1301115"/>
            <wp:effectExtent l="0" t="0" r="1905" b="952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串行通信的传输方向</w:t>
      </w:r>
    </w:p>
    <w:p w14:paraId="19F62DD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单工：数据只能沿一个方向传输</w:t>
      </w:r>
    </w:p>
    <w:p w14:paraId="1A218CF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半双工：数据传输可以沿两个方向，但需要分时进行</w:t>
      </w:r>
    </w:p>
    <w:p w14:paraId="1B41FD5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全双工：数据可以同时进行双向传输</w:t>
      </w:r>
    </w:p>
    <w:p w14:paraId="672F7A94">
      <w:pPr>
        <w:numPr>
          <w:ilvl w:val="0"/>
          <w:numId w:val="0"/>
        </w:numPr>
      </w:pPr>
      <w:r>
        <w:drawing>
          <wp:inline distT="0" distB="0" distL="114300" distR="114300">
            <wp:extent cx="5262245" cy="1309370"/>
            <wp:effectExtent l="0" t="0" r="1079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3A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串行通信与并行通信：</w:t>
      </w:r>
    </w:p>
    <w:p w14:paraId="60DB307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串行通信：将数据分成一位一位的形式在一条数据线上逐个传输</w:t>
      </w:r>
    </w:p>
    <w:p w14:paraId="6C40FF4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并行通信：将数据的各位用多条数据线同时进行传输</w:t>
      </w:r>
    </w:p>
    <w:p w14:paraId="0CB66087">
      <w:pPr>
        <w:numPr>
          <w:ilvl w:val="0"/>
          <w:numId w:val="0"/>
        </w:numPr>
      </w:pPr>
      <w:r>
        <w:drawing>
          <wp:inline distT="0" distB="0" distL="114300" distR="114300">
            <wp:extent cx="5274310" cy="1652905"/>
            <wp:effectExtent l="0" t="0" r="1397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68604">
      <w:pPr>
        <w:numPr>
          <w:ilvl w:val="0"/>
          <w:numId w:val="0"/>
        </w:numPr>
      </w:pPr>
    </w:p>
    <w:p w14:paraId="554A4049">
      <w:pPr>
        <w:numPr>
          <w:ilvl w:val="0"/>
          <w:numId w:val="0"/>
        </w:numPr>
      </w:pPr>
    </w:p>
    <w:p w14:paraId="0FE4F0C7">
      <w:pPr>
        <w:numPr>
          <w:ilvl w:val="0"/>
          <w:numId w:val="0"/>
        </w:numPr>
      </w:pPr>
    </w:p>
    <w:p w14:paraId="6215D6BF">
      <w:pPr>
        <w:numPr>
          <w:ilvl w:val="0"/>
          <w:numId w:val="0"/>
        </w:numPr>
      </w:pPr>
    </w:p>
    <w:p w14:paraId="45E4207A">
      <w:pPr>
        <w:numPr>
          <w:ilvl w:val="0"/>
          <w:numId w:val="0"/>
        </w:numPr>
      </w:pPr>
    </w:p>
    <w:p w14:paraId="450ACDCA">
      <w:pPr>
        <w:numPr>
          <w:ilvl w:val="0"/>
          <w:numId w:val="0"/>
        </w:numPr>
      </w:pPr>
    </w:p>
    <w:p w14:paraId="0768D666">
      <w:pPr>
        <w:numPr>
          <w:ilvl w:val="0"/>
          <w:numId w:val="0"/>
        </w:numPr>
      </w:pPr>
    </w:p>
    <w:p w14:paraId="1741E230">
      <w:pPr>
        <w:numPr>
          <w:ilvl w:val="0"/>
          <w:numId w:val="0"/>
        </w:numPr>
      </w:pPr>
    </w:p>
    <w:p w14:paraId="339787A4">
      <w:pPr>
        <w:numPr>
          <w:ilvl w:val="0"/>
          <w:numId w:val="0"/>
        </w:numPr>
      </w:pPr>
    </w:p>
    <w:p w14:paraId="1AD513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常见的串行通信接口：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687"/>
        <w:gridCol w:w="1574"/>
        <w:gridCol w:w="2131"/>
      </w:tblGrid>
      <w:tr w14:paraId="66F73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00B0F0"/>
          </w:tcPr>
          <w:p w14:paraId="550D5A84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通信标准</w:t>
            </w:r>
          </w:p>
        </w:tc>
        <w:tc>
          <w:tcPr>
            <w:tcW w:w="2687" w:type="dxa"/>
            <w:shd w:val="clear" w:color="auto" w:fill="00B0F0"/>
          </w:tcPr>
          <w:p w14:paraId="687CEECA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引脚</w:t>
            </w:r>
          </w:p>
        </w:tc>
        <w:tc>
          <w:tcPr>
            <w:tcW w:w="1574" w:type="dxa"/>
            <w:shd w:val="clear" w:color="auto" w:fill="00B0F0"/>
          </w:tcPr>
          <w:p w14:paraId="4D77437D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通信方式</w:t>
            </w:r>
          </w:p>
        </w:tc>
        <w:tc>
          <w:tcPr>
            <w:tcW w:w="2131" w:type="dxa"/>
            <w:shd w:val="clear" w:color="auto" w:fill="00B0F0"/>
          </w:tcPr>
          <w:p w14:paraId="759B7424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通信方向</w:t>
            </w:r>
          </w:p>
        </w:tc>
      </w:tr>
      <w:tr w14:paraId="28B6A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979FC0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UART</w:t>
            </w:r>
          </w:p>
          <w:p w14:paraId="37E3AB7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（通用异步收发器）</w:t>
            </w:r>
          </w:p>
        </w:tc>
        <w:tc>
          <w:tcPr>
            <w:tcW w:w="2687" w:type="dxa"/>
          </w:tcPr>
          <w:p w14:paraId="097FD92C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TX:发送端</w:t>
            </w:r>
          </w:p>
          <w:p w14:paraId="3F50D9C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RX:接收端</w:t>
            </w:r>
          </w:p>
        </w:tc>
        <w:tc>
          <w:tcPr>
            <w:tcW w:w="1574" w:type="dxa"/>
          </w:tcPr>
          <w:p w14:paraId="585A06C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异步通信</w:t>
            </w:r>
          </w:p>
        </w:tc>
        <w:tc>
          <w:tcPr>
            <w:tcW w:w="2131" w:type="dxa"/>
          </w:tcPr>
          <w:p w14:paraId="0082969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全双工</w:t>
            </w:r>
          </w:p>
        </w:tc>
      </w:tr>
      <w:tr w14:paraId="46483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F1768D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IIC</w:t>
            </w:r>
          </w:p>
          <w:p w14:paraId="671CE17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（集成电路总线）</w:t>
            </w:r>
          </w:p>
        </w:tc>
        <w:tc>
          <w:tcPr>
            <w:tcW w:w="2687" w:type="dxa"/>
          </w:tcPr>
          <w:p w14:paraId="642AD3D9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SCL:同步时钟线</w:t>
            </w:r>
          </w:p>
          <w:p w14:paraId="57623F6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SDA：数据输出/输入</w:t>
            </w:r>
          </w:p>
        </w:tc>
        <w:tc>
          <w:tcPr>
            <w:tcW w:w="1574" w:type="dxa"/>
          </w:tcPr>
          <w:p w14:paraId="7DD43A3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同步通信</w:t>
            </w:r>
          </w:p>
        </w:tc>
        <w:tc>
          <w:tcPr>
            <w:tcW w:w="2131" w:type="dxa"/>
          </w:tcPr>
          <w:p w14:paraId="372E8D6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半双工</w:t>
            </w:r>
          </w:p>
        </w:tc>
      </w:tr>
      <w:tr w14:paraId="5CF99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D4357BE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SPI</w:t>
            </w:r>
          </w:p>
          <w:p w14:paraId="6D6CF11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（串行外设接口）</w:t>
            </w:r>
          </w:p>
        </w:tc>
        <w:tc>
          <w:tcPr>
            <w:tcW w:w="2687" w:type="dxa"/>
          </w:tcPr>
          <w:p w14:paraId="63A33D14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SCLK:同步时钟</w:t>
            </w:r>
          </w:p>
          <w:p w14:paraId="570C613F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MISO:主机输入/从机输出</w:t>
            </w:r>
          </w:p>
          <w:p w14:paraId="4986E2BB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MOSI:主机输出/从机输入</w:t>
            </w:r>
          </w:p>
          <w:p w14:paraId="01F4457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CS_N:片选</w:t>
            </w:r>
          </w:p>
        </w:tc>
        <w:tc>
          <w:tcPr>
            <w:tcW w:w="1574" w:type="dxa"/>
          </w:tcPr>
          <w:p w14:paraId="4E20D2B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同步通信</w:t>
            </w:r>
          </w:p>
        </w:tc>
        <w:tc>
          <w:tcPr>
            <w:tcW w:w="2131" w:type="dxa"/>
          </w:tcPr>
          <w:p w14:paraId="6AE7995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全双工</w:t>
            </w:r>
          </w:p>
        </w:tc>
      </w:tr>
      <w:tr w14:paraId="3655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0F4E19C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1-wire</w:t>
            </w:r>
          </w:p>
          <w:p w14:paraId="76098C5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（单总线）</w:t>
            </w:r>
          </w:p>
        </w:tc>
        <w:tc>
          <w:tcPr>
            <w:tcW w:w="2687" w:type="dxa"/>
          </w:tcPr>
          <w:p w14:paraId="4B1ED05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DQ：发送端/接收端</w:t>
            </w:r>
          </w:p>
        </w:tc>
        <w:tc>
          <w:tcPr>
            <w:tcW w:w="1574" w:type="dxa"/>
          </w:tcPr>
          <w:p w14:paraId="0FA10EF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异步通信</w:t>
            </w:r>
          </w:p>
        </w:tc>
        <w:tc>
          <w:tcPr>
            <w:tcW w:w="2131" w:type="dxa"/>
          </w:tcPr>
          <w:p w14:paraId="085FF34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半双工</w:t>
            </w:r>
          </w:p>
        </w:tc>
      </w:tr>
    </w:tbl>
    <w:p w14:paraId="7F95CCA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65CE79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串口UART通信原理：</w:t>
      </w:r>
    </w:p>
    <w:p w14:paraId="64B66A5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UART（</w:t>
      </w:r>
      <w:r>
        <w:rPr>
          <w:rFonts w:ascii="Arial" w:hAnsi="Arial" w:eastAsia="宋体" w:cs="Arial"/>
          <w:i w:val="0"/>
          <w:iCs w:val="0"/>
          <w:caps w:val="0"/>
          <w:color w:val="3E4257"/>
          <w:spacing w:val="1"/>
          <w:sz w:val="16"/>
          <w:szCs w:val="16"/>
          <w:shd w:val="clear" w:fill="FFFFFF"/>
        </w:rPr>
        <w:t>Universal Asynchronous Receiver</w:t>
      </w:r>
      <w:r>
        <w:rPr>
          <w:rFonts w:hint="eastAsia" w:ascii="Arial" w:hAnsi="Arial" w:eastAsia="宋体" w:cs="Arial"/>
          <w:i w:val="0"/>
          <w:iCs w:val="0"/>
          <w:caps w:val="0"/>
          <w:color w:val="3E4257"/>
          <w:spacing w:val="1"/>
          <w:sz w:val="16"/>
          <w:szCs w:val="16"/>
          <w:shd w:val="clear" w:fill="FFFFFF"/>
          <w:lang w:val="en-US" w:eastAsia="zh-CN"/>
        </w:rPr>
        <w:t>-</w:t>
      </w:r>
      <w:r>
        <w:rPr>
          <w:rFonts w:ascii="Arial" w:hAnsi="Arial" w:eastAsia="宋体" w:cs="Arial"/>
          <w:i w:val="0"/>
          <w:iCs w:val="0"/>
          <w:caps w:val="0"/>
          <w:color w:val="3E4257"/>
          <w:spacing w:val="1"/>
          <w:sz w:val="16"/>
          <w:szCs w:val="16"/>
          <w:shd w:val="clear" w:fill="FFFFFF"/>
        </w:rPr>
        <w:t>Transmitter</w:t>
      </w:r>
      <w:r>
        <w:rPr>
          <w:rFonts w:hint="eastAsia"/>
          <w:lang w:val="en-US" w:eastAsia="zh-CN"/>
        </w:rPr>
        <w:t>）是一种采用异步串行通信方式的通用异步收发器；在发送数据时将并行数据转换为串行数据来传输，在接收数据时将接收到的串行数据转换为并行数据。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7620</wp:posOffset>
            </wp:positionV>
            <wp:extent cx="4747260" cy="1056005"/>
            <wp:effectExtent l="0" t="0" r="7620" b="1079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2BD2E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UART串口通信需要两根信号线来实现，一根用于发送一根用于接收。</w:t>
      </w:r>
    </w:p>
    <w:p w14:paraId="1E708BF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物理层：接口类型、电平标准。</w:t>
      </w:r>
    </w:p>
    <w:p w14:paraId="410B2CD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串口按电平标准：</w:t>
      </w:r>
    </w:p>
    <w:p w14:paraId="1CF1DD68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/>
          <w:lang w:val="en-US" w:eastAsia="zh-CN"/>
        </w:rPr>
        <w:t>TTL电平的串口（3V）</w:t>
      </w:r>
    </w:p>
    <w:p w14:paraId="303A9AAB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/>
          <w:lang w:val="en-US" w:eastAsia="zh-CN"/>
        </w:rPr>
        <w:t>RS232电平的串口</w:t>
      </w:r>
    </w:p>
    <w:p w14:paraId="1A14A96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串口按接口标准：</w:t>
      </w:r>
    </w:p>
    <w:p w14:paraId="7B5EC7D6">
      <w:pPr>
        <w:numPr>
          <w:ilvl w:val="0"/>
          <w:numId w:val="4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RS232：TXD、RXD、GND</w:t>
      </w:r>
    </w:p>
    <w:p w14:paraId="07D13695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RS422：TX+/TX-、RX+/RX-、GND</w:t>
      </w:r>
    </w:p>
    <w:p w14:paraId="7D3116A8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RS485：A+/B-/GND、1200米</w:t>
      </w:r>
      <w:r>
        <w:rPr>
          <w:rFonts w:hint="eastAsia"/>
          <w:lang w:val="en-US" w:eastAsia="zh-CN"/>
        </w:rPr>
        <w:tab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457"/>
        <w:gridCol w:w="1532"/>
        <w:gridCol w:w="2122"/>
        <w:gridCol w:w="1704"/>
      </w:tblGrid>
      <w:tr w14:paraId="02DA0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shd w:val="clear" w:color="auto" w:fill="00B0F0"/>
          </w:tcPr>
          <w:p w14:paraId="0272FD9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接口标准</w:t>
            </w:r>
          </w:p>
        </w:tc>
        <w:tc>
          <w:tcPr>
            <w:tcW w:w="1457" w:type="dxa"/>
            <w:shd w:val="clear" w:color="auto" w:fill="00B0F0"/>
          </w:tcPr>
          <w:p w14:paraId="3BDD6B8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逻辑1</w:t>
            </w:r>
          </w:p>
        </w:tc>
        <w:tc>
          <w:tcPr>
            <w:tcW w:w="1532" w:type="dxa"/>
            <w:shd w:val="clear" w:color="auto" w:fill="00B0F0"/>
          </w:tcPr>
          <w:p w14:paraId="32FE3C0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逻辑0</w:t>
            </w:r>
          </w:p>
        </w:tc>
        <w:tc>
          <w:tcPr>
            <w:tcW w:w="2122" w:type="dxa"/>
            <w:shd w:val="clear" w:color="auto" w:fill="00B0F0"/>
          </w:tcPr>
          <w:p w14:paraId="5C84528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704" w:type="dxa"/>
            <w:shd w:val="clear" w:color="auto" w:fill="00B0F0"/>
          </w:tcPr>
          <w:p w14:paraId="6CC03C7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优缺点</w:t>
            </w:r>
          </w:p>
        </w:tc>
      </w:tr>
      <w:tr w14:paraId="4B64B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E25433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TTL</w:t>
            </w:r>
          </w:p>
        </w:tc>
        <w:tc>
          <w:tcPr>
            <w:tcW w:w="1457" w:type="dxa"/>
          </w:tcPr>
          <w:p w14:paraId="1D1EA67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+5V/+3.3V</w:t>
            </w:r>
          </w:p>
        </w:tc>
        <w:tc>
          <w:tcPr>
            <w:tcW w:w="1532" w:type="dxa"/>
          </w:tcPr>
          <w:p w14:paraId="739E8F9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122" w:type="dxa"/>
          </w:tcPr>
          <w:p w14:paraId="6E5E323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一般数字电路控制芯片引脚都支持TTL</w:t>
            </w:r>
          </w:p>
        </w:tc>
        <w:tc>
          <w:tcPr>
            <w:tcW w:w="1704" w:type="dxa"/>
          </w:tcPr>
          <w:p w14:paraId="21D317F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127E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CA934F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RS232</w:t>
            </w:r>
          </w:p>
        </w:tc>
        <w:tc>
          <w:tcPr>
            <w:tcW w:w="1457" w:type="dxa"/>
          </w:tcPr>
          <w:p w14:paraId="053D181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-15V</w:t>
            </w:r>
          </w:p>
        </w:tc>
        <w:tc>
          <w:tcPr>
            <w:tcW w:w="1532" w:type="dxa"/>
          </w:tcPr>
          <w:p w14:paraId="4B5DB6C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+15V</w:t>
            </w:r>
          </w:p>
        </w:tc>
        <w:tc>
          <w:tcPr>
            <w:tcW w:w="2122" w:type="dxa"/>
          </w:tcPr>
          <w:p w14:paraId="4AFA8019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负逻辑电平；</w:t>
            </w:r>
          </w:p>
          <w:p w14:paraId="52E2DAB2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3线全双工；</w:t>
            </w:r>
          </w:p>
          <w:p w14:paraId="7D00CE7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点对点双向通信</w:t>
            </w:r>
          </w:p>
        </w:tc>
        <w:tc>
          <w:tcPr>
            <w:tcW w:w="1704" w:type="dxa"/>
          </w:tcPr>
          <w:p w14:paraId="7EDF721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传输速度相对较低，传输距离短</w:t>
            </w:r>
          </w:p>
        </w:tc>
      </w:tr>
      <w:tr w14:paraId="7E05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853EB5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RS422</w:t>
            </w:r>
          </w:p>
        </w:tc>
        <w:tc>
          <w:tcPr>
            <w:tcW w:w="1457" w:type="dxa"/>
          </w:tcPr>
          <w:p w14:paraId="76EBEB97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差值电压</w:t>
            </w:r>
          </w:p>
          <w:p w14:paraId="3F61028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+（2~6V）</w:t>
            </w:r>
          </w:p>
        </w:tc>
        <w:tc>
          <w:tcPr>
            <w:tcW w:w="1532" w:type="dxa"/>
          </w:tcPr>
          <w:p w14:paraId="61E56ED8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差值电压</w:t>
            </w:r>
          </w:p>
          <w:p w14:paraId="371D22B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-（2~6）V</w:t>
            </w:r>
          </w:p>
        </w:tc>
        <w:tc>
          <w:tcPr>
            <w:tcW w:w="2122" w:type="dxa"/>
          </w:tcPr>
          <w:p w14:paraId="5F4504BA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差分传输；</w:t>
            </w:r>
          </w:p>
          <w:p w14:paraId="3783E73F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4线全双工；</w:t>
            </w:r>
          </w:p>
          <w:p w14:paraId="0C0DE9D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点对多，主从通信；</w:t>
            </w:r>
          </w:p>
        </w:tc>
        <w:tc>
          <w:tcPr>
            <w:tcW w:w="1704" w:type="dxa"/>
          </w:tcPr>
          <w:p w14:paraId="5499358A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抗干扰能力强，传输速度高。</w:t>
            </w:r>
          </w:p>
          <w:p w14:paraId="567B528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传输距离远</w:t>
            </w:r>
          </w:p>
        </w:tc>
      </w:tr>
      <w:tr w14:paraId="7754E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E59BEE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RS485</w:t>
            </w:r>
          </w:p>
        </w:tc>
        <w:tc>
          <w:tcPr>
            <w:tcW w:w="1457" w:type="dxa"/>
          </w:tcPr>
          <w:p w14:paraId="4381081F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差值电压</w:t>
            </w:r>
          </w:p>
          <w:p w14:paraId="6E91C50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+（2~6V）</w:t>
            </w:r>
          </w:p>
        </w:tc>
        <w:tc>
          <w:tcPr>
            <w:tcW w:w="1532" w:type="dxa"/>
          </w:tcPr>
          <w:p w14:paraId="0B2FD1AC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差值电压</w:t>
            </w:r>
          </w:p>
          <w:p w14:paraId="7186682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-（2~6）V</w:t>
            </w:r>
          </w:p>
        </w:tc>
        <w:tc>
          <w:tcPr>
            <w:tcW w:w="2122" w:type="dxa"/>
          </w:tcPr>
          <w:p w14:paraId="3898E95D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差分传输；</w:t>
            </w:r>
          </w:p>
          <w:p w14:paraId="1CED16C4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2线半双工；</w:t>
            </w:r>
          </w:p>
          <w:p w14:paraId="4E941AD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多点双向通信；</w:t>
            </w:r>
          </w:p>
        </w:tc>
        <w:tc>
          <w:tcPr>
            <w:tcW w:w="1704" w:type="dxa"/>
          </w:tcPr>
          <w:p w14:paraId="669C7C3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能够实现多个发送、接收设备双向通信</w:t>
            </w:r>
          </w:p>
        </w:tc>
      </w:tr>
    </w:tbl>
    <w:p w14:paraId="3790044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DFCD70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协议层：通信协议（包括帧格式、传输速率）等</w:t>
      </w:r>
    </w:p>
    <w:p w14:paraId="1BAC1F2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55CBF3B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帧格式：数据格式，1帧数据由4部分组成：</w:t>
      </w:r>
    </w:p>
    <w:p w14:paraId="71322CC1">
      <w:pPr>
        <w:numPr>
          <w:ilvl w:val="0"/>
          <w:numId w:val="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起始位（1bit）</w:t>
      </w:r>
    </w:p>
    <w:p w14:paraId="2B7906B2"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数据位（5\6\7\8bit）</w:t>
      </w:r>
    </w:p>
    <w:p w14:paraId="402DDAB5"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奇偶检验位（1bit）（可以选择是否校验）</w:t>
      </w:r>
    </w:p>
    <w:p w14:paraId="5A35084E">
      <w:pPr>
        <w:numPr>
          <w:ilvl w:val="0"/>
          <w:numId w:val="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停止位（1bit\1.5bit\2bit）</w:t>
      </w:r>
    </w:p>
    <w:p w14:paraId="588008AE">
      <w:pPr>
        <w:numPr>
          <w:ilvl w:val="0"/>
          <w:numId w:val="0"/>
        </w:numPr>
        <w:ind w:firstLine="420" w:firstLineChars="0"/>
      </w:pPr>
    </w:p>
    <w:p w14:paraId="0BBA532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传输速率：串口通信的传输速率由波特率表示，它表示每秒传输码元数量的个数，单位是baud；常用的波特率由9600，19200，38400，57600及115200等。</w:t>
      </w:r>
    </w:p>
    <w:p w14:paraId="731D932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-14605</wp:posOffset>
            </wp:positionH>
            <wp:positionV relativeFrom="paragraph">
              <wp:posOffset>43815</wp:posOffset>
            </wp:positionV>
            <wp:extent cx="5272405" cy="896620"/>
            <wp:effectExtent l="0" t="0" r="635" b="254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另外一个同样可以用来表示传输速率的参数是比特率，表示每秒传输的二进制数据的位数（bit），单位是bit/s，简称bps。</w:t>
      </w:r>
      <w:bookmarkStart w:id="0" w:name="_GoBack"/>
      <w:bookmarkEnd w:id="0"/>
    </w:p>
    <w:p w14:paraId="3BC7FDB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如何计算发送1bit所需要的时间？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2773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00B0F0"/>
          </w:tcPr>
          <w:p w14:paraId="0A5CC3D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因</w:t>
            </w:r>
          </w:p>
        </w:tc>
        <w:tc>
          <w:tcPr>
            <w:tcW w:w="4261" w:type="dxa"/>
            <w:shd w:val="clear" w:color="auto" w:fill="00B0F0"/>
          </w:tcPr>
          <w:p w14:paraId="360B15C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果</w:t>
            </w:r>
          </w:p>
        </w:tc>
      </w:tr>
      <w:tr w14:paraId="2D6AD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A4E88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系统时钟50M</w:t>
            </w:r>
          </w:p>
        </w:tc>
        <w:tc>
          <w:tcPr>
            <w:tcW w:w="4261" w:type="dxa"/>
          </w:tcPr>
          <w:p w14:paraId="5C4C51C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时钟周期：1/50_000_000，20ns</w:t>
            </w:r>
          </w:p>
        </w:tc>
      </w:tr>
      <w:tr w14:paraId="4FA35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406B09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1个时钟周期可以计数1次</w:t>
            </w:r>
          </w:p>
        </w:tc>
        <w:tc>
          <w:tcPr>
            <w:tcW w:w="4261" w:type="dxa"/>
          </w:tcPr>
          <w:p w14:paraId="66178AA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50M时钟一秒计数50_000_000个</w:t>
            </w:r>
          </w:p>
        </w:tc>
      </w:tr>
      <w:tr w14:paraId="6AB81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33B814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波特率115200</w:t>
            </w:r>
          </w:p>
        </w:tc>
        <w:tc>
          <w:tcPr>
            <w:tcW w:w="4261" w:type="dxa"/>
          </w:tcPr>
          <w:p w14:paraId="2E9F824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1s要传输115200bit</w:t>
            </w:r>
          </w:p>
        </w:tc>
      </w:tr>
      <w:tr w14:paraId="35C1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44438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1秒传输115200个bit</w:t>
            </w:r>
          </w:p>
        </w:tc>
        <w:tc>
          <w:tcPr>
            <w:tcW w:w="4261" w:type="dxa"/>
          </w:tcPr>
          <w:p w14:paraId="41D011E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传输1bit需要的时间为1/115200=8.68us</w:t>
            </w:r>
          </w:p>
        </w:tc>
      </w:tr>
      <w:tr w14:paraId="7021A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F93DF8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50M系统时钟——波特率为115200</w:t>
            </w:r>
          </w:p>
        </w:tc>
        <w:tc>
          <w:tcPr>
            <w:tcW w:w="4261" w:type="dxa"/>
          </w:tcPr>
          <w:p w14:paraId="2360176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传输1bit需要计数434次</w:t>
            </w:r>
          </w:p>
        </w:tc>
      </w:tr>
    </w:tbl>
    <w:p w14:paraId="3C065ED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7873E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串口通信的模块分析</w:t>
      </w:r>
    </w:p>
    <w:p w14:paraId="0F668EB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1、FPGA与上位机通过串口通信，完成数据回环；</w:t>
      </w:r>
    </w:p>
    <w:p w14:paraId="635816D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2、波特率可调，即可以选择115200,38400,9600等。</w:t>
      </w:r>
    </w:p>
    <w:p w14:paraId="44D693F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3、（作业）加入FIFO作为数据缓冲单元，可跨时钟域通信。</w:t>
      </w:r>
    </w:p>
    <w:p w14:paraId="34E80C9B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041265" cy="1493520"/>
            <wp:effectExtent l="0" t="0" r="317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04A6B">
      <w:pPr>
        <w:numPr>
          <w:ilvl w:val="0"/>
          <w:numId w:val="0"/>
        </w:numPr>
        <w:ind w:firstLine="420" w:firstLineChars="0"/>
      </w:pPr>
    </w:p>
    <w:p w14:paraId="11731C02">
      <w:pPr>
        <w:numPr>
          <w:ilvl w:val="0"/>
          <w:numId w:val="0"/>
        </w:numPr>
        <w:ind w:firstLine="420" w:firstLineChars="0"/>
      </w:pPr>
    </w:p>
    <w:p w14:paraId="052D44AC">
      <w:pPr>
        <w:numPr>
          <w:ilvl w:val="0"/>
          <w:numId w:val="0"/>
        </w:numPr>
        <w:ind w:firstLine="420" w:firstLineChars="0"/>
      </w:pPr>
    </w:p>
    <w:p w14:paraId="4BF293C3">
      <w:pPr>
        <w:numPr>
          <w:ilvl w:val="0"/>
          <w:numId w:val="0"/>
        </w:numPr>
        <w:ind w:firstLine="420" w:firstLineChars="0"/>
      </w:pPr>
    </w:p>
    <w:p w14:paraId="6C9B9AD8">
      <w:pPr>
        <w:numPr>
          <w:ilvl w:val="0"/>
          <w:numId w:val="0"/>
        </w:numPr>
        <w:ind w:firstLine="420" w:firstLineChars="0"/>
      </w:pPr>
    </w:p>
    <w:p w14:paraId="143E9554">
      <w:pPr>
        <w:numPr>
          <w:ilvl w:val="0"/>
          <w:numId w:val="0"/>
        </w:numPr>
        <w:ind w:firstLine="420" w:firstLineChars="0"/>
      </w:pPr>
    </w:p>
    <w:p w14:paraId="4B19710C">
      <w:pPr>
        <w:numPr>
          <w:ilvl w:val="0"/>
          <w:numId w:val="0"/>
        </w:numPr>
        <w:ind w:firstLine="420" w:firstLineChars="0"/>
      </w:pPr>
    </w:p>
    <w:p w14:paraId="6F237EB3">
      <w:pPr>
        <w:numPr>
          <w:ilvl w:val="0"/>
          <w:numId w:val="0"/>
        </w:numPr>
        <w:ind w:firstLine="420" w:firstLineChars="0"/>
      </w:pPr>
      <w:r>
        <w:rPr>
          <w:rFonts w:hint="eastAsia"/>
          <w:lang w:val="en-US" w:eastAsia="zh-CN"/>
        </w:rPr>
        <w:t>模块划分：</w:t>
      </w:r>
    </w:p>
    <w:p w14:paraId="11A1172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5096BC5A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72405" cy="2489200"/>
            <wp:effectExtent l="0" t="0" r="635" b="1016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3CC5">
      <w:pPr>
        <w:numPr>
          <w:ilvl w:val="0"/>
          <w:numId w:val="0"/>
        </w:numPr>
        <w:ind w:firstLine="420" w:firstLineChars="0"/>
      </w:pPr>
    </w:p>
    <w:p w14:paraId="26B78BA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3F8A2FB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数据传输过程分析：</w:t>
      </w:r>
    </w:p>
    <w:p w14:paraId="005017D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953260"/>
            <wp:effectExtent l="0" t="0" r="0" b="1270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1637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步骤：1、发送端UART从数据总线并行接收数据</w:t>
      </w:r>
    </w:p>
    <w:p w14:paraId="2AD5DDEA">
      <w:pPr>
        <w:numPr>
          <w:ilvl w:val="0"/>
          <w:numId w:val="0"/>
        </w:numPr>
        <w:ind w:left="420" w:leftChars="0" w:firstLine="630" w:firstLineChars="30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>发送端UART收到数据后，添加起始位、校验位、停止位，创建数据包</w:t>
      </w:r>
    </w:p>
    <w:p w14:paraId="0A233D46">
      <w:pPr>
        <w:numPr>
          <w:ilvl w:val="0"/>
          <w:numId w:val="0"/>
        </w:numPr>
        <w:ind w:left="42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3、发送端UART将数据包串行的输出到信号线上，接收端UART逐位读入</w:t>
      </w:r>
    </w:p>
    <w:p w14:paraId="29F6928A">
      <w:pPr>
        <w:numPr>
          <w:ilvl w:val="0"/>
          <w:numId w:val="0"/>
        </w:numPr>
        <w:ind w:left="42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4、接收端UART接到数据包后，删除起始位，校验位，停止位，还原原始数据。</w:t>
      </w:r>
    </w:p>
    <w:p w14:paraId="1CDFBB72">
      <w:pPr>
        <w:numPr>
          <w:ilvl w:val="0"/>
          <w:numId w:val="0"/>
        </w:numPr>
        <w:ind w:left="42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5、接收端UART将数据并行的传输到数据总线上</w:t>
      </w:r>
    </w:p>
    <w:p w14:paraId="78B7F44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1A431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时序设计分析：</w:t>
      </w:r>
    </w:p>
    <w:p w14:paraId="632F101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接收模块：1、因先发送的为起始位，是低电平0，当我们在接收数据时，就可以通过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 同步打拍的方式得到下降沿来作为收到数据的开始。</w:t>
      </w:r>
    </w:p>
    <w:p w14:paraId="158B3A0D">
      <w:pPr>
        <w:numPr>
          <w:ilvl w:val="0"/>
          <w:numId w:val="0"/>
        </w:numPr>
        <w:ind w:left="147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/>
          <w:lang w:val="en-US" w:eastAsia="zh-CN"/>
        </w:rPr>
        <w:t>得到下降沿说明数据已经来临，使用下降沿来控制计数器（波特率计数器）启动。</w:t>
      </w:r>
    </w:p>
    <w:p w14:paraId="7F0E9414">
      <w:pPr>
        <w:numPr>
          <w:numId w:val="0"/>
        </w:numPr>
        <w:ind w:left="147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3、在恰当的时间对uart_rx_r进行采样，串转并得到一个8bit，接收完成之后，向外部发送一个rx_dout_vld完成信号说明接收完成。</w:t>
      </w:r>
    </w:p>
    <w:p w14:paraId="5F4A4B2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24F4E12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55C086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发送模块：1、数据tx_din是待发送的数据8bit。</w:t>
      </w:r>
    </w:p>
    <w:p w14:paraId="7E34C92C">
      <w:pPr>
        <w:numPr>
          <w:ilvl w:val="0"/>
          <w:numId w:val="0"/>
        </w:numPr>
        <w:ind w:left="147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/>
          <w:lang w:val="en-US" w:eastAsia="zh-CN"/>
        </w:rPr>
        <w:t>数据有效信号tx_vld和数据一起到来，指示数据有效（可以作为计数起始条件）。</w:t>
      </w:r>
    </w:p>
    <w:p w14:paraId="4B408636">
      <w:pPr>
        <w:numPr>
          <w:ilvl w:val="0"/>
          <w:numId w:val="0"/>
        </w:numPr>
        <w:ind w:left="147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3、发送模块需要将起始、停止信号与数据拼接在一起按照数据帧格式发送（LSB），在恰当的时间将数据帧串行发送出去；使用tx_done，作为发送结束的信号，代表可以准备下一个信号的发送。</w:t>
      </w:r>
    </w:p>
    <w:p w14:paraId="66375497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12BC0824">
      <w:pPr>
        <w:numPr>
          <w:numId w:val="0"/>
        </w:numPr>
        <w:ind w:left="840" w:leftChars="0"/>
        <w:rPr>
          <w:rFonts w:hint="eastAsia"/>
          <w:lang w:val="en-US" w:eastAsia="zh-CN"/>
        </w:rPr>
      </w:pPr>
    </w:p>
    <w:p w14:paraId="1C191278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 w14:paraId="06B65E4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22FF08B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73DBDC3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670122"/>
    <w:multiLevelType w:val="singleLevel"/>
    <w:tmpl w:val="A867012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825EDC3"/>
    <w:multiLevelType w:val="singleLevel"/>
    <w:tmpl w:val="F825EDC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52EF241"/>
    <w:multiLevelType w:val="singleLevel"/>
    <w:tmpl w:val="152EF24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0D0152D"/>
    <w:multiLevelType w:val="singleLevel"/>
    <w:tmpl w:val="50D0152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E17688D"/>
    <w:multiLevelType w:val="singleLevel"/>
    <w:tmpl w:val="7E17688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41BC7"/>
    <w:rsid w:val="293E3EF8"/>
    <w:rsid w:val="32D5114E"/>
    <w:rsid w:val="36E41BC7"/>
    <w:rsid w:val="54F7181F"/>
    <w:rsid w:val="7B75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50" w:beforeLines="50" w:after="50" w:afterLines="50" w:line="400" w:lineRule="exact"/>
      <w:jc w:val="center"/>
      <w:outlineLvl w:val="0"/>
    </w:pPr>
    <w:rPr>
      <w:rFonts w:eastAsia="宋体" w:asciiTheme="minorAscii" w:hAnsiTheme="minorAsci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标题 1 字符"/>
    <w:basedOn w:val="6"/>
    <w:link w:val="2"/>
    <w:autoRedefine/>
    <w:qFormat/>
    <w:uiPriority w:val="9"/>
    <w:rPr>
      <w:rFonts w:eastAsia="宋体" w:asciiTheme="minorAscii" w:hAnsiTheme="minorAscii"/>
      <w:b/>
      <w:bCs/>
      <w:kern w:val="44"/>
      <w:sz w:val="28"/>
      <w:szCs w:val="44"/>
    </w:rPr>
  </w:style>
  <w:style w:type="character" w:customStyle="1" w:styleId="8">
    <w:name w:val="标题 2 字符"/>
    <w:basedOn w:val="6"/>
    <w:link w:val="3"/>
    <w:autoRedefine/>
    <w:qFormat/>
    <w:uiPriority w:val="9"/>
    <w:rPr>
      <w:rFonts w:asciiTheme="majorAscii" w:hAnsiTheme="majorAscii" w:eastAsiaTheme="majorEastAsia" w:cstheme="majorBidi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1269</Words>
  <Characters>1437</Characters>
  <Lines>0</Lines>
  <Paragraphs>0</Paragraphs>
  <TotalTime>168</TotalTime>
  <ScaleCrop>false</ScaleCrop>
  <LinksUpToDate>false</LinksUpToDate>
  <CharactersWithSpaces>1466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2026-03-23T01:09:00Z</dcterms:created>
  <dc:creator>九月の鸣</dc:creator>
  <cp:lastModifiedBy>九月の鸣</cp:lastModifiedBy>
  <dcterms:modified xsi:type="dcterms:W3CDTF">2026-03-24T03:50:56Z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4E51D220BD0044538377C6790B842E0B_11</vt:lpwstr>
  </property>
  <property fmtid="{D5CDD505-2E9C-101B-9397-08002B2CF9AE}" pid="4" name="KSOTemplateDocerSaveRecord">
    <vt:lpwstr>eyJoZGlkIjoiOWViMmMxYzU0MGU0Yzk4OGMyY2E1MDMyOWRjMzA0NzUiLCJ1c2VySWQiOiI4NjczNjg5NjAifQ==</vt:lpwstr>
  </property>
</Properties>
</file>