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2E74B5"/>
          <w:sz w:val="18"/>
        </w:rPr>
        <w:t>内部需求分析  ·  MOM / 挤压与锯切联合报表</w:t>
      </w:r>
    </w:p>
    <w:p>
      <w:pPr>
        <w:pStyle w:val="Title"/>
      </w:pPr>
      <w:r>
        <w:t>挤压生产报表需求分析书</w:t>
      </w:r>
    </w:p>
    <w:p>
      <w:pPr>
        <w:spacing w:after="240"/>
      </w:pPr>
      <w:r>
        <w:rPr>
          <w:color w:val="667085"/>
          <w:sz w:val="24"/>
        </w:rPr>
        <w:t>字段口径、数据来源、计算规则与落库要求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300"/>
        <w:gridCol w:w="2600"/>
        <w:gridCol w:w="1300"/>
        <w:gridCol w:w="4160"/>
      </w:tblGrid>
      <w:tr>
        <w:trPr>
          <w:tblHeader w:val="true"/>
          <w:cantSplit/>
        </w:trPr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文档版本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V1.0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编制日期</w:t>
            </w:r>
          </w:p>
        </w:tc>
        <w:tc>
          <w:tcPr>
            <w:tcW w:type="dxa" w:w="4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2026-08-12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适用模块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挤压与锯切联合报表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依据</w:t>
            </w:r>
          </w:p>
        </w:tc>
        <w:tc>
          <w:tcPr>
            <w:tcW w:type="dxa" w:w="4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当前前端代码</w:t>
            </w:r>
          </w:p>
        </w:tc>
      </w:tr>
    </w:tbl>
    <w:p>
      <w:pPr>
        <w:spacing w:before="200" w:after="200"/>
        <w:pBdr>
          <w:bottom w:val="single" w:sz="12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FF4E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结论先行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当前联合报表只展示已完工数据：挤压记录须达到“已完成”，锯切记录须达到“已完成”。锯切数据已由锯切工作台写入浏览器 localStorage；挤压数据仍为报表内置演示数据，工作台中的挤压数量、批次和剔料状态也未形成稳定的跨页面持久化记录。正式上线前必须补齐挤压排程同步、生产事件落库和后端查询接口。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文档目的与范围</w:t>
      </w:r>
    </w:p>
    <w:p>
      <w:r>
        <w:t>本分析书定义“挤压与锯切联合报表”的业务目标、数据粒度、查询条件、展示字段、获取方式、计算公式、关联规则、数据质量要求和验收标准。所有实现状态均以 2026-08-12 的当前代码为依据；原型中的静态数组和浏览器本地存储不等同于生产数据库已接通。</w:t>
      </w:r>
    </w:p>
    <w:p>
      <w:pPr>
        <w:pStyle w:val="Heading2"/>
        <w:keepNext/>
      </w:pPr>
      <w:r>
        <w:t>1.1 建设目标</w:t>
      </w:r>
    </w:p>
    <w:p>
      <w:pPr>
        <w:pStyle w:val="ListBullet"/>
      </w:pPr>
      <w:r>
        <w:t>按生产排程查看挤压投入、挤压执行和锯切执行结果，形成一行贯通的生产追溯视图。</w:t>
      </w:r>
    </w:p>
    <w:p>
      <w:pPr>
        <w:pStyle w:val="ListBullet"/>
      </w:pPr>
      <w:r>
        <w:t>只保留能够从前序业务记录直接取得，或能由可靠明细计算得到的字段。</w:t>
      </w:r>
    </w:p>
    <w:p>
      <w:pPr>
        <w:pStyle w:val="ListBullet"/>
      </w:pPr>
      <w:r>
        <w:t>统一屏幕查询、表格展示和 Excel 导出的字段口径，禁止同名指标使用不同算法。</w:t>
      </w:r>
    </w:p>
    <w:p>
      <w:pPr>
        <w:pStyle w:val="ListBullet"/>
      </w:pPr>
      <w:r>
        <w:t>明确原型可用数据与正式上线缺口，为后端表结构、接口和事件采集提供依据。</w:t>
      </w:r>
    </w:p>
    <w:p>
      <w:pPr>
        <w:pStyle w:val="Heading2"/>
        <w:keepNext/>
      </w:pPr>
      <w: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700"/>
        <w:gridCol w:w="4100"/>
        <w:gridCol w:w="35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4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纳入内容</w:t>
            </w:r>
          </w:p>
        </w:tc>
        <w:tc>
          <w:tcPr>
            <w:tcW w:type="dxa" w:w="35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不纳入内容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报表对象</w:t>
            </w:r>
          </w:p>
        </w:tc>
        <w:tc>
          <w:tcPr>
            <w:tcW w:type="dxa" w:w="4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挤压排程、挤压生产记录、锯切生产记录</w:t>
            </w:r>
          </w:p>
        </w:tc>
        <w:tc>
          <w:tcPr>
            <w:tcW w:type="dxa" w:w="3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设备 OEE、能耗、工艺参数趋势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展示层</w:t>
            </w:r>
          </w:p>
        </w:tc>
        <w:tc>
          <w:tcPr>
            <w:tcW w:type="dxa" w:w="4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查询条件、联合明细、分页、Excel 导出、汇总指标</w:t>
            </w:r>
          </w:p>
        </w:tc>
        <w:tc>
          <w:tcPr>
            <w:tcW w:type="dxa" w:w="3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自定义拖拽列、图表驾驶舱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数据层</w:t>
            </w:r>
          </w:p>
        </w:tc>
        <w:tc>
          <w:tcPr>
            <w:tcW w:type="dxa" w:w="4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字段来源、关联键、计算规则、持久化要求</w:t>
            </w:r>
          </w:p>
        </w:tc>
        <w:tc>
          <w:tcPr>
            <w:tcW w:type="dxa" w:w="3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本需求书内直接设计数据库物理索引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已删除字段</w:t>
            </w:r>
          </w:p>
        </w:tc>
        <w:tc>
          <w:tcPr>
            <w:tcW w:type="dxa" w:w="4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不再展示完成进度、锯切实际完成、完工框数</w:t>
            </w:r>
          </w:p>
        </w:tc>
        <w:tc>
          <w:tcPr>
            <w:tcW w:type="dxa" w:w="3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不恢复已确认删除字段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当前实现盘点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2100"/>
        <w:gridCol w:w="57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级别</w:t>
            </w:r>
          </w:p>
        </w:tc>
        <w:tc>
          <w:tcPr>
            <w:tcW w:type="dxa" w:w="2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判定</w:t>
            </w:r>
          </w:p>
        </w:tc>
        <w:tc>
          <w:tcPr>
            <w:tcW w:type="dxa" w:w="5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本报表含义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AF7EF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可直接获取且已持久化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字段已有稳定记录，可直接查询；当前主要为锯切汇总记录。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B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可直接获取但未持久化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页面或工作台已有值，但刷新、切换浏览器或跨设备后不能保证。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4E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可计算但输入未稳定落库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公式明确，必须先持久化参与计算的明细或事件。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DEC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当前不可可靠获取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现有对象缺少关联键、历史记录或可靠语义，不能作为正式报表值。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代码现状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600"/>
        <w:gridCol w:w="4760"/>
        <w:gridCol w:w="300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4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当前数据形态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挤压报表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ExtrusionReport.vue 内 sourceRows 为 9 条静态演示数据，其中仅满足完工条件的数据进入报表。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不能视为已接通挤压生产数据。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挤压排程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IssueScheduling.vue 已有排程字段，但“下发”只更新页面状态；未同步到挤压工作台共享存储。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排程基础字段可定义来源，但需要接口或共享数据层。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挤压工作台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已上料队列、已挤压状态、挤压批次和剔料列表主要保存在组件内存。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字段有业务动作来源，但刷新后不可靠。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锯切工作台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开工、装框、取样、报废和完工会汇总为 SawingProductionRecord。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公式已形成，并写入本地记录。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锯切存储</w:t>
            </w:r>
          </w:p>
        </w:tc>
        <w:tc>
          <w:tcPr>
            <w:tcW w:type="dxa" w:w="4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mom_sawing_production_records 保存于当前浏览器 localStorage。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可支撑原型联调，不能替代服务端数据库。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目标数据流</w:t>
      </w:r>
    </w:p>
    <w:p>
      <w:pPr>
        <w:pStyle w:val="ListNumber"/>
      </w:pPr>
      <w:r>
        <w:t>排程下发时，以排程编号生成或同步一条挤压排程主记录。</w:t>
      </w:r>
    </w:p>
    <w:p>
      <w:pPr>
        <w:pStyle w:val="ListNumber"/>
      </w:pPr>
      <w:r>
        <w:t>上料、挤压、剔料、退料等动作写入带排程编号和挤压批次号的生产事件。</w:t>
      </w:r>
    </w:p>
    <w:p>
      <w:pPr>
        <w:pStyle w:val="ListNumber"/>
      </w:pPr>
      <w:r>
        <w:t>锯切开工、装框、取样、报废、完工动作写入锯切生产记录或事件明细。</w:t>
      </w:r>
    </w:p>
    <w:p>
      <w:pPr>
        <w:pStyle w:val="ListNumber"/>
      </w:pPr>
      <w:r>
        <w:t>报表服务先限定已完工记录，再按查询条件读取排程和生产记录，在服务端完成聚合与关联。</w:t>
      </w:r>
    </w:p>
    <w:p>
      <w:pPr>
        <w:pStyle w:val="ListNumber"/>
      </w:pPr>
      <w:r>
        <w:t>页面与 Excel 导出复用同一查询结果和同一字段口径。</w:t>
      </w:r>
    </w:p>
    <w:p>
      <w:pPr>
        <w:pStyle w:val="Heading1"/>
        <w:keepNext/>
      </w:pPr>
      <w:r>
        <w:t>3. 报表粒度与关联规则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数据粒度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默认一行代表一个生产排程；如同一排程允许多个挤压批次或多个锯台并行，则生产实现必须改为“排程编号 + 挤压批次号 + 锯切作业号”粒度，不能覆盖记录。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AF7EF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准入规则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挤压数据仅当挤压状态=已完成时进入报表；锯切数据仅当锯切状态=已完成时进入报表。未开始、生产中或未完工记录不得参与页面、汇总和导出。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联合规则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2600"/>
        <w:gridCol w:w="3450"/>
        <w:gridCol w:w="23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26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关联条件</w:t>
            </w:r>
          </w:p>
        </w:tc>
        <w:tc>
          <w:tcPr>
            <w:tcW w:type="dxa" w:w="34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使用要求</w:t>
            </w:r>
          </w:p>
        </w:tc>
        <w:tc>
          <w:tcPr>
            <w:tcW w:type="dxa" w:w="23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异常处理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挤压.scheduleNo = 锯切.scheduleNo</w:t>
            </w:r>
          </w:p>
        </w:tc>
        <w:tc>
          <w:tcPr>
            <w:tcW w:type="dxa" w:w="34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排程编号必须全局唯一且在工序间透传。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重复排程编号进入数据质量告警。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orderNo + extrusionBatchNo</w:t>
            </w:r>
          </w:p>
        </w:tc>
        <w:tc>
          <w:tcPr>
            <w:tcW w:type="dxa" w:w="34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仅当两个字段均非空时允许兜底关联。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任一为空时不得关联，防止空批次误匹配。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锯切独立记录</w:t>
            </w:r>
          </w:p>
        </w:tc>
        <w:tc>
          <w:tcPr>
            <w:tcW w:type="dxa" w:w="34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锯切有记录但未匹配挤压时仍展示。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挤压专属字段显示“—”，不得显示为 0。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DECEC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实现提醒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当前前端兜底逻辑未限制 extrusionBatchNo 非空；正式实现必须增加非空校验，并优先使用不可变的排程主键或作业主键。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查询条件需求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100"/>
        <w:gridCol w:w="1100"/>
        <w:gridCol w:w="2700"/>
        <w:gridCol w:w="3300"/>
        <w:gridCol w:w="11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控件</w:t>
            </w:r>
          </w:p>
        </w:tc>
        <w:tc>
          <w:tcPr>
            <w:tcW w:type="dxa" w:w="27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数据来源</w:t>
            </w:r>
          </w:p>
        </w:tc>
        <w:tc>
          <w:tcPr>
            <w:tcW w:type="dxa" w:w="33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查询规则</w:t>
            </w:r>
          </w:p>
        </w:tc>
        <w:tc>
          <w:tcPr>
            <w:tcW w:type="dxa" w:w="1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计划日期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日期区间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排程.planDate；锯切独立记录取锯切.planDate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闭区间查询：startDate ≤ planDate ≤ endDate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排程编号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排程.scheduleNo / 锯切.scheduleNo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订单编号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排程.orderNo / 锯切.orderNo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产品名称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排程.productName / 锯切.productName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挤压批次号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挤压生产批次 / 锯切.extrusionBatchNo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包含匹配；正式接口建议精确查询可选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合金牌号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排程.alloy / 锯切.alloy</w:t>
            </w:r>
          </w:p>
        </w:tc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当前已改为手动输入，包含匹配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</w:tbl>
    <w:p>
      <w:pPr>
        <w:spacing w:after="0"/>
      </w:pPr>
    </w:p>
    <w:p>
      <w:pPr>
        <w:pStyle w:val="ListBullet"/>
      </w:pPr>
      <w:r>
        <w:t>点击“查询”后才应用草稿条件；点击“重置”清空所有条件并回到第一页。</w:t>
      </w:r>
    </w:p>
    <w:p>
      <w:pPr>
        <w:pStyle w:val="ListBullet"/>
      </w:pPr>
      <w:r>
        <w:t>筛选、分页、汇总和导出必须基于同一已完工结果集；导出不受当前分页限制。</w:t>
      </w:r>
    </w:p>
    <w:p>
      <w:pPr>
        <w:pStyle w:val="Heading1"/>
        <w:keepNext/>
      </w:pPr>
      <w:r>
        <w:t>5. 明细字段与数据获取方式</w:t>
      </w:r>
    </w:p>
    <w:p>
      <w:r>
        <w:t>成熟度按第 2 章定义。目标表/对象名称为逻辑建议，最终可映射到现有数据库命名规范。</w:t>
      </w:r>
    </w:p>
    <w:p>
      <w:pPr>
        <w:pStyle w:val="Heading2"/>
        <w:keepNext/>
      </w:pPr>
      <w:r>
        <w:t>5.1 排程信息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1100"/>
        <w:gridCol w:w="3250"/>
        <w:gridCol w:w="3000"/>
        <w:gridCol w:w="10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  <w:tc>
          <w:tcPr>
            <w:tcW w:type="dxa" w:w="32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口径/公式</w:t>
            </w:r>
          </w:p>
        </w:tc>
        <w:tc>
          <w:tcPr>
            <w:tcW w:type="dxa" w:w="1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页面计算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无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(当前页码−1)×每页条数+行内索引+1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计划日期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ExtrusionSchedule.planDate；锯切独立行取 SawingProductionRecord.planDate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YYYY-MM-DD；优先取挤压排程日期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排程编号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ExtrusionSchedule.scheduleNo / SawingProductionRecord.scheduleNo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联合主键；必填、唯一、不可变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订单编号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ExtrusionSchedule.orderNo；锯切兜底取同名字段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原值展示；可参与非空兜底关联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产品名称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ExtrusionSchedule.productName；锯切兜底取同名字段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原值展示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物料与模具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1100"/>
        <w:gridCol w:w="3250"/>
        <w:gridCol w:w="3000"/>
        <w:gridCol w:w="10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  <w:tc>
          <w:tcPr>
            <w:tcW w:type="dxa" w:w="32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口径/公式</w:t>
            </w:r>
          </w:p>
        </w:tc>
        <w:tc>
          <w:tcPr>
            <w:tcW w:type="dxa" w:w="1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合金牌号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ExtrusionSchedule.alloy；锯切独立行取 SawingProductionRecord.alloy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以排程主数据为准；两工序不一致时告警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铝棒料号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ExtrusionSchedule.rodMaterialNo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锯切独立行无挤压记录时显示“—”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棒径(mm)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ExtrusionSchedule.rodDiameter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数值，单位 mm；缺失显示“—”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棒长(mm)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ExtrusionSchedule.rodLength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数值，单位 mm；缺失显示“—”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模具组号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直接/计算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ExtrusionSchedule.moldGroupNo；缺失时可由 moldNo 推导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moldGroupNo 优先；否则去除模具号最后一个“-”分段，例如 M10-0649-200 → M10-0649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模具号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ExtrusionSchedule.moldNo；锯切独立行取 SawingProductionRecord.moldNo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多模并行时需拆分作业粒度或建立模具明细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B/A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挤压执行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1100"/>
        <w:gridCol w:w="3250"/>
        <w:gridCol w:w="3000"/>
        <w:gridCol w:w="10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  <w:tc>
          <w:tcPr>
            <w:tcW w:type="dxa" w:w="32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口径/公式</w:t>
            </w:r>
          </w:p>
        </w:tc>
        <w:tc>
          <w:tcPr>
            <w:tcW w:type="dxa" w:w="1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挤压批次号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上模/开工时生成的 ExtrusionProduction.extrusionBatchNo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必须与排程编号、模具号同时落库；当前仅在工作台对象和队列内存中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计划支数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ExtrusionSchedule.inputQtyRods 或下发后的 issueQty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取下发时快照，禁止随主数据修改而追溯变动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已上料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事件聚合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ExtrusionRodEvent，eventType=FEED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COUNT(有效上料事件)；退料应冲销。若仅统计当前队列，则字段应改名“当前在制棒数”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已挤压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事件聚合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ExtrusionRodEvent，eventType=EXTRUDE 或 rod.status=已挤压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COUNT(完成挤压且未作废的棒号)；按排程/批次去重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待挤压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已上料、已挤压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MAX(已上料−已挤压, 0)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剔料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事件聚合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ExtrusionRodEvent，eventType=REJECT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COUNT(有效剔料事件−撤销/重新投入事件)；必须带 scheduleNo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D→C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挤压状态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计划支数、已上料、已挤压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已挤压≥计划支数且计划&gt;0：已完成；否则已上料&gt;0或已挤压&gt;0：生产中；否则：未开始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FF4E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状态风险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若剔料导致最终合格挤压数小于计划支数，现有状态公式可能长期停留在“生产中”。正式业务需明确完成条件是“合格数达计划”还是“排程人工完工”，建议增加排程完工事件作为最终状态依据。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锯切执行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950"/>
        <w:gridCol w:w="1100"/>
        <w:gridCol w:w="3250"/>
        <w:gridCol w:w="3000"/>
        <w:gridCol w:w="1060"/>
      </w:tblGrid>
      <w:tr>
        <w:trPr>
          <w:tblHeader w:val="true"/>
          <w:cantSplit/>
        </w:trPr>
        <w:tc>
          <w:tcPr>
            <w:tcW w:type="dxa" w:w="9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  <w:tc>
          <w:tcPr>
            <w:tcW w:type="dxa" w:w="325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来源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口径/公式</w:t>
            </w:r>
          </w:p>
        </w:tc>
        <w:tc>
          <w:tcPr>
            <w:tcW w:type="dxa" w:w="1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成熟度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锯台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SawingProductionRecord.machineNo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锯切开工或切换锯台时取 currentMachine；正式记录应保存设备主键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定尺长度(mm)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SawingSchedule.fixedLength → SawingProductionRecord.fixedLength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数值，单位 mm；按排程/作业快照保存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装框数量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frameListData.branchQty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SUM(各料框支数)；当前对应 framedQty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A*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料框数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frameListData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COUNT(料框记录)；包括未完工框还是仅有效框需按当前定义为全部框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A*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取样数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sampleListData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COUNT(有效取样记录)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A*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报废数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scrapHistoryData.scrapQty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SUM(有效报废记录数量)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A*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开始时间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SawingProductionRecord.startTime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确认开工时写入；后续编辑不得覆盖首次开工时间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结束时间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SawingProductionRecord.endTime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确认完工时写入；未完工显示“—”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锯切状态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SawingProductionRecord.status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开工及过程变更为“生产中”；确认完工为“已完成”</w:t>
            </w:r>
          </w:p>
        </w:tc>
        <w:tc>
          <w:tcPr>
            <w:tcW w:type="dxa" w:w="1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</w:t>
            </w:r>
          </w:p>
        </w:tc>
      </w:tr>
    </w:tbl>
    <w:p>
      <w:pPr>
        <w:spacing w:after="0"/>
      </w:pPr>
    </w:p>
    <w:p>
      <w:r>
        <w:t>注：A* 表示计算结果已写入 localStorage 汇总记录，但其明细列表当前仍是前端原型对象；生产化后应按排程隔离并由服务端持久化。</w:t>
      </w:r>
    </w:p>
    <w:p>
      <w:pPr>
        <w:pStyle w:val="Heading1"/>
        <w:keepNext/>
      </w:pPr>
      <w:r>
        <w:t>6. 汇总指标与导出</w:t>
      </w:r>
    </w:p>
    <w:p>
      <w:pPr>
        <w:pStyle w:val="Heading2"/>
        <w:keepNext/>
      </w:pPr>
      <w:r>
        <w:t>6.1 汇总指标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00"/>
        <w:gridCol w:w="3000"/>
        <w:gridCol w:w="44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计算公式</w:t>
            </w:r>
          </w:p>
        </w:tc>
        <w:tc>
          <w:tcPr>
            <w:tcW w:type="dxa" w:w="44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联合排程数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COUNT(筛选后的已完工联合行)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包含已完工锯切独立行；应按最终报表粒度去重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计划支数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SUM(有挤压记录行.planQty)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锯切独立行不计入，避免重复或语义不一致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已上料支数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SUM(有挤压记录行.loadedQty)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需先完成挤压事件持久化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已挤压支数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SUM(有挤压记录行.extrudedQty)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需按排程/批次去重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当前剔料数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SUM(有挤压记录行.rejectedQty)</w:t>
            </w:r>
          </w:p>
        </w:tc>
        <w:tc>
          <w:tcPr>
            <w:tcW w:type="dxa" w:w="44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建议改名“有效剔料数”，口径为未撤销的剔料事件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Excel 导出</w:t>
      </w:r>
    </w:p>
    <w:p>
      <w:pPr>
        <w:pStyle w:val="ListBullet"/>
      </w:pPr>
      <w:r>
        <w:t>工作表“指标汇总”：导出上述 5 个指标、数值和单位。</w:t>
      </w:r>
    </w:p>
    <w:p>
      <w:pPr>
        <w:pStyle w:val="ListBullet"/>
      </w:pPr>
      <w:r>
        <w:t>工作表“挤压锯切联合明细”：只导出已完工结果，并包含第 5 章全部当前展示字段，字段顺序与页面一致。</w:t>
      </w:r>
    </w:p>
    <w:p>
      <w:pPr>
        <w:pStyle w:val="ListBullet"/>
      </w:pPr>
      <w:r>
        <w:t>已确认删除的“完成进度、锯切实际完成、完工框数”不得出现在页面、汇总或导出中。</w:t>
      </w:r>
    </w:p>
    <w:p>
      <w:pPr>
        <w:pStyle w:val="ListBullet"/>
      </w:pPr>
      <w:r>
        <w:t>导出文件名需包含导出日期；建议增加查询条件和导出时间元数据，便于追溯。</w:t>
      </w:r>
    </w:p>
    <w:p>
      <w:pPr>
        <w:pStyle w:val="Heading1"/>
        <w:keepNext/>
      </w:pPr>
      <w:r>
        <w:t>7. 建议数据模型与接口</w:t>
      </w:r>
    </w:p>
    <w:p>
      <w:pPr>
        <w:pStyle w:val="Heading2"/>
        <w:keepNext/>
      </w:pPr>
      <w:r>
        <w:t>7.1 逻辑数据对象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对象</w:t>
            </w:r>
          </w:p>
        </w:tc>
        <w:tc>
          <w:tcPr>
            <w:tcW w:type="dxa" w:w="48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核心字段</w:t>
            </w:r>
          </w:p>
        </w:tc>
        <w:tc>
          <w:tcPr>
            <w:tcW w:type="dxa" w:w="2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ExtrusionSchedule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scheduleId、scheduleNo、orderNo、planDate、productName、alloy、rodMaterialNo、rodDiameter、rodLength、moldGroupNo、moldNo、planQty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排程下发时形成不可变快照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ExtrusionProduction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scheduleId、extrusionBatchNo、moldNo、startTime、endTime、status、updatedAt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一排程多批次时一对多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ExtrusionRodEvent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eventId、scheduleId、extrusionBatchNo、rodNo、eventType、qty、eventTime、operator、isReversed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上料、挤压、剔料、退料均写事件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SawingProduction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sawingJobId、scheduleId、extrusionBatchNo、machineId、fixedLength、startTime、endTime、status、updatedAt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避免只以排程编号覆盖多锯切作业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SawingFrame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sawingJobId、frameNo、branchQty、status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计算装框数量和料框数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SawingSample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sawingJobId、sampleCode、sampleType、samplingTime、isValid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计算取样数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SawingScrap</w:t>
            </w:r>
          </w:p>
        </w:tc>
        <w:tc>
          <w:tcPr>
            <w:tcW w:type="dxa" w:w="4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sawingJobId、scrapReason、scrapQty、scrapTime、isReversed</w:t>
            </w:r>
          </w:p>
        </w:tc>
        <w:tc>
          <w:tcPr>
            <w:tcW w:type="dxa" w:w="2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计算报废数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查询接口建议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接口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GET /api/reports/extrusion-sawing（名称可按现有规范调整）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入参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startDate、endDate、scheduleNo、orderNo、productName、extrusionBatchNo、alloy、page、pageSize；服务端固定限制已完工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返回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items、total、summary、queryTime；items 直接返回页面所需展示字段和 hasExtrusion/hasSawing 标记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排序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 planDate 倒序、scheduleNo 倒序；相同排程多作业时按 startTime 倒序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一致性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items 与 summary 必须在同一查询快照或同一事务视图内计算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权限</w:t>
            </w:r>
          </w:p>
        </w:tc>
        <w:tc>
          <w:tcPr>
            <w:tcW w:type="dxa" w:w="75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按组织、车间、产线或设备数据权限过滤；导出权限单独控制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数据质量与显示规则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7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空值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未知或未关联显示“—”；只有业务明确为零时显示 0。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数量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所有数量为非负整数；负值仅允许作为事件冲销，不直接显示。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时间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统一 YYYY-MM-DD HH:mm:ss；数据库保存时区信息，页面按工厂时区展示。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单位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棒径、棒长、定尺长度统一 mm；数量统一支/条，字段名或表头明确单位。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去重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棒号、料框号、样品号在各自业务粒度内唯一；聚合前过滤作废和撤销记录。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冲突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排程与锯切的订单、产品、合金、模具不一致时，不静默覆盖；记录异常并以排程快照为主。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更新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生产动作成功提交后刷新报表数据；后端以 updatedAt 或版本号解决并发覆盖。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追溯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保留操作人、操作时间、来源设备、撤销原因；汇总值必须可下钻到明细事件。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7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性能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 31 天范围、10 条/页，普通查询建议 3 秒内返回；导出大数据量采用异步任务。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可靠性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生产数据以服务端为唯一事实来源，不依赖 localStorage；写入失败必须提示且可重试。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接口鉴权、数据权限、导出审计；不得在前端硬编码敏感生产数据。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可维护性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字段口径集中定义；页面、接口和 Excel 共享 DTO/字段映射，避免重复计算。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兼容性</w:t>
            </w:r>
          </w:p>
        </w:tc>
        <w:tc>
          <w:tcPr>
            <w:tcW w:type="dxa" w:w="77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支持当前项目目标浏览器；超宽表格保持横向滚动和固定关键列。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80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验收条件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AC-01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排程下发后，报表可通过排程编号查询到基础字段，刷新页面后数据仍存在。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AC-02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完成上料、挤压、剔料和撤销动作后，已上料、已挤压、待挤压、剔料按本书公式更新。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AC-03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锯切开工、装框、取样、报废过程不进入报表；确认完工后，相应字段可刷新并跨浏览器/设备查询。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AC-04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排程编号优先关联；只有订单编号和挤压批次号同时非空时才允许兜底关联。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AC-05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锯切独立记录可显示，缺少挤压来源的字段展示“—”而不是 0。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AC-06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计划日期、排程编号、订单编号、产品名称、挤压批次号、合金牌号均能正确组合查询；查询区不显示执行状态条件。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AC-07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页面、汇总和 Excel 的同名字段数值一致；导出覆盖全部筛选结果而非当前页。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AC-08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页面和导出均不出现完成进度、锯切实际完成、完工框数。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AC-09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未开始、生产中或未完工记录不出现在页面、汇总和导出；无数据、空值、异常关联和重复事件按第 8 章处理。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AC-10</w:t>
            </w:r>
          </w:p>
        </w:tc>
        <w:tc>
          <w:tcPr>
            <w:tcW w:type="dxa" w:w="80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报表数据可追溯到排程、生产作业及具体事件，能定位操作时间与操作人。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实施优先级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200"/>
        <w:gridCol w:w="5000"/>
        <w:gridCol w:w="316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50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工作项</w:t>
            </w:r>
          </w:p>
        </w:tc>
        <w:tc>
          <w:tcPr>
            <w:tcW w:type="dxa" w:w="3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交付结果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P0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挤压排程下发同步；挤压批次、上料、挤压、剔料事件服务端落库；联合查询接口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报表核心字段真实可用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P0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修正兜底关联的非空限制；确定一排程多批次/多锯台的数据粒度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避免错配和记录覆盖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P1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锯切 localStorage 迁移至后端；装框、取样、报废明细按作业隔离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跨终端共享且可追溯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P1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统一汇总与导出服务；补充权限、审计和数据质量告警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正式业务可控上线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P2</w:t>
            </w:r>
          </w:p>
        </w:tc>
        <w:tc>
          <w:tcPr>
            <w:tcW w:type="dxa" w:w="5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异常下钻、异步大数据导出、性能优化</w:t>
            </w:r>
          </w:p>
        </w:tc>
        <w:tc>
          <w:tcPr>
            <w:tcW w:type="dxa" w:w="3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提升分析与运维能力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代码依据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300"/>
        <w:gridCol w:w="4200"/>
        <w:gridCol w:w="18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依据内容</w:t>
            </w:r>
          </w:p>
        </w:tc>
        <w:tc>
          <w:tcPr>
            <w:tcW w:type="dxa" w:w="420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文件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关键行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联合报表字段、筛选、合并、汇总与导出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src/views/reports/extrusion/ExtrusionReport.vue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1–180、203–445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挤压排程字段与下发动作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src/views/extrusion/IssueScheduling.vue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419–443、1086–1090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挤压上料队列、批次、挤压与剔料状态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src/views/extrusion/ExtrusionWorkbench.vue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571–705、1286–1314、1365–1385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锯切排程、开工、完工和汇总写入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src/views/extrusion/SawingWorkbench.vue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524–615、795–819、1196–1242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锯切生产记录结构与本地存储</w:t>
            </w:r>
          </w:p>
        </w:tc>
        <w:tc>
          <w:tcPr>
            <w:tcW w:type="dxa" w:w="4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src/utils/sawingProductionFlow.ts</w:t>
            </w:r>
          </w:p>
        </w:tc>
        <w:tc>
          <w:tcPr>
            <w:tcW w:type="dxa" w:w="1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1–49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FF4E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文档边界</w:t>
            </w:r>
          </w:p>
        </w:tc>
        <w:tc>
          <w:tcPr>
            <w:tcW w:type="dxa" w:w="78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本书对“字段从哪里来、怎样计算、当前是否可靠”作出定义；不代表后端接口、数据库表和跨终端数据同步已经实现。上线验收应以真实业务数据回放和接口联调结果为准。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6"/>
      </w:rPr>
      <w:t xml:space="preserve">第 </w:t>
    </w:r>
    <w:fldSimple w:instr="PAGE"/>
    <w:r>
      <w:rPr>
        <w:rFonts w:ascii="Calibri" w:hAnsi="Calibri" w:eastAsia="Microsoft YaHei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6"/>
      </w:rPr>
      <w:t>MOM 生产报表  |  挤压生产报表需求分析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挤压生产报表需求分析书</dc:title>
  <dc:subject>挤压与锯切联合报表字段口径、数据来源与计算规则</dc:subject>
  <dc:creator>Codex</dc:creator>
  <cp:keywords>MOM, 挤压报表, 锯切报表, 需求分析, 字段来源, 计算公式</cp:keywords>
  <dc:description>基于 2026-08-12 当前前端代码整理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