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5FF2C">
      <w:pPr>
        <w:bidi w:val="0"/>
        <w:spacing w:before="63" w:beforeLines="17" w:beforeAutospacing="0" w:after="95" w:afterAutospacing="0"/>
        <w:ind w:left="959" w:leftChars="436" w:right="570" w:rightChars="259" w:firstLine="0" w:firstLineChars="0"/>
        <w:jc w:val="center"/>
        <w:rPr>
          <w:rFonts w:hint="default" w:ascii="Arial Black" w:hAnsi="Arial Black" w:cs="Arial Black"/>
          <w:b/>
          <w:bCs/>
          <w:color w:val="C00000"/>
          <w:lang w:val="tr-TR"/>
        </w:rPr>
      </w:pPr>
      <w:r>
        <w:rPr>
          <w:rFonts w:hint="default" w:ascii="Arial Black" w:hAnsi="Arial Black" w:cs="Arial Black"/>
          <w:b/>
          <w:bCs/>
          <w:color w:val="C00000"/>
          <w:lang w:val="tr-TR"/>
        </w:rPr>
        <w:drawing>
          <wp:inline distT="0" distB="0" distL="114300" distR="114300">
            <wp:extent cx="2857500" cy="1600200"/>
            <wp:effectExtent l="0" t="0" r="0" b="0"/>
            <wp:docPr id="3" name="Picture 3"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00"/>
                    <pic:cNvPicPr>
                      <a:picLocks noChangeAspect="1"/>
                    </pic:cNvPicPr>
                  </pic:nvPicPr>
                  <pic:blipFill>
                    <a:blip r:embed="rId6"/>
                    <a:stretch>
                      <a:fillRect/>
                    </a:stretch>
                  </pic:blipFill>
                  <pic:spPr>
                    <a:xfrm>
                      <a:off x="0" y="0"/>
                      <a:ext cx="2857500" cy="1600200"/>
                    </a:xfrm>
                    <a:prstGeom prst="rect">
                      <a:avLst/>
                    </a:prstGeom>
                  </pic:spPr>
                </pic:pic>
              </a:graphicData>
            </a:graphic>
          </wp:inline>
        </w:drawing>
      </w:r>
    </w:p>
    <w:p w14:paraId="06D18E28">
      <w:pPr>
        <w:bidi w:val="0"/>
        <w:spacing w:before="63" w:beforeLines="17" w:beforeAutospacing="0" w:after="95" w:afterAutospacing="0"/>
        <w:ind w:right="570" w:rightChars="259"/>
        <w:jc w:val="both"/>
        <w:rPr>
          <w:rFonts w:hint="default" w:ascii="Arial Black" w:hAnsi="Arial Black" w:cs="Arial Black"/>
          <w:b/>
          <w:bCs/>
          <w:color w:val="C00000"/>
        </w:rPr>
      </w:pPr>
    </w:p>
    <w:p w14:paraId="0AE8847F">
      <w:pPr>
        <w:bidi w:val="0"/>
        <w:spacing w:before="63" w:beforeLines="17" w:beforeAutospacing="0" w:after="95" w:afterAutospacing="0"/>
        <w:ind w:left="959" w:leftChars="436" w:right="570" w:rightChars="259" w:firstLine="0" w:firstLineChars="0"/>
        <w:jc w:val="center"/>
        <w:rPr>
          <w:rFonts w:hint="default" w:ascii="Arial Black" w:hAnsi="Arial Black" w:cs="Arial Black"/>
          <w:b/>
          <w:bCs/>
          <w:color w:val="C00000"/>
          <w:sz w:val="36"/>
          <w:szCs w:val="36"/>
        </w:rPr>
      </w:pPr>
      <w:r>
        <w:rPr>
          <w:rFonts w:hint="default" w:ascii="Arial Black" w:hAnsi="Arial Black" w:cs="Arial Black"/>
          <w:b/>
          <w:bCs/>
          <w:color w:val="C00000"/>
          <w:sz w:val="36"/>
          <w:szCs w:val="36"/>
        </w:rPr>
        <w:t>Sanayinin Yerleşmeye Etkisi</w:t>
      </w:r>
    </w:p>
    <w:p w14:paraId="598C4963">
      <w:pPr>
        <w:bidi w:val="0"/>
        <w:spacing w:before="63" w:beforeLines="17" w:beforeAutospacing="0" w:after="95" w:afterAutospacing="0"/>
        <w:ind w:left="959" w:leftChars="436" w:right="570" w:rightChars="259" w:firstLine="0" w:firstLineChars="0"/>
        <w:jc w:val="center"/>
        <w:rPr>
          <w:rFonts w:hint="default" w:ascii="Arial Black" w:hAnsi="Arial Black" w:cs="Arial Black"/>
          <w:b/>
          <w:bCs/>
          <w:color w:val="C00000"/>
        </w:rPr>
      </w:pPr>
      <w:bookmarkStart w:id="0" w:name="_GoBack"/>
      <w:bookmarkEnd w:id="0"/>
    </w:p>
    <w:p w14:paraId="77E8D865">
      <w:pPr>
        <w:bidi w:val="0"/>
        <w:spacing w:beforeAutospacing="0" w:after="95" w:afterAutospacing="0"/>
        <w:ind w:left="959" w:leftChars="436" w:right="570" w:rightChars="259" w:firstLine="0" w:firstLineChars="0"/>
        <w:jc w:val="left"/>
        <w:rPr>
          <w:rFonts w:hint="default" w:ascii="Candara Light" w:hAnsi="Candara Light" w:cs="Candara Light"/>
        </w:rPr>
      </w:pPr>
      <w:r>
        <w:rPr>
          <w:rFonts w:hint="default" w:ascii="Candara Light" w:hAnsi="Candara Light" w:cs="Candara Light"/>
        </w:rPr>
        <w:t>Sanayi faaliyetleri, nüfusun belirli bölgelerde yoğunlaşmasına neden olur. İş olanakları insanların sanayi çevresine göç etmesine yol açar. Bu durum, şehirleşmeyi hızlandırır ve konut ihtiyacını artırır. Ayrıca ulaşım, enerji ve altyapı sistemlerinin gelişmesine katkı sağlar. Ancak bu yoğunluk, çevresel sorunları ve düzensiz kentleşmeyi de beraberinde getirebilir</w:t>
      </w:r>
    </w:p>
    <w:p w14:paraId="23FD2CF3">
      <w:pPr>
        <w:bidi w:val="0"/>
        <w:spacing w:beforeAutospacing="0" w:after="95" w:afterAutospacing="0"/>
        <w:ind w:left="959" w:leftChars="436" w:right="570" w:rightChars="259" w:firstLine="0" w:firstLineChars="0"/>
        <w:jc w:val="left"/>
        <w:rPr>
          <w:rFonts w:hint="default" w:ascii="Candara Light" w:hAnsi="Candara Light" w:cs="Candara Light"/>
        </w:rPr>
      </w:pPr>
    </w:p>
    <w:p w14:paraId="323E5C4D">
      <w:pPr>
        <w:pStyle w:val="5"/>
        <w:bidi w:val="0"/>
        <w:spacing w:line="240" w:lineRule="auto"/>
        <w:rPr>
          <w:rFonts w:hint="default" w:ascii="Arial Black" w:hAnsi="Arial Black" w:cs="Arial Black"/>
          <w:i w:val="0"/>
          <w:iCs w:val="0"/>
          <w:color w:val="C00000"/>
        </w:rPr>
      </w:pPr>
      <w:r>
        <w:rPr>
          <w:rFonts w:hint="default" w:ascii="Arial Black" w:hAnsi="Arial Black" w:cs="Arial Black"/>
          <w:i w:val="0"/>
          <w:iCs w:val="0"/>
          <w:color w:val="C00000"/>
        </w:rPr>
        <w:t>Sanayi ve Göç İlişkisi</w:t>
      </w:r>
    </w:p>
    <w:p w14:paraId="3DC0AA3B">
      <w:pPr>
        <w:pStyle w:val="5"/>
        <w:bidi w:val="0"/>
        <w:spacing w:line="240" w:lineRule="auto"/>
        <w:rPr>
          <w:b w:val="0"/>
          <w:bCs w:val="0"/>
          <w:i w:val="0"/>
          <w:iCs w:val="0"/>
          <w:color w:val="auto"/>
        </w:rPr>
      </w:pPr>
      <w:r>
        <w:rPr>
          <w:rFonts w:hint="eastAsia"/>
          <w:b w:val="0"/>
          <w:bCs w:val="0"/>
          <w:i w:val="0"/>
          <w:iCs w:val="0"/>
          <w:color w:val="auto"/>
        </w:rPr>
        <w:t>Sanayi bölgelerinde yoğunlaşan iş imkanları, kırsal kesimden kent merkezlerine doğru ciddi bir iç göçü tetikler. Bu göç dalgası, yeni konut alanlarına olan talebi artırır ve kentlerin sınırlarını genişletir.</w:t>
      </w:r>
    </w:p>
    <w:p w14:paraId="318554FD">
      <w:pPr>
        <w:pStyle w:val="5"/>
        <w:bidi w:val="0"/>
        <w:spacing w:line="240" w:lineRule="auto"/>
        <w:rPr>
          <w:rFonts w:hint="default" w:ascii="Arial Black" w:hAnsi="Arial Black" w:cs="Arial Black"/>
          <w:i w:val="0"/>
          <w:iCs w:val="0"/>
          <w:color w:val="C00000"/>
        </w:rPr>
      </w:pPr>
      <w:r>
        <w:rPr>
          <w:rFonts w:hint="default" w:ascii="Arial Black" w:hAnsi="Arial Black" w:cs="Arial Black"/>
          <w:i w:val="0"/>
          <w:iCs w:val="0"/>
          <w:color w:val="C00000"/>
        </w:rPr>
        <w:t>Çevresel Etkiler ve Kentsel Planlama</w:t>
      </w:r>
    </w:p>
    <w:p w14:paraId="03F87AD5">
      <w:pPr>
        <w:pStyle w:val="5"/>
        <w:bidi w:val="0"/>
        <w:spacing w:line="240" w:lineRule="auto"/>
        <w:rPr>
          <w:b w:val="0"/>
          <w:bCs w:val="0"/>
          <w:i w:val="0"/>
          <w:iCs w:val="0"/>
          <w:color w:val="auto"/>
          <w:highlight w:val="none"/>
        </w:rPr>
      </w:pPr>
      <w:r>
        <w:rPr>
          <w:rFonts w:hint="eastAsia"/>
          <w:b w:val="0"/>
          <w:bCs w:val="0"/>
          <w:i w:val="0"/>
          <w:iCs w:val="0"/>
          <w:color w:val="auto"/>
          <w:highlight w:val="none"/>
        </w:rPr>
        <w:t>Sanayi tesislerinin plansız yerleşimi; hava, su ve toprak kirliliği gibi çevresel sorunlara yol açabilir. Bu nedenle sanayi yatırımları yapılırken çevresel etki analizlerinin yapılması ve kent planlamasına uygun adımlar atılması büyük önem taşır.</w:t>
      </w:r>
    </w:p>
    <w:p w14:paraId="689B15CD">
      <w:pPr>
        <w:pStyle w:val="5"/>
        <w:bidi w:val="0"/>
        <w:spacing w:line="240" w:lineRule="auto"/>
        <w:rPr>
          <w:rFonts w:hint="default" w:ascii="Arial Black" w:hAnsi="Arial Black" w:cs="Arial Black"/>
          <w:i w:val="0"/>
          <w:iCs w:val="0"/>
          <w:color w:val="C00000"/>
        </w:rPr>
      </w:pPr>
      <w:r>
        <w:rPr>
          <w:rFonts w:hint="default" w:ascii="Arial Black" w:hAnsi="Arial Black" w:cs="Arial Black"/>
          <w:i w:val="0"/>
          <w:iCs w:val="0"/>
          <w:color w:val="C00000"/>
        </w:rPr>
        <w:t>Altyapı ve Ulaşımın Gelişimi</w:t>
      </w:r>
    </w:p>
    <w:p w14:paraId="1DCD195F">
      <w:pPr>
        <w:pStyle w:val="5"/>
        <w:bidi w:val="0"/>
        <w:spacing w:line="240" w:lineRule="auto"/>
        <w:rPr>
          <w:b w:val="0"/>
          <w:bCs w:val="0"/>
          <w:i w:val="0"/>
          <w:iCs w:val="0"/>
          <w:color w:val="auto"/>
        </w:rPr>
      </w:pPr>
      <w:r>
        <w:rPr>
          <w:rFonts w:hint="eastAsia"/>
          <w:b w:val="0"/>
          <w:bCs w:val="0"/>
          <w:i w:val="0"/>
          <w:iCs w:val="0"/>
          <w:color w:val="auto"/>
        </w:rPr>
        <w:t>Sanayi bölgelerinin kurulmasıyla birlikte yol, su, elektrik ve ulaşım altyapılarında ciddi yatırımlar yapılır. Bu durum yalnızca sanayiye değil, çevredeki yerleşim yerlerine de olumlu katkı sağlar.</w:t>
      </w:r>
    </w:p>
    <w:p w14:paraId="369692C3">
      <w:pPr>
        <w:pStyle w:val="5"/>
        <w:bidi w:val="0"/>
        <w:spacing w:line="240" w:lineRule="auto"/>
        <w:rPr>
          <w:rFonts w:hint="default" w:ascii="Arial Black" w:hAnsi="Arial Black" w:cs="Arial Black"/>
          <w:i w:val="0"/>
          <w:iCs w:val="0"/>
          <w:color w:val="C00000"/>
        </w:rPr>
      </w:pPr>
      <w:r>
        <w:rPr>
          <w:rFonts w:hint="default" w:ascii="Arial Black" w:hAnsi="Arial Black" w:cs="Arial Black"/>
          <w:i w:val="0"/>
          <w:iCs w:val="0"/>
          <w:color w:val="C00000"/>
        </w:rPr>
        <w:t>Sanayi ve Sosyal Doku Üzerindeki Etkiler</w:t>
      </w:r>
    </w:p>
    <w:p w14:paraId="4E631338">
      <w:pPr>
        <w:pStyle w:val="5"/>
        <w:bidi w:val="0"/>
        <w:spacing w:line="240" w:lineRule="auto"/>
        <w:rPr>
          <w:rFonts w:hint="default"/>
          <w:b w:val="0"/>
          <w:bCs w:val="0"/>
          <w:i w:val="0"/>
          <w:iCs w:val="0"/>
          <w:color w:val="auto"/>
        </w:rPr>
      </w:pPr>
      <w:r>
        <w:rPr>
          <w:rFonts w:hint="eastAsia"/>
          <w:b w:val="0"/>
          <w:bCs w:val="0"/>
          <w:i w:val="0"/>
          <w:iCs w:val="0"/>
          <w:color w:val="auto"/>
        </w:rPr>
        <w:t>Sanayileşme, sadece fiziksel değil; toplumsal yapıyı da etkiler. Yeni gelen göçmenler, mevcut halkla etkileşime girer ve sosyal dönüşüm süreci başlar. Bu durum bazen kültürel çeşitliliği artırırken, bazen de sosyal uyumsuzluklara neden olabilir.</w:t>
      </w:r>
    </w:p>
    <w:p w14:paraId="4FCFF19B">
      <w:pPr>
        <w:bidi w:val="0"/>
        <w:spacing w:beforeAutospacing="0" w:after="95" w:afterAutospacing="0"/>
        <w:ind w:left="959" w:leftChars="436" w:right="570" w:rightChars="259" w:firstLine="0" w:firstLineChars="0"/>
        <w:jc w:val="left"/>
        <w:rPr>
          <w:rFonts w:hint="default" w:ascii="Candara Light" w:hAnsi="Candara Light" w:cs="Candara Light"/>
          <w:lang w:val="tr-TR"/>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Light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EF" w:usb1="4000A44B" w:usb2="00000000" w:usb3="00000000" w:csb0="2000019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A03A86"/>
    <w:rsid w:val="2EE04272"/>
    <w:rsid w:val="3B5F6218"/>
    <w:rsid w:val="59923033"/>
    <w:rsid w:val="5AC468CD"/>
    <w:rsid w:val="790014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0001</cp:lastModifiedBy>
  <dcterms:modified xsi:type="dcterms:W3CDTF">2025-05-20T18:19:28Z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AC74E99A9D6E41C98A1C59E6797156BE_12</vt:lpwstr>
  </property>
</Properties>
</file>