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D1500">
      <w:pPr>
        <w:pStyle w:val="31"/>
      </w:pPr>
      <w:bookmarkStart w:id="0" w:name="_GoBack"/>
      <w:bookmarkEnd w:id="0"/>
      <w:r>
        <w:rPr>
          <w:rFonts w:ascii="Aptos" w:hAnsi="Aptos" w:eastAsia="Aptos"/>
        </w:rPr>
        <w:t>FMAT3888 | Q4 &amp; Q5 Pre-Implementation Checkpoint List</w:t>
      </w:r>
    </w:p>
    <w:p w14:paraId="1DAD8A4B">
      <w:pPr>
        <w:pStyle w:val="26"/>
      </w:pPr>
      <w:r>
        <w:rPr>
          <w:rFonts w:ascii="Aptos" w:hAnsi="Aptos" w:eastAsia="Aptos"/>
        </w:rPr>
        <w:t>Based on the original Project Instructions and the agreed Q1–Q3 settings</w:t>
      </w:r>
    </w:p>
    <w:p w14:paraId="3FF3BFCF">
      <w:pPr>
        <w:rPr>
          <w:rFonts w:hint="default" w:eastAsia="宋体"/>
          <w:lang w:val="en-US" w:eastAsia="zh-CN"/>
        </w:rPr>
      </w:pPr>
      <w:r>
        <w:rPr>
          <w:rFonts w:ascii="Aptos" w:hAnsi="Aptos" w:eastAsia="Aptos"/>
        </w:rPr>
        <w:t>Conclusion: Q4 and Q5 can begin in parallel; Q5 does not depend on results from Q4. This document distinguishes the established shared baseline, the independent requirements of each question, and downstream handover interfaces, including dependencies for Q6 and Extension A.</w:t>
      </w:r>
    </w:p>
    <w:p w14:paraId="7A9A638F">
      <w:pPr>
        <w:pStyle w:val="3"/>
      </w:pPr>
      <w:r>
        <w:rPr>
          <w:rFonts w:ascii="Aptos" w:hAnsi="Aptos" w:eastAsia="Aptos"/>
        </w:rPr>
        <w:t>1. Shared Baseline from Q1–Q3 | Adopt directly; no further negotiation required</w:t>
      </w:r>
    </w:p>
    <w:p w14:paraId="6902CFFC">
      <w:pPr>
        <w:ind w:left="187" w:hanging="187"/>
      </w:pPr>
      <w:r>
        <w:rPr>
          <w:rFonts w:ascii="Aptos" w:hAnsi="Aptos" w:eastAsia="Aptos"/>
        </w:rPr>
        <w:t>□ S1 · Common Assets for Q4 / Q5  Use the same nine assets in this fixed order: ASA52, NDDLWI, NDLEEGF, RDAU, FDCIISAH, HEDGNAV, BACM0, H03432AU, BAUBIL (all Index series). Align returns, m, C, portfolio weights and the Growth Vector in this order.</w:t>
      </w:r>
    </w:p>
    <w:p w14:paraId="352A1AF2">
      <w:pPr>
        <w:ind w:left="187" w:hanging="187"/>
      </w:pPr>
      <w:r>
        <w:rPr>
          <w:rFonts w:ascii="Aptos" w:hAnsi="Aptos" w:eastAsia="Aptos"/>
        </w:rPr>
        <w:t>□ S2 · Common Data Conventions for Q4 / Q5  Use the Monthly Month-end Data from Q1 and Simple Returns: Rₜ = Pₜ / Pₜ₋₁ − 1. Q1 Common Sample: 2005-12-30 to 2026-08-31, comprising 249 month-end prices and 248 Monthly Returns (2006-01-31 to 2026-08-31). Do not replace Monthly Data with repeated Daily/Weekly quotations.</w:t>
      </w:r>
    </w:p>
    <w:p w14:paraId="3645D3B6">
      <w:pPr>
        <w:ind w:left="187" w:hanging="187"/>
      </w:pPr>
      <w:r>
        <w:rPr>
          <w:rFonts w:ascii="Aptos" w:hAnsi="Aptos" w:eastAsia="Aptos"/>
        </w:rPr>
        <w:t>□ S3 · Common Estimation Formulas for Q4 / Q5  Monthly Sample Mean = mean(Rₜ); Monthly Sample Covariance = sample_cov(Rₜ, ddof=1). Annualised Mean m = 12 × Monthly Mean; Annualised Covariance C = 12 × Monthly Covariance; Annualised Portfolio Volatility = √(wᵀ C w). Express returns in decimal form. At each T₀, Q5 applies these same rules only to data available by T₀.</w:t>
      </w:r>
    </w:p>
    <w:p w14:paraId="18399F09">
      <w:pPr>
        <w:ind w:left="187" w:hanging="187"/>
      </w:pPr>
      <w:r>
        <w:rPr>
          <w:rFonts w:ascii="Aptos" w:hAnsi="Aptos" w:eastAsia="Aptos"/>
        </w:rPr>
        <w:t>□ S4 · Basic Constraints for Q4 / Q5 (Q2 Baseline)  Fully Invested: Σᵢ wᵢ = 1; No Short Selling / 50% Asset Cap: 0 ≤ wᵢ ≤ 0.50 (i = 1,…,9). Alternative Asset Caps, Short Selling and other cases examined in Q2 are Sensitivity Analyses and must not be treated as the new Baseline by default.</w:t>
      </w:r>
    </w:p>
    <w:p w14:paraId="2096286E">
      <w:pPr>
        <w:ind w:left="187" w:hanging="187"/>
      </w:pPr>
      <w:r>
        <w:rPr>
          <w:rFonts w:ascii="Aptos" w:hAnsi="Aptos" w:eastAsia="Aptos"/>
        </w:rPr>
        <w:t>□ S5 · Q3 SAA Inherited by Q5 Only  Growth Vector: g = (1,1,1,1,1,0.5,0,0,0)ᵀ; Defensive: gᵀw = 0.30; Balanced: gᵀw = 0.70; Aggressive: gᵀw = 0.90. All three are Minimum-Variance SAAs from Q3. Q4 is not required to impose these three Growth Targets.</w:t>
      </w:r>
    </w:p>
    <w:p w14:paraId="3342C771">
      <w:pPr>
        <w:pStyle w:val="3"/>
      </w:pPr>
      <w:r>
        <w:rPr>
          <w:rFonts w:ascii="Aptos" w:hAnsi="Aptos" w:eastAsia="Aptos"/>
        </w:rPr>
        <w:t>2. Q4-specific Requirements | Q4 Can Start Independently</w:t>
      </w:r>
    </w:p>
    <w:p w14:paraId="69CDAE2B">
      <w:pPr>
        <w:ind w:left="187" w:hanging="187"/>
      </w:pPr>
      <w:r>
        <w:rPr>
          <w:rFonts w:ascii="Aptos" w:hAnsi="Aptos" w:eastAsia="Aptos"/>
        </w:rPr>
        <w:t>□ Q4(a) · Mean–Variance Benchmark  Start from Q1 Full-sample m, C and the S4 constraints. For several suitably chosen Risk-aversion Values γ &gt; 0, solve max_w [wᵀm − (γ/2)wᵀCw] and compare Weights, Expected Return and Risk. Use m and C on the same time scale as the one-period return R; if Q1 Annualised Parameters are used, state explicitly what investment period the one-period model represents.</w:t>
      </w:r>
    </w:p>
    <w:p w14:paraId="0D007990">
      <w:pPr>
        <w:ind w:left="187" w:hanging="187"/>
      </w:pPr>
      <w:r>
        <w:rPr>
          <w:rFonts w:ascii="Aptos" w:hAnsi="Aptos" w:eastAsia="Aptos"/>
        </w:rPr>
        <w:t>□ Q4(b) · Numerical Expected Utility  Initial wealth W₀ = 1; W₁ = 1 + wᵀR; Exponential Utility U(W) = −exp(−γW), with R ~ N(m,C). Solve numerically (Monte Carlo may be used) using the same γ, return horizon, m/C and constraints as Q4(a). Compare Accuracy and Computational Performance against the Q4(a) Benchmark.</w:t>
      </w:r>
    </w:p>
    <w:p w14:paraId="2D9BC184">
      <w:pPr>
        <w:ind w:left="187" w:hanging="187"/>
      </w:pPr>
      <w:r>
        <w:rPr>
          <w:rFonts w:ascii="Aptos" w:hAnsi="Aptos" w:eastAsia="Aptos"/>
        </w:rPr>
        <w:t>□ Q4(c) · Historical Bootstrap  Repeatedly re-estimate parameters from Historical Returns and solve the Optimal Portfolio problem in Q4(a). Investigate the Sampling Uncertainty and stability of Optimal Weights. Retain the Bootstrap Weights / Distribution and experimental settings.</w:t>
      </w:r>
    </w:p>
    <w:p w14:paraId="0A6CB1A3">
      <w:pPr>
        <w:ind w:left="216"/>
      </w:pPr>
      <w:r>
        <w:rPr>
          <w:rFonts w:ascii="Aptos" w:hAnsi="Aptos" w:eastAsia="Aptos"/>
        </w:rPr>
        <w:t>Q4 Independent Choices | Values of γ, one-period horizon, Monte Carlo Sample Size, Bootstrap Replications, etc. Q4 does not need to wait for Q5 and is not required to use the same Horizon as Q5.</w:t>
      </w:r>
    </w:p>
    <w:p w14:paraId="1AEBBB48">
      <w:pPr>
        <w:pStyle w:val="3"/>
      </w:pPr>
      <w:r>
        <w:rPr>
          <w:rFonts w:ascii="Aptos" w:hAnsi="Aptos" w:eastAsia="Aptos"/>
        </w:rPr>
        <w:t>3. Q5-specific Requirements | Q5 Can Start Independently</w:t>
      </w:r>
    </w:p>
    <w:p w14:paraId="1C7F2D56">
      <w:pPr>
        <w:ind w:left="187" w:hanging="187"/>
      </w:pPr>
      <w:r>
        <w:rPr>
          <w:rFonts w:ascii="Aptos" w:hAnsi="Aptos" w:eastAsia="Aptos"/>
        </w:rPr>
        <w:t>□ Q5(a) · Historical Re-estimation  Independently choose historical dates T₀ and an Estimation Window. Using only Monthly Returns known at or before each T₀, re-estimate m(T₀) and C(T₀) according to S3. Subject to S4, find a Minimum-Variance Portfolio for each of the three Growth Targets in S5: min_w wᵀC(T₀)w. Do not use Full-sample m/C through 2026-08-31 or Q3 Full-sample Weights as inputs at historical T₀.</w:t>
      </w:r>
    </w:p>
    <w:p w14:paraId="01615F18">
      <w:pPr>
        <w:ind w:left="187" w:hanging="187"/>
      </w:pPr>
      <w:r>
        <w:rPr>
          <w:rFonts w:ascii="Aptos" w:hAnsi="Aptos" w:eastAsia="Aptos"/>
        </w:rPr>
        <w:t>□ Q5(b) · Fixed-Weight OOS Test  For each T₀, hold the three Portfolio Weight vectors obtained at that T₀ fixed throughout the subsequent Out-of-Sample Period. Compare Predicted (Ex-ante) and Realised (OOS) Return / Risk for each strategy. Do not use future information to re-optimise these Fixed Weights during the OOS Period.</w:t>
      </w:r>
    </w:p>
    <w:p w14:paraId="78EC2035">
      <w:pPr>
        <w:ind w:left="187" w:hanging="187"/>
      </w:pPr>
      <w:r>
        <w:rPr>
          <w:rFonts w:ascii="Aptos" w:hAnsi="Aptos" w:eastAsia="Aptos"/>
        </w:rPr>
        <w:t>□ Q5(c) · Repeat Across T₀  Repeat Q5(a)(b) for several choices of T₀. Compare Allocation Stability, OOS Performance and the risk of Look-ahead Bias.</w:t>
      </w:r>
    </w:p>
    <w:p w14:paraId="37E3C620">
      <w:r>
        <w:rPr>
          <w:rFonts w:ascii="Aptos" w:hAnsi="Aptos" w:eastAsia="Aptos"/>
        </w:rPr>
        <w:t>□ Q5 Independent Choices | T₀, Estimation Window, OOS Horizon, number of repetitions and Performance Metrics. Q5 does not need to wait for Q4’s γ, Horizon, Optimal Weights or Bootstrap Results.</w:t>
      </w:r>
    </w:p>
    <w:p w14:paraId="43D79BB9">
      <w:pPr>
        <w:pStyle w:val="3"/>
      </w:pPr>
      <w:r>
        <w:rPr>
          <w:rFonts w:ascii="Aptos" w:hAnsi="Aptos" w:eastAsia="Aptos"/>
        </w:rPr>
        <w:t>4. Downstream Dependencies for Q6 &amp; Extension A | What Must Be Retained</w:t>
      </w:r>
    </w:p>
    <w:p w14:paraId="01B11EF7">
      <w:pPr>
        <w:ind w:left="187" w:hanging="187"/>
      </w:pPr>
      <w:r>
        <w:rPr>
          <w:rFonts w:ascii="Aptos" w:hAnsi="Aptos" w:eastAsia="Aptos"/>
        </w:rPr>
        <w:t>□ D1 · Q5 → Q6 (Explicit Mandatory Dependency)  Q6 must select one of the SAA types from Q3/Q5 and compare its strategy in Q6(c) against the Corresponding Fixed Strategic Allocation from Q5. For each T₀ and each SAA, Q5 must retain: ① Estimation Cut-off / Window and OOS Start/End Dates; ② 9-asset Fixed Weights (in S1 order) and Growth Exposure; ③ m(T₀), C(T₀); ④ OOS Monthly Asset-level Return Matrix, Fixed Portfolio Realised Return Series and Cumulative Wealth; ⑤ Ex-ante / OOS Return-Risk Metrics, calculation conventions, code and parameter configurations. Q6 must use the corresponding SAA and comparable dates for Tactical vs Fixed Benchmark comparisons; returns from different periods must not be compared directly.</w:t>
      </w:r>
    </w:p>
    <w:p w14:paraId="536DB382">
      <w:pPr>
        <w:ind w:left="187" w:hanging="187"/>
      </w:pPr>
      <w:r>
        <w:rPr>
          <w:rFonts w:ascii="Aptos" w:hAnsi="Aptos" w:eastAsia="Aptos"/>
        </w:rPr>
        <w:t>□ D2 · Q4 → Extension A (Reference Interface, Not a Prerequisite)  Q4 must retain: ① Normal Model m/C, Return Horizon, γ, Constraints and Optimal Weights; ② Monte Carlo Settings (Sample Size, Random Seed, Return Distribution) and Numerical Results, plus Portfolio Return Samples if already generated; ③ Historical Bootstrap Sampling Scheme, Replications, Weight Distributions and Sampling Uncertainty; ④ reproducible code. Extension A may refer to this Normal Baseline / Uncertainty Evidence, but its Distribution and VaR/ES analyses still require Q1 Historical Asset Returns. The original instructions do not require the use of Q4 Optimal Weights, and Q4 need not perform additional experiments specifically for Extension A.</w:t>
      </w:r>
    </w:p>
    <w:p w14:paraId="4307E3BE">
      <w:pPr>
        <w:ind w:left="187" w:hanging="187"/>
      </w:pPr>
      <w:r>
        <w:rPr>
          <w:rFonts w:ascii="Aptos" w:hAnsi="Aptos" w:eastAsia="Aptos"/>
        </w:rPr>
        <w:t>□ D3 · Q5 → Extension A (Useful OOS Interface)  Retain the OOS Asset-level Returns, Fixed SAA Weights, Portfolio Return Series, Cumulative Wealth, Dates, Metrics and code specified in D1 for use as an OOS Benchmark / Performance Comparison for the Forecast-based Tactical Strategy. If Extension A uses a different test period, recompute a comparable Benchmark over overlapping dates; do not compare Performance from different periods directly. Q5 does not need to choose an additional Forecast Target for Extension A.</w:t>
      </w:r>
    </w:p>
    <w:p w14:paraId="2B361EF5">
      <w:pPr>
        <w:ind w:left="187" w:hanging="187"/>
      </w:pPr>
      <w:r>
        <w:rPr>
          <w:rFonts w:ascii="Aptos" w:hAnsi="Aptos" w:eastAsia="Aptos"/>
        </w:rPr>
        <w:t>□ D4 · Q6 → Extension A (Methodological Interface to Agree in Advance)  Extension A requires forecasts of a Risk-relevant Quantity (e.g., Expected Returns, Volatility or Correlations), incorporation of the Forecast into the Tactical Strategy, and OOS Evaluation. Before Q6 / Extension A implementation, agree on: ① the Forecast Target and how the Forecast produces or updates mₖ / Cₖ for Tactical Optimisation; ② Rebalancing Dates, Information Cut-off (no future information) and Forecast Horizon; ③ Tactical Constraints, Risk-aversion γ and Benchmark Period; ④ Return/Risk Metrics for comparison with the original Q6 Tactical Strategy and Q5 Fixed SAA over comparable dates. If Forecast Targets differ, specify precisely how each enters Optimisation before Q6 is completed, to avoid reworking the implementation.</w:t>
      </w:r>
    </w:p>
    <w:p w14:paraId="56F2A0A7">
      <w:pPr>
        <w:pStyle w:val="3"/>
      </w:pPr>
      <w:r>
        <w:rPr>
          <w:rFonts w:ascii="Aptos" w:hAnsi="Aptos" w:eastAsia="Aptos"/>
        </w:rPr>
        <w:t>Pre-Start Confirmation | Check Essential Items Only</w:t>
      </w:r>
    </w:p>
    <w:p w14:paraId="6EA4664D">
      <w:r>
        <w:rPr>
          <w:rFonts w:ascii="Aptos" w:hAnsi="Aptos" w:eastAsia="Aptos"/>
        </w:rPr>
        <w:t>□ Q4: Q1 Monthly Data / Full-sample m,C and Q2 Baseline Constraints are available; retain Model, Simulation and Bootstrap Settings / Results and code as specified in D2.</w:t>
      </w:r>
      <w:r>
        <w:rPr>
          <w:rFonts w:ascii="Aptos" w:hAnsi="Aptos" w:eastAsia="Aptos"/>
        </w:rPr>
        <w:br w:type="textWrapping"/>
      </w:r>
      <w:r>
        <w:rPr>
          <w:rFonts w:ascii="Aptos" w:hAnsi="Aptos" w:eastAsia="Aptos"/>
        </w:rPr>
        <w:t>□ Q5: Q1 Monthly Data, Q2 Baseline Constraints and Q3 Growth Vector / SAA Targets are available; retain Parameters, Weights, Asset-level / Portfolio-level OOS Returns, Metrics and code for every T₀ as specified in D1.</w:t>
      </w:r>
      <w:r>
        <w:rPr>
          <w:rFonts w:ascii="Aptos" w:hAnsi="Aptos" w:eastAsia="Aptos"/>
        </w:rPr>
        <w:br w:type="textWrapping"/>
      </w:r>
      <w:r>
        <w:rPr>
          <w:rFonts w:ascii="Aptos" w:hAnsi="Aptos" w:eastAsia="Aptos"/>
        </w:rPr>
        <w:t>□ Q6 / Extension A: Before implementing the Forecast-based Tactical Strategy, agree on the Forecast → mₖ/Cₖ integration and comparable Benchmark Dates as specified in D4. Q4 and Q5 do not need to wait for each other.</w:t>
      </w:r>
    </w:p>
    <w:p w14:paraId="317A004A">
      <w:pPr>
        <w:pStyle w:val="15"/>
      </w:pPr>
      <w:r>
        <w:rPr>
          <w:rFonts w:ascii="Aptos" w:hAnsi="Aptos" w:eastAsia="Aptos"/>
        </w:rPr>
        <w:t>Sources: Project Instructions Q1–Q6 and Extension A; agreed Q1–Q3 project settings. Note: The specific data choices and classifications in S1–S5 are the group’s existing Baseline, not the only choices mandated by the original instructions.</w:t>
      </w:r>
    </w:p>
    <w:sectPr>
      <w:footerReference r:id="rId5" w:type="default"/>
      <w:pgSz w:w="12240" w:h="15840"/>
      <w:pgMar w:top="979" w:right="1181" w:bottom="936"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Noto Sans CJK SC">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8B61A">
    <w:pPr>
      <w:pStyle w:val="24"/>
      <w:jc w:val="center"/>
    </w:pPr>
    <w:r>
      <w:t>FMAT3888 · Q4/Q5 Independent Start &amp; Downstream Handover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6D585C"/>
    <w:rsid w:val="48A169DA"/>
    <w:rsid w:val="67D76FBF"/>
    <w:rsid w:val="6F5861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76" w:lineRule="auto"/>
    </w:pPr>
    <w:rPr>
      <w:rFonts w:ascii="Aptos" w:hAnsi="Aptos" w:eastAsia="Noto Sans CJK SC" w:cstheme="minorBidi"/>
      <w:color w:val="1B2D40"/>
      <w:sz w:val="16"/>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24973"/>
      <w:sz w:val="24"/>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24973"/>
      <w:sz w:val="20"/>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Aptos" w:hAnsi="Aptos"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rPr>
      <w:rFonts w:ascii="Aptos" w:hAnsi="Aptos"/>
    </w:rPr>
  </w:style>
  <w:style w:type="paragraph" w:styleId="13">
    <w:name w:val="List Number 2"/>
    <w:basedOn w:val="1"/>
    <w:unhideWhenUsed/>
    <w:qFormat/>
    <w:uiPriority w:val="99"/>
    <w:pPr>
      <w:numPr>
        <w:ilvl w:val="0"/>
        <w:numId w:val="1"/>
      </w:numPr>
      <w:contextualSpacing/>
    </w:pPr>
    <w:rPr>
      <w:rFonts w:ascii="Aptos" w:hAnsi="Aptos"/>
    </w:rPr>
  </w:style>
  <w:style w:type="paragraph" w:styleId="14">
    <w:name w:val="List Number"/>
    <w:basedOn w:val="1"/>
    <w:unhideWhenUsed/>
    <w:qFormat/>
    <w:uiPriority w:val="99"/>
    <w:pPr>
      <w:numPr>
        <w:ilvl w:val="0"/>
        <w:numId w:val="2"/>
      </w:numPr>
      <w:contextualSpacing/>
    </w:pPr>
    <w:rPr>
      <w:rFonts w:ascii="Aptos" w:hAnsi="Aptos"/>
    </w:rPr>
  </w:style>
  <w:style w:type="paragraph" w:styleId="15">
    <w:name w:val="caption"/>
    <w:basedOn w:val="1"/>
    <w:next w:val="1"/>
    <w:semiHidden/>
    <w:unhideWhenUsed/>
    <w:qFormat/>
    <w:uiPriority w:val="35"/>
    <w:pPr>
      <w:spacing w:line="240" w:lineRule="auto"/>
    </w:pPr>
    <w:rPr>
      <w:rFonts w:ascii="Aptos" w:hAnsi="Aptos"/>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Aptos" w:hAnsi="Aptos"/>
    </w:rPr>
  </w:style>
  <w:style w:type="paragraph" w:styleId="17">
    <w:name w:val="Body Text 3"/>
    <w:basedOn w:val="1"/>
    <w:link w:val="146"/>
    <w:unhideWhenUsed/>
    <w:qFormat/>
    <w:uiPriority w:val="99"/>
    <w:pPr>
      <w:spacing w:after="120"/>
    </w:pPr>
    <w:rPr>
      <w:rFonts w:ascii="Aptos" w:hAnsi="Aptos"/>
      <w:sz w:val="16"/>
      <w:szCs w:val="16"/>
    </w:rPr>
  </w:style>
  <w:style w:type="paragraph" w:styleId="18">
    <w:name w:val="List Bullet 3"/>
    <w:basedOn w:val="1"/>
    <w:unhideWhenUsed/>
    <w:qFormat/>
    <w:uiPriority w:val="99"/>
    <w:pPr>
      <w:numPr>
        <w:ilvl w:val="0"/>
        <w:numId w:val="4"/>
      </w:numPr>
      <w:contextualSpacing/>
    </w:pPr>
    <w:rPr>
      <w:rFonts w:ascii="Aptos" w:hAnsi="Aptos"/>
    </w:rPr>
  </w:style>
  <w:style w:type="paragraph" w:styleId="19">
    <w:name w:val="Body Text"/>
    <w:basedOn w:val="1"/>
    <w:link w:val="144"/>
    <w:unhideWhenUsed/>
    <w:qFormat/>
    <w:uiPriority w:val="99"/>
    <w:pPr>
      <w:spacing w:after="120"/>
    </w:pPr>
    <w:rPr>
      <w:rFonts w:ascii="Aptos" w:hAnsi="Aptos"/>
    </w:rPr>
  </w:style>
  <w:style w:type="paragraph" w:styleId="20">
    <w:name w:val="List Number 3"/>
    <w:basedOn w:val="1"/>
    <w:unhideWhenUsed/>
    <w:qFormat/>
    <w:uiPriority w:val="99"/>
    <w:pPr>
      <w:numPr>
        <w:ilvl w:val="0"/>
        <w:numId w:val="5"/>
      </w:numPr>
      <w:contextualSpacing/>
    </w:pPr>
    <w:rPr>
      <w:rFonts w:ascii="Aptos" w:hAnsi="Aptos"/>
    </w:rPr>
  </w:style>
  <w:style w:type="paragraph" w:styleId="21">
    <w:name w:val="List 2"/>
    <w:basedOn w:val="1"/>
    <w:unhideWhenUsed/>
    <w:qFormat/>
    <w:uiPriority w:val="99"/>
    <w:pPr>
      <w:ind w:left="720" w:hanging="360"/>
      <w:contextualSpacing/>
    </w:pPr>
    <w:rPr>
      <w:rFonts w:ascii="Aptos" w:hAnsi="Aptos"/>
    </w:rPr>
  </w:style>
  <w:style w:type="paragraph" w:styleId="22">
    <w:name w:val="List Continue"/>
    <w:basedOn w:val="1"/>
    <w:unhideWhenUsed/>
    <w:qFormat/>
    <w:uiPriority w:val="99"/>
    <w:pPr>
      <w:spacing w:after="120"/>
      <w:ind w:left="360"/>
      <w:contextualSpacing/>
    </w:pPr>
    <w:rPr>
      <w:rFonts w:ascii="Aptos" w:hAnsi="Aptos"/>
    </w:rPr>
  </w:style>
  <w:style w:type="paragraph" w:styleId="23">
    <w:name w:val="List Bullet 2"/>
    <w:basedOn w:val="1"/>
    <w:unhideWhenUsed/>
    <w:qFormat/>
    <w:uiPriority w:val="99"/>
    <w:pPr>
      <w:numPr>
        <w:ilvl w:val="0"/>
        <w:numId w:val="6"/>
      </w:numPr>
      <w:contextualSpacing/>
    </w:pPr>
    <w:rPr>
      <w:rFonts w:ascii="Aptos" w:hAnsi="Aptos"/>
    </w:rPr>
  </w:style>
  <w:style w:type="paragraph" w:styleId="24">
    <w:name w:val="footer"/>
    <w:basedOn w:val="1"/>
    <w:link w:val="136"/>
    <w:unhideWhenUsed/>
    <w:qFormat/>
    <w:uiPriority w:val="99"/>
    <w:pPr>
      <w:tabs>
        <w:tab w:val="center" w:pos="4680"/>
        <w:tab w:val="right" w:pos="9360"/>
      </w:tabs>
      <w:spacing w:after="0" w:line="240" w:lineRule="auto"/>
    </w:pPr>
    <w:rPr>
      <w:rFonts w:ascii="Aptos" w:hAnsi="Aptos"/>
    </w:rPr>
  </w:style>
  <w:style w:type="paragraph" w:styleId="25">
    <w:name w:val="header"/>
    <w:basedOn w:val="1"/>
    <w:link w:val="135"/>
    <w:unhideWhenUsed/>
    <w:qFormat/>
    <w:uiPriority w:val="99"/>
    <w:pPr>
      <w:tabs>
        <w:tab w:val="center" w:pos="4680"/>
        <w:tab w:val="right" w:pos="9360"/>
      </w:tabs>
      <w:spacing w:after="0" w:line="240" w:lineRule="auto"/>
    </w:pPr>
    <w:rPr>
      <w:rFonts w:ascii="Aptos" w:hAnsi="Aptos"/>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rPr>
      <w:rFonts w:ascii="Aptos" w:hAnsi="Aptos"/>
    </w:rPr>
  </w:style>
  <w:style w:type="paragraph" w:styleId="28">
    <w:name w:val="Body Text 2"/>
    <w:basedOn w:val="1"/>
    <w:link w:val="145"/>
    <w:unhideWhenUsed/>
    <w:qFormat/>
    <w:uiPriority w:val="99"/>
    <w:pPr>
      <w:spacing w:after="120" w:line="480" w:lineRule="auto"/>
    </w:pPr>
    <w:rPr>
      <w:rFonts w:ascii="Aptos" w:hAnsi="Aptos"/>
    </w:rPr>
  </w:style>
  <w:style w:type="paragraph" w:styleId="29">
    <w:name w:val="List Continue 2"/>
    <w:basedOn w:val="1"/>
    <w:unhideWhenUsed/>
    <w:qFormat/>
    <w:uiPriority w:val="99"/>
    <w:pPr>
      <w:spacing w:after="120"/>
      <w:ind w:left="720"/>
      <w:contextualSpacing/>
    </w:pPr>
    <w:rPr>
      <w:rFonts w:ascii="Aptos" w:hAnsi="Aptos"/>
    </w:rPr>
  </w:style>
  <w:style w:type="paragraph" w:styleId="30">
    <w:name w:val="List Continue 3"/>
    <w:basedOn w:val="1"/>
    <w:unhideWhenUsed/>
    <w:qFormat/>
    <w:uiPriority w:val="99"/>
    <w:pPr>
      <w:spacing w:after="120"/>
      <w:ind w:left="1080"/>
      <w:contextualSpacing/>
    </w:pPr>
    <w:rPr>
      <w:rFonts w:ascii="Aptos" w:hAnsi="Aptos"/>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24973"/>
      <w:spacing w:val="5"/>
      <w:kern w:val="28"/>
      <w:sz w:val="3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Aptos" w:hAnsi="Aptos"/>
    </w:r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rFonts w:ascii="Aptos" w:hAnsi="Aptos"/>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Aptos" w:hAnsi="Aptos"/>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rPr>
      <w:rFonts w:ascii="Aptos" w:hAnsi="Apto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1279</Words>
  <Characters>6802</Characters>
  <Lines>0</Lines>
  <Paragraphs>0</Paragraphs>
  <TotalTime>1</TotalTime>
  <ScaleCrop>false</ScaleCrop>
  <LinksUpToDate>false</LinksUpToDate>
  <CharactersWithSpaces>8067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市朝客</cp:lastModifiedBy>
  <dcterms:modified xsi:type="dcterms:W3CDTF">2026-10-11T04:55:38Z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eyJoZGlkIjoiNDIwMmRiYTQ2MjY2ZWM4MjY0Zjc2Y2M3MWU3NzVjNDQiLCJ1c2VySWQiOiI3MjE4MzY4ODcifQ==</vt:lpwstr>
  </property>
  <property fmtid="{D5CDD505-2E9C-101B-9397-08002B2CF9AE}" pid="3" name="KSOProductBuildVer">
    <vt:lpwstr>2052-12.1.0.28505</vt:lpwstr>
  </property>
  <property fmtid="{D5CDD505-2E9C-101B-9397-08002B2CF9AE}" pid="4" name="ICV">
    <vt:lpwstr>D2ED97F7928A491991BB18B67E8176CE_13</vt:lpwstr>
  </property>
</Properties>
</file>