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A6700" w:rsidRDefault="00D50A39">
      <w:pPr>
        <w:spacing w:before="0" w:after="0"/>
        <w:jc w:val="center"/>
        <w:rPr>
          <w:rFonts w:ascii="Arial" w:eastAsia="Arial" w:hAnsi="Arial" w:cs="Arial"/>
          <w:b/>
          <w:sz w:val="36"/>
          <w:szCs w:val="36"/>
        </w:rPr>
      </w:pPr>
      <w:r>
        <w:rPr>
          <w:rFonts w:ascii="Arial" w:eastAsia="Arial" w:hAnsi="Arial" w:cs="Arial"/>
          <w:b/>
          <w:sz w:val="36"/>
          <w:szCs w:val="36"/>
        </w:rPr>
        <w:t>General Services Administration</w:t>
      </w:r>
    </w:p>
    <w:p w14:paraId="00000002" w14:textId="77777777" w:rsidR="006A6700" w:rsidRDefault="00D50A39">
      <w:pPr>
        <w:spacing w:before="0" w:after="0"/>
        <w:jc w:val="center"/>
        <w:rPr>
          <w:rFonts w:ascii="Arial" w:eastAsia="Arial" w:hAnsi="Arial" w:cs="Arial"/>
          <w:sz w:val="32"/>
          <w:szCs w:val="32"/>
        </w:rPr>
      </w:pPr>
      <w:r>
        <w:rPr>
          <w:rFonts w:ascii="Arial" w:eastAsia="Arial" w:hAnsi="Arial" w:cs="Arial"/>
          <w:sz w:val="36"/>
          <w:szCs w:val="36"/>
        </w:rPr>
        <w:t>Federal Acquisition Service</w:t>
      </w:r>
      <w:r>
        <w:rPr>
          <w:rFonts w:ascii="Arial" w:eastAsia="Arial" w:hAnsi="Arial" w:cs="Arial"/>
        </w:rPr>
        <w:br/>
      </w:r>
      <w:r>
        <w:rPr>
          <w:rFonts w:ascii="Arial" w:eastAsia="Arial" w:hAnsi="Arial" w:cs="Arial"/>
          <w:sz w:val="32"/>
          <w:szCs w:val="32"/>
        </w:rPr>
        <w:t>Technology Transformation Services</w:t>
      </w:r>
    </w:p>
    <w:p w14:paraId="00000003" w14:textId="77777777" w:rsidR="006A6700" w:rsidRDefault="00D50A39">
      <w:pPr>
        <w:spacing w:before="0" w:after="0"/>
        <w:jc w:val="center"/>
        <w:rPr>
          <w:rFonts w:ascii="Arial" w:eastAsia="Arial" w:hAnsi="Arial" w:cs="Arial"/>
        </w:rPr>
      </w:pPr>
      <w:r>
        <w:rPr>
          <w:rFonts w:ascii="Arial" w:eastAsia="Arial" w:hAnsi="Arial" w:cs="Arial"/>
          <w:color w:val="006DB6"/>
          <w:highlight w:val="white"/>
        </w:rPr>
        <w:t>1800 F St NW | Washington, DC | 20405</w:t>
      </w:r>
    </w:p>
    <w:p w14:paraId="00000004" w14:textId="77777777" w:rsidR="006A6700" w:rsidRDefault="006A6700">
      <w:pPr>
        <w:spacing w:before="0" w:after="0"/>
        <w:rPr>
          <w:rFonts w:ascii="Arial" w:eastAsia="Arial" w:hAnsi="Arial" w:cs="Arial"/>
        </w:rPr>
      </w:pPr>
    </w:p>
    <w:p w14:paraId="00000005" w14:textId="77777777" w:rsidR="006A6700" w:rsidRDefault="00D50A39">
      <w:pPr>
        <w:pStyle w:val="Title"/>
        <w:widowControl w:val="0"/>
        <w:spacing w:before="0" w:after="0"/>
        <w:jc w:val="center"/>
        <w:rPr>
          <w:rFonts w:ascii="Arial" w:eastAsia="Arial" w:hAnsi="Arial" w:cs="Arial"/>
        </w:rPr>
      </w:pPr>
      <w:bookmarkStart w:id="0" w:name="_oa9hb8tntuld" w:colFirst="0" w:colLast="0"/>
      <w:bookmarkEnd w:id="0"/>
      <w:r>
        <w:rPr>
          <w:sz w:val="24"/>
          <w:szCs w:val="24"/>
        </w:rPr>
        <w:t>Office of Head Start Training and Technical Assistance Data Platform</w:t>
      </w:r>
    </w:p>
    <w:p w14:paraId="00000006" w14:textId="77777777" w:rsidR="006A6700" w:rsidRDefault="006A6700">
      <w:pPr>
        <w:pStyle w:val="Subtitle"/>
        <w:spacing w:after="0" w:line="240" w:lineRule="auto"/>
        <w:jc w:val="center"/>
      </w:pPr>
      <w:bookmarkStart w:id="1" w:name="_iyg2mkq8pltz" w:colFirst="0" w:colLast="0"/>
      <w:bookmarkEnd w:id="1"/>
    </w:p>
    <w:p w14:paraId="00000007" w14:textId="77777777" w:rsidR="006A6700" w:rsidRDefault="00D50A39">
      <w:pPr>
        <w:pStyle w:val="Title"/>
        <w:spacing w:before="0" w:after="0"/>
        <w:jc w:val="center"/>
        <w:rPr>
          <w:sz w:val="72"/>
          <w:szCs w:val="72"/>
        </w:rPr>
      </w:pPr>
      <w:bookmarkStart w:id="2" w:name="_gjdgxs" w:colFirst="0" w:colLast="0"/>
      <w:bookmarkEnd w:id="2"/>
      <w:r>
        <w:rPr>
          <w:sz w:val="72"/>
          <w:szCs w:val="72"/>
        </w:rPr>
        <w:t>Appendix 5 - Potential Organizational Conflict of Interest Statement</w:t>
      </w:r>
    </w:p>
    <w:p w14:paraId="00000008" w14:textId="28569356" w:rsidR="006A6700" w:rsidRDefault="00D50A39">
      <w:pPr>
        <w:pStyle w:val="Subtitle"/>
        <w:spacing w:after="0"/>
        <w:jc w:val="center"/>
      </w:pPr>
      <w:bookmarkStart w:id="3" w:name="_g498g4q3js7z" w:colFirst="0" w:colLast="0"/>
      <w:bookmarkEnd w:id="3"/>
      <w:r>
        <w:t>Solicitation Number - RFQ</w:t>
      </w:r>
      <w:r w:rsidR="009565AD">
        <w:t>OHS</w:t>
      </w:r>
      <w:bookmarkStart w:id="4" w:name="_GoBack"/>
      <w:bookmarkEnd w:id="4"/>
    </w:p>
    <w:p w14:paraId="00000009" w14:textId="77777777" w:rsidR="006A6700" w:rsidRDefault="006A6700">
      <w:pPr>
        <w:pStyle w:val="Subtitle"/>
        <w:spacing w:after="0"/>
        <w:jc w:val="center"/>
      </w:pPr>
      <w:bookmarkStart w:id="5" w:name="_arejd8z3e632" w:colFirst="0" w:colLast="0"/>
      <w:bookmarkEnd w:id="5"/>
    </w:p>
    <w:p w14:paraId="0000000A" w14:textId="77777777" w:rsidR="006A6700" w:rsidRDefault="006A6700">
      <w:pPr>
        <w:spacing w:before="0" w:after="0"/>
        <w:rPr>
          <w:rFonts w:ascii="Calibri" w:eastAsia="Calibri" w:hAnsi="Calibri" w:cs="Calibri"/>
          <w:b/>
        </w:rPr>
      </w:pPr>
    </w:p>
    <w:p w14:paraId="0000000B" w14:textId="77777777" w:rsidR="006A6700" w:rsidRDefault="00D50A39">
      <w:pPr>
        <w:spacing w:before="0" w:after="0"/>
      </w:pPr>
      <w:r>
        <w:t>1. The prospective Contractor certifies, to the best of its knowledge and belief, that it is not aware of any information bearing on the existence of any potential organizational conflict of interest. If the prospective Contractor cannot so certify, it shall provide a disclosure statement in its proposal which describes all relevant information concerning any past, present, or planned interests bearing on whether it (including its chief executives and directors, or any proposed consultant or subcontractor) may have a potential organizational conflict of interest.</w:t>
      </w:r>
    </w:p>
    <w:p w14:paraId="0000000C" w14:textId="77777777" w:rsidR="006A6700" w:rsidRDefault="006A6700">
      <w:pPr>
        <w:spacing w:before="0" w:after="0"/>
      </w:pPr>
    </w:p>
    <w:p w14:paraId="0000000D" w14:textId="77777777" w:rsidR="006A6700" w:rsidRDefault="00D50A39">
      <w:pPr>
        <w:spacing w:before="0" w:after="0"/>
      </w:pPr>
      <w:r>
        <w:t>2. Prospective Contractors should refer to FAR Subpart 9.5 and GSAM Part 509 for policies and procedures for avoiding, neutralizing, or mitigating organizational conflicts of interest.</w:t>
      </w:r>
    </w:p>
    <w:p w14:paraId="0000000E" w14:textId="77777777" w:rsidR="006A6700" w:rsidRDefault="006A6700">
      <w:pPr>
        <w:spacing w:before="0" w:after="0"/>
      </w:pPr>
    </w:p>
    <w:p w14:paraId="0000000F" w14:textId="77777777" w:rsidR="006A6700" w:rsidRDefault="00D50A39">
      <w:pPr>
        <w:spacing w:before="0" w:after="0"/>
        <w:rPr>
          <w:b/>
        </w:rPr>
      </w:pPr>
      <w:r>
        <w:t>3. If the Contracting Officer determines that a potential conflict exists, the prospective Contractor shall not receive an award unless the conflict can be avoided or otherwise resolved through the inclusion of a special contract clause or other appropriate means. The terms of any special clause are subject to negotiation.</w:t>
      </w:r>
    </w:p>
    <w:p w14:paraId="00000010" w14:textId="77777777" w:rsidR="006A6700" w:rsidRDefault="006A6700">
      <w:pPr>
        <w:spacing w:before="0" w:after="0"/>
        <w:ind w:left="360"/>
        <w:rPr>
          <w:b/>
        </w:rPr>
      </w:pPr>
    </w:p>
    <w:p w14:paraId="00000011" w14:textId="77777777" w:rsidR="006A6700" w:rsidRDefault="006A6700">
      <w:pPr>
        <w:spacing w:before="0" w:after="0"/>
        <w:ind w:left="360"/>
        <w:rPr>
          <w:b/>
        </w:rPr>
      </w:pPr>
    </w:p>
    <w:p w14:paraId="00000012" w14:textId="77777777" w:rsidR="006A6700" w:rsidRDefault="006A6700">
      <w:pPr>
        <w:spacing w:before="0" w:after="0"/>
        <w:ind w:left="360"/>
        <w:rPr>
          <w:b/>
        </w:rPr>
      </w:pPr>
    </w:p>
    <w:p w14:paraId="00000013" w14:textId="77777777" w:rsidR="006A6700" w:rsidRDefault="00D50A39">
      <w:pPr>
        <w:spacing w:before="0" w:after="0"/>
        <w:ind w:left="360"/>
        <w:rPr>
          <w:b/>
        </w:rPr>
      </w:pPr>
      <w:r>
        <w:rPr>
          <w:b/>
        </w:rPr>
        <w:t>The offeror certifies to the following:</w:t>
      </w:r>
    </w:p>
    <w:p w14:paraId="00000014" w14:textId="77777777" w:rsidR="006A6700" w:rsidRDefault="006A6700">
      <w:pPr>
        <w:spacing w:before="0" w:after="0"/>
        <w:ind w:left="360"/>
      </w:pPr>
    </w:p>
    <w:p w14:paraId="00000015" w14:textId="77777777" w:rsidR="006A6700" w:rsidRDefault="00D50A39">
      <w:pPr>
        <w:spacing w:before="0" w:after="0"/>
        <w:ind w:left="360"/>
      </w:pPr>
      <w:r>
        <w:t xml:space="preserve">The offeror [  ] is [  ] is not aware of any information bearing on the existence of any actual or potential organizational conflict of interest.  If the offeror is aware of information bearing </w:t>
      </w:r>
      <w:r>
        <w:lastRenderedPageBreak/>
        <w:t>on whether an actual or potential conflict may exist, the offeror shall provide a disclosure statement describing this information. Such disclosure statement shall be attached to this document</w:t>
      </w:r>
    </w:p>
    <w:p w14:paraId="00000016" w14:textId="77777777" w:rsidR="006A6700" w:rsidRDefault="006A6700">
      <w:pPr>
        <w:spacing w:before="0" w:after="0"/>
        <w:ind w:left="360"/>
      </w:pPr>
    </w:p>
    <w:p w14:paraId="00000017" w14:textId="77777777" w:rsidR="006A6700" w:rsidRDefault="00D50A39">
      <w:pPr>
        <w:spacing w:before="0" w:after="0"/>
        <w:ind w:left="360"/>
      </w:pPr>
      <w:r>
        <w:t xml:space="preserve">NOTE: If specific Conflicts of Interests (COI’s) have been identified in the above COI Declaration, offerors must include </w:t>
      </w:r>
      <w:proofErr w:type="gramStart"/>
      <w:r>
        <w:t>a</w:t>
      </w:r>
      <w:proofErr w:type="gramEnd"/>
      <w:r>
        <w:t xml:space="preserve"> OCI Mitigation Plan where specific measures will be proposed in order to avoid, mitigate, or neutralize COI’s.</w:t>
      </w:r>
    </w:p>
    <w:sectPr w:rsidR="006A6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A6700"/>
    <w:rsid w:val="006A6700"/>
    <w:rsid w:val="009565AD"/>
    <w:rsid w:val="00D5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333333"/>
        <w:sz w:val="24"/>
        <w:szCs w:val="24"/>
        <w:lang w:val="en" w:eastAsia="en-US" w:bidi="ar-SA"/>
      </w:rPr>
    </w:rPrDefault>
    <w:pPrDefault>
      <w:pPr>
        <w:spacing w:before="100" w:after="3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0"/>
      <w:outlineLvl w:val="0"/>
    </w:pPr>
    <w:rPr>
      <w:b/>
      <w:color w:val="046B99"/>
      <w:sz w:val="48"/>
      <w:szCs w:val="48"/>
    </w:rPr>
  </w:style>
  <w:style w:type="paragraph" w:styleId="Heading2">
    <w:name w:val="heading 2"/>
    <w:basedOn w:val="Normal"/>
    <w:next w:val="Normal"/>
    <w:pPr>
      <w:keepNext/>
      <w:keepLines/>
      <w:spacing w:before="500" w:after="100"/>
      <w:outlineLvl w:val="1"/>
    </w:pPr>
    <w:rPr>
      <w:b/>
      <w:color w:val="000000"/>
      <w:sz w:val="36"/>
      <w:szCs w:val="36"/>
      <w:highlight w:val="white"/>
    </w:rPr>
  </w:style>
  <w:style w:type="paragraph" w:styleId="Heading3">
    <w:name w:val="heading 3"/>
    <w:basedOn w:val="Normal"/>
    <w:next w:val="Normal"/>
    <w:pPr>
      <w:keepNext/>
      <w:keepLines/>
      <w:spacing w:before="200" w:after="280"/>
      <w:outlineLvl w:val="2"/>
    </w:pPr>
    <w:rPr>
      <w:color w:val="222222"/>
      <w:sz w:val="28"/>
      <w:szCs w:val="28"/>
    </w:rPr>
  </w:style>
  <w:style w:type="paragraph" w:styleId="Heading4">
    <w:name w:val="heading 4"/>
    <w:basedOn w:val="Normal"/>
    <w:next w:val="Normal"/>
    <w:pPr>
      <w:keepNext/>
      <w:keepLines/>
      <w:spacing w:after="200"/>
      <w:outlineLvl w:val="3"/>
    </w:pPr>
    <w:rPr>
      <w:b/>
      <w:color w:val="444444"/>
    </w:rPr>
  </w:style>
  <w:style w:type="paragraph" w:styleId="Heading5">
    <w:name w:val="heading 5"/>
    <w:basedOn w:val="Normal"/>
    <w:next w:val="Normal"/>
    <w:pPr>
      <w:keepNext/>
      <w:keepLines/>
      <w:ind w:left="15"/>
      <w:outlineLvl w:val="4"/>
    </w:pPr>
    <w:rPr>
      <w:b/>
      <w:color w:val="046B99"/>
    </w:rPr>
  </w:style>
  <w:style w:type="paragraph" w:styleId="Heading6">
    <w:name w:val="heading 6"/>
    <w:basedOn w:val="Normal"/>
    <w:next w:val="Normal"/>
    <w:pPr>
      <w:keepNext/>
      <w:keepLines/>
      <w:spacing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00" w:after="200" w:line="240" w:lineRule="auto"/>
    </w:pPr>
    <w:rPr>
      <w:b/>
      <w:color w:val="1C304A"/>
      <w:sz w:val="96"/>
      <w:szCs w:val="96"/>
      <w:highlight w:val="white"/>
    </w:rPr>
  </w:style>
  <w:style w:type="paragraph" w:styleId="Subtitle">
    <w:name w:val="Subtitle"/>
    <w:basedOn w:val="Normal"/>
    <w:next w:val="Normal"/>
    <w:pPr>
      <w:keepNext/>
      <w:keepLines/>
      <w:spacing w:before="0"/>
    </w:pPr>
    <w:rPr>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333333"/>
        <w:sz w:val="24"/>
        <w:szCs w:val="24"/>
        <w:lang w:val="en" w:eastAsia="en-US" w:bidi="ar-SA"/>
      </w:rPr>
    </w:rPrDefault>
    <w:pPrDefault>
      <w:pPr>
        <w:spacing w:before="100" w:after="3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0"/>
      <w:outlineLvl w:val="0"/>
    </w:pPr>
    <w:rPr>
      <w:b/>
      <w:color w:val="046B99"/>
      <w:sz w:val="48"/>
      <w:szCs w:val="48"/>
    </w:rPr>
  </w:style>
  <w:style w:type="paragraph" w:styleId="Heading2">
    <w:name w:val="heading 2"/>
    <w:basedOn w:val="Normal"/>
    <w:next w:val="Normal"/>
    <w:pPr>
      <w:keepNext/>
      <w:keepLines/>
      <w:spacing w:before="500" w:after="100"/>
      <w:outlineLvl w:val="1"/>
    </w:pPr>
    <w:rPr>
      <w:b/>
      <w:color w:val="000000"/>
      <w:sz w:val="36"/>
      <w:szCs w:val="36"/>
      <w:highlight w:val="white"/>
    </w:rPr>
  </w:style>
  <w:style w:type="paragraph" w:styleId="Heading3">
    <w:name w:val="heading 3"/>
    <w:basedOn w:val="Normal"/>
    <w:next w:val="Normal"/>
    <w:pPr>
      <w:keepNext/>
      <w:keepLines/>
      <w:spacing w:before="200" w:after="280"/>
      <w:outlineLvl w:val="2"/>
    </w:pPr>
    <w:rPr>
      <w:color w:val="222222"/>
      <w:sz w:val="28"/>
      <w:szCs w:val="28"/>
    </w:rPr>
  </w:style>
  <w:style w:type="paragraph" w:styleId="Heading4">
    <w:name w:val="heading 4"/>
    <w:basedOn w:val="Normal"/>
    <w:next w:val="Normal"/>
    <w:pPr>
      <w:keepNext/>
      <w:keepLines/>
      <w:spacing w:after="200"/>
      <w:outlineLvl w:val="3"/>
    </w:pPr>
    <w:rPr>
      <w:b/>
      <w:color w:val="444444"/>
    </w:rPr>
  </w:style>
  <w:style w:type="paragraph" w:styleId="Heading5">
    <w:name w:val="heading 5"/>
    <w:basedOn w:val="Normal"/>
    <w:next w:val="Normal"/>
    <w:pPr>
      <w:keepNext/>
      <w:keepLines/>
      <w:ind w:left="15"/>
      <w:outlineLvl w:val="4"/>
    </w:pPr>
    <w:rPr>
      <w:b/>
      <w:color w:val="046B99"/>
    </w:rPr>
  </w:style>
  <w:style w:type="paragraph" w:styleId="Heading6">
    <w:name w:val="heading 6"/>
    <w:basedOn w:val="Normal"/>
    <w:next w:val="Normal"/>
    <w:pPr>
      <w:keepNext/>
      <w:keepLines/>
      <w:spacing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00" w:after="200" w:line="240" w:lineRule="auto"/>
    </w:pPr>
    <w:rPr>
      <w:b/>
      <w:color w:val="1C304A"/>
      <w:sz w:val="96"/>
      <w:szCs w:val="96"/>
      <w:highlight w:val="white"/>
    </w:rPr>
  </w:style>
  <w:style w:type="paragraph" w:styleId="Subtitle">
    <w:name w:val="Subtitle"/>
    <w:basedOn w:val="Normal"/>
    <w:next w:val="Normal"/>
    <w:pPr>
      <w:keepNext/>
      <w:keepLines/>
      <w:spacing w:before="0"/>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BrianTBurns</dc:creator>
  <cp:lastModifiedBy>BrianTBurns</cp:lastModifiedBy>
  <cp:revision>3</cp:revision>
  <dcterms:created xsi:type="dcterms:W3CDTF">2020-04-06T20:37:00Z</dcterms:created>
  <dcterms:modified xsi:type="dcterms:W3CDTF">2020-04-27T20:50:00Z</dcterms:modified>
</cp:coreProperties>
</file>