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32510" w:rsidRDefault="00E95B15">
      <w:pPr>
        <w:spacing w:before="0" w:after="0"/>
        <w:jc w:val="center"/>
        <w:rPr>
          <w:rFonts w:ascii="Arial" w:eastAsia="Arial" w:hAnsi="Arial" w:cs="Arial"/>
          <w:b/>
          <w:sz w:val="36"/>
          <w:szCs w:val="36"/>
        </w:rPr>
      </w:pPr>
      <w:bookmarkStart w:id="0" w:name="_GoBack"/>
      <w:bookmarkEnd w:id="0"/>
      <w:r>
        <w:rPr>
          <w:rFonts w:ascii="Arial" w:eastAsia="Arial" w:hAnsi="Arial" w:cs="Arial"/>
          <w:b/>
          <w:sz w:val="36"/>
          <w:szCs w:val="36"/>
        </w:rPr>
        <w:t>General Services Administration</w:t>
      </w:r>
    </w:p>
    <w:p w14:paraId="00000002" w14:textId="77777777" w:rsidR="00732510" w:rsidRDefault="00E95B15">
      <w:pPr>
        <w:spacing w:before="0"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6"/>
          <w:szCs w:val="36"/>
        </w:rPr>
        <w:t>Federal Acquisition Service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sz w:val="32"/>
          <w:szCs w:val="32"/>
        </w:rPr>
        <w:t>Technology Transformation Services</w:t>
      </w:r>
    </w:p>
    <w:p w14:paraId="00000003" w14:textId="77777777" w:rsidR="00732510" w:rsidRDefault="00E95B15">
      <w:pPr>
        <w:spacing w:before="0"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6DB6"/>
          <w:highlight w:val="white"/>
        </w:rPr>
        <w:t>1800 F St NW | Washington, DC | 20405</w:t>
      </w:r>
    </w:p>
    <w:p w14:paraId="00000004" w14:textId="77777777" w:rsidR="00732510" w:rsidRDefault="00732510">
      <w:pPr>
        <w:pStyle w:val="Subtitle"/>
        <w:spacing w:after="0"/>
        <w:rPr>
          <w:rFonts w:ascii="Arial" w:eastAsia="Arial" w:hAnsi="Arial" w:cs="Arial"/>
        </w:rPr>
      </w:pPr>
      <w:bookmarkStart w:id="1" w:name="_gvcik1qaa8tn" w:colFirst="0" w:colLast="0"/>
      <w:bookmarkEnd w:id="1"/>
    </w:p>
    <w:p w14:paraId="00000005" w14:textId="77777777" w:rsidR="00732510" w:rsidRDefault="00E95B15">
      <w:pPr>
        <w:pStyle w:val="Title"/>
        <w:widowControl w:val="0"/>
        <w:spacing w:before="0" w:after="0"/>
        <w:jc w:val="center"/>
      </w:pPr>
      <w:bookmarkStart w:id="2" w:name="_1nb0h5adifao" w:colFirst="0" w:colLast="0"/>
      <w:bookmarkEnd w:id="2"/>
      <w:r>
        <w:rPr>
          <w:sz w:val="24"/>
          <w:szCs w:val="24"/>
        </w:rPr>
        <w:t>Office of Head Start Training and Technical Assistance Data Platform</w:t>
      </w:r>
    </w:p>
    <w:p w14:paraId="00000006" w14:textId="77777777" w:rsidR="00732510" w:rsidRDefault="00E95B15">
      <w:pPr>
        <w:pStyle w:val="Title"/>
        <w:spacing w:before="0" w:after="0"/>
        <w:jc w:val="center"/>
        <w:rPr>
          <w:sz w:val="72"/>
          <w:szCs w:val="72"/>
        </w:rPr>
      </w:pPr>
      <w:bookmarkStart w:id="3" w:name="_gjdgxs" w:colFirst="0" w:colLast="0"/>
      <w:bookmarkEnd w:id="3"/>
      <w:r>
        <w:rPr>
          <w:sz w:val="72"/>
          <w:szCs w:val="72"/>
        </w:rPr>
        <w:t>Appendix 6</w:t>
      </w:r>
    </w:p>
    <w:p w14:paraId="00000007" w14:textId="77777777" w:rsidR="00732510" w:rsidRDefault="00E95B15">
      <w:pPr>
        <w:pStyle w:val="Title"/>
        <w:spacing w:before="0" w:after="0"/>
        <w:jc w:val="center"/>
        <w:rPr>
          <w:sz w:val="72"/>
          <w:szCs w:val="72"/>
        </w:rPr>
      </w:pPr>
      <w:bookmarkStart w:id="4" w:name="_dm2wkrbrr5ku" w:colFirst="0" w:colLast="0"/>
      <w:bookmarkEnd w:id="4"/>
      <w:r>
        <w:rPr>
          <w:sz w:val="72"/>
          <w:szCs w:val="72"/>
        </w:rPr>
        <w:t>FAR Provision 52.204-24</w:t>
      </w:r>
    </w:p>
    <w:p w14:paraId="00000008" w14:textId="77777777" w:rsidR="00732510" w:rsidRDefault="00732510">
      <w:pPr>
        <w:pStyle w:val="Subtitle"/>
        <w:spacing w:after="0"/>
        <w:jc w:val="center"/>
      </w:pPr>
      <w:bookmarkStart w:id="5" w:name="_g498g4q3js7z" w:colFirst="0" w:colLast="0"/>
      <w:bookmarkEnd w:id="5"/>
    </w:p>
    <w:p w14:paraId="00000009" w14:textId="77777777" w:rsidR="00732510" w:rsidRDefault="00E95B15">
      <w:pPr>
        <w:pStyle w:val="Subtitle"/>
        <w:spacing w:after="0"/>
        <w:jc w:val="center"/>
      </w:pPr>
      <w:bookmarkStart w:id="6" w:name="_ut5viula7v77" w:colFirst="0" w:colLast="0"/>
      <w:bookmarkEnd w:id="6"/>
      <w:r>
        <w:t>Solicitation Number: RFQOHS</w:t>
      </w:r>
    </w:p>
    <w:p w14:paraId="0000000A" w14:textId="77777777" w:rsidR="00732510" w:rsidRDefault="00732510">
      <w:pPr>
        <w:pStyle w:val="Subtitle"/>
        <w:spacing w:after="0"/>
        <w:jc w:val="center"/>
      </w:pPr>
      <w:bookmarkStart w:id="7" w:name="_arejd8z3e632" w:colFirst="0" w:colLast="0"/>
      <w:bookmarkEnd w:id="7"/>
    </w:p>
    <w:p w14:paraId="0000000B" w14:textId="77777777" w:rsidR="00732510" w:rsidRDefault="00732510"/>
    <w:p w14:paraId="0000000C" w14:textId="77777777" w:rsidR="00732510" w:rsidRDefault="00E95B15">
      <w:pPr>
        <w:rPr>
          <w:b/>
        </w:rPr>
      </w:pPr>
      <w:r>
        <w:rPr>
          <w:b/>
        </w:rPr>
        <w:t>INSTRUCTIONS: Please complete the highlighted areas below.</w:t>
      </w:r>
    </w:p>
    <w:p w14:paraId="0000000D" w14:textId="77777777" w:rsidR="00732510" w:rsidRDefault="00E95B15">
      <w:pPr>
        <w:shd w:val="clear" w:color="auto" w:fill="FFFFFF"/>
        <w:spacing w:before="220" w:after="220"/>
        <w:jc w:val="center"/>
        <w:rPr>
          <w:b/>
          <w:u w:val="single"/>
        </w:rPr>
      </w:pPr>
      <w:r>
        <w:rPr>
          <w:b/>
          <w:u w:val="single"/>
        </w:rPr>
        <w:t>Representation Regarding Certain Telecommunications and Video Surveillance Services or Equipment (Aug 2019)</w:t>
      </w:r>
    </w:p>
    <w:p w14:paraId="0000000E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(a) </w:t>
      </w:r>
      <w:r>
        <w:rPr>
          <w:i/>
        </w:rPr>
        <w:t>Definitions.</w:t>
      </w:r>
      <w:r>
        <w:t xml:space="preserve"> As used in this provision—</w:t>
      </w:r>
    </w:p>
    <w:p w14:paraId="0000000F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“Cov</w:t>
      </w:r>
      <w:r>
        <w:t xml:space="preserve">ered telecommunications equipment or services”, “Critical technology”, and “Substantial or essential component” have the meanings provided in clause </w:t>
      </w:r>
      <w:hyperlink r:id="rId5" w:anchor="unique_1301136027">
        <w:r>
          <w:rPr>
            <w:color w:val="1062AE"/>
            <w:u w:val="single"/>
          </w:rPr>
          <w:t>52.204-25</w:t>
        </w:r>
      </w:hyperlink>
      <w:r>
        <w:t>, Prohibition on Contracting for Certain Telecommunications and Video Surveillance Services or Equipment.</w:t>
      </w:r>
    </w:p>
    <w:p w14:paraId="00000010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(b) </w:t>
      </w:r>
      <w:r>
        <w:rPr>
          <w:i/>
        </w:rPr>
        <w:t>Prohibition</w:t>
      </w:r>
      <w:r>
        <w:t>. Section 889(a</w:t>
      </w:r>
      <w:proofErr w:type="gramStart"/>
      <w:r>
        <w:t>)(</w:t>
      </w:r>
      <w:proofErr w:type="gramEnd"/>
      <w:r>
        <w:t>1)(A) of the John S. McCain National Defense Authorization Act for Fiscal Year 2019 (Pub. L. 115-232) prohibits the head of an executive agency on or after August 13, 2019, from procuring or obtaining, or extending or renewing a contract t</w:t>
      </w:r>
      <w:r>
        <w:t>o procure or obtain, any equipment, system, or service that uses covered telecommunications equipment or services as a substantial or essential component of any system, or as critical technology as part of any system. Contractors are not prohibited from pr</w:t>
      </w:r>
      <w:r>
        <w:t>oviding—</w:t>
      </w:r>
    </w:p>
    <w:p w14:paraId="00000011" w14:textId="77777777" w:rsidR="00732510" w:rsidRDefault="00E95B15">
      <w:pPr>
        <w:shd w:val="clear" w:color="auto" w:fill="FFFFFF"/>
        <w:spacing w:before="220" w:after="220"/>
        <w:ind w:firstLine="280"/>
      </w:pPr>
      <w:r>
        <w:lastRenderedPageBreak/>
        <w:t xml:space="preserve">           (1) A service that connects to the facilities of a third-party, such as backhaul, roaming, or interconnection arrangements; or</w:t>
      </w:r>
    </w:p>
    <w:p w14:paraId="00000012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     (2) Telecommunications equipment that cannot route or redirect user data traffic or permit visibil</w:t>
      </w:r>
      <w:r>
        <w:t>ity into any user data or packets that such equipment transmits or otherwise handles.</w:t>
      </w:r>
    </w:p>
    <w:p w14:paraId="00000013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(c) </w:t>
      </w:r>
      <w:r>
        <w:rPr>
          <w:i/>
        </w:rPr>
        <w:t>Representation.</w:t>
      </w:r>
      <w:r>
        <w:t xml:space="preserve"> The Offeror represents that—</w:t>
      </w:r>
    </w:p>
    <w:p w14:paraId="00000014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It </w:t>
      </w:r>
      <w:r>
        <w:rPr>
          <w:highlight w:val="yellow"/>
        </w:rPr>
        <w:t>___</w:t>
      </w:r>
      <w:r>
        <w:t xml:space="preserve"> will, </w:t>
      </w:r>
      <w:r>
        <w:rPr>
          <w:highlight w:val="yellow"/>
        </w:rPr>
        <w:t>____</w:t>
      </w:r>
      <w:r>
        <w:t xml:space="preserve"> will not provide covered telecommunications equipment or services to the Government in the p</w:t>
      </w:r>
      <w:r>
        <w:t>erformance of any contract, subcontract or other contractual instrument resulting from this solicitation.</w:t>
      </w:r>
    </w:p>
    <w:p w14:paraId="00000015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(d) </w:t>
      </w:r>
      <w:r>
        <w:rPr>
          <w:i/>
        </w:rPr>
        <w:t>Disclosures.</w:t>
      </w:r>
      <w:r>
        <w:t xml:space="preserve"> If the Offeror has responded affirmatively to the representation in paragraph (c) of this provision, the Offeror shall provide the following information as part of the offer</w:t>
      </w:r>
    </w:p>
    <w:p w14:paraId="00000016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     (1) All covered telecommunications equipment and services offered (inc</w:t>
      </w:r>
      <w:r>
        <w:t>lude brand; model number, such as original equipment manufacturer (OEM) number, manufacturer part number, or wholesaler number; and item description, as applicable);</w:t>
      </w:r>
    </w:p>
    <w:p w14:paraId="00000017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     (2) Explanation of the proposed use of covered telecommunications equipment and</w:t>
      </w:r>
      <w:r>
        <w:t xml:space="preserve"> services and any factors relevant to determining if such use would be permissible under the prohibition in paragraph (b) of this provision;</w:t>
      </w:r>
    </w:p>
    <w:p w14:paraId="00000018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     (3) For services, the entity providing the covered telecommunications services (include entity name, uni</w:t>
      </w:r>
      <w:r>
        <w:t>que entity identifier, and Commercial and Government Entity (CAGE) code, if known); and</w:t>
      </w:r>
    </w:p>
    <w:p w14:paraId="00000019" w14:textId="77777777" w:rsidR="00732510" w:rsidRDefault="00E95B15">
      <w:pPr>
        <w:shd w:val="clear" w:color="auto" w:fill="FFFFFF"/>
        <w:spacing w:before="220" w:after="220"/>
        <w:ind w:firstLine="280"/>
      </w:pPr>
      <w:r>
        <w:t xml:space="preserve">           (4) For equipment, the entity that produced the covered telecommunications equipment (include entity name, unique entity identifier, CAGE code, and whether t</w:t>
      </w:r>
      <w:r>
        <w:t>he entity was the OEM or a distributor, if known).</w:t>
      </w:r>
    </w:p>
    <w:p w14:paraId="0000001A" w14:textId="77777777" w:rsidR="00732510" w:rsidRDefault="00E95B15">
      <w:pPr>
        <w:shd w:val="clear" w:color="auto" w:fill="FFFFFF"/>
        <w:spacing w:before="220" w:after="220"/>
        <w:ind w:firstLine="280"/>
        <w:jc w:val="center"/>
      </w:pPr>
      <w:r>
        <w:rPr>
          <w:b/>
        </w:rPr>
        <w:t>(End of provision)</w:t>
      </w:r>
    </w:p>
    <w:p w14:paraId="0000001B" w14:textId="77777777" w:rsidR="00732510" w:rsidRDefault="00732510"/>
    <w:p w14:paraId="0000001C" w14:textId="77777777" w:rsidR="00732510" w:rsidRDefault="00732510"/>
    <w:sectPr w:rsidR="007325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2510"/>
    <w:rsid w:val="00732510"/>
    <w:rsid w:val="00E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="Helvetica Neue" w:hAnsi="Helvetica Neue" w:cs="Helvetica Neue"/>
        <w:color w:val="333333"/>
        <w:sz w:val="24"/>
        <w:szCs w:val="24"/>
        <w:lang w:val="en" w:eastAsia="en-US" w:bidi="ar-SA"/>
      </w:rPr>
    </w:rPrDefault>
    <w:pPrDefault>
      <w:pPr>
        <w:spacing w:before="100" w:after="3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pPr>
      <w:keepNext/>
      <w:keepLines/>
      <w:ind w:left="15"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/>
      <w:keepLines/>
      <w:spacing w:before="0"/>
    </w:pPr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="Helvetica Neue" w:hAnsi="Helvetica Neue" w:cs="Helvetica Neue"/>
        <w:color w:val="333333"/>
        <w:sz w:val="24"/>
        <w:szCs w:val="24"/>
        <w:lang w:val="en" w:eastAsia="en-US" w:bidi="ar-SA"/>
      </w:rPr>
    </w:rPrDefault>
    <w:pPrDefault>
      <w:pPr>
        <w:spacing w:before="100" w:after="3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0"/>
      <w:outlineLvl w:val="0"/>
    </w:pPr>
    <w:rPr>
      <w:b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500" w:after="100"/>
      <w:outlineLvl w:val="1"/>
    </w:pPr>
    <w:rPr>
      <w:b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/>
      <w:keepLines/>
      <w:spacing w:before="200" w:after="280"/>
      <w:outlineLvl w:val="2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200"/>
      <w:outlineLvl w:val="3"/>
    </w:pPr>
    <w:rPr>
      <w:b/>
      <w:color w:val="444444"/>
    </w:rPr>
  </w:style>
  <w:style w:type="paragraph" w:styleId="Heading5">
    <w:name w:val="heading 5"/>
    <w:basedOn w:val="Normal"/>
    <w:next w:val="Normal"/>
    <w:pPr>
      <w:keepNext/>
      <w:keepLines/>
      <w:ind w:left="15"/>
      <w:outlineLvl w:val="4"/>
    </w:pPr>
    <w:rPr>
      <w:b/>
      <w:color w:val="046B99"/>
    </w:rPr>
  </w:style>
  <w:style w:type="paragraph" w:styleId="Heading6">
    <w:name w:val="heading 6"/>
    <w:basedOn w:val="Normal"/>
    <w:next w:val="Normal"/>
    <w:pPr>
      <w:keepNext/>
      <w:keepLines/>
      <w:spacing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00" w:after="200" w:line="240" w:lineRule="auto"/>
    </w:pPr>
    <w:rPr>
      <w:b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/>
      <w:keepLines/>
      <w:spacing w:before="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cquisition.gov/content/part-52-solicitation-provisions-and-contract-clau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BrianTBurns</dc:creator>
  <cp:lastModifiedBy>BrianTBurns</cp:lastModifiedBy>
  <cp:revision>2</cp:revision>
  <dcterms:created xsi:type="dcterms:W3CDTF">2020-04-27T20:40:00Z</dcterms:created>
  <dcterms:modified xsi:type="dcterms:W3CDTF">2020-04-27T20:40:00Z</dcterms:modified>
</cp:coreProperties>
</file>