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RFQ for 14(c) SYSTEM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Questions for Oral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ID09160058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Walk us through your vision for how you will deliver this project within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potential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risks are associated with the performance of the task requirements and how will your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manage those risks?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will you adapt when the team isn’t performing at the highest levels possible?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Walk us through your research and design process - how do you plan to solve problems and incorporate user research and usability?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you need from the government program officer to make this project succeed?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the agile management practices and tools you will use for estimating, planning, managing risk, and status communication. What is your reasoning for using these practices and tools?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your transition plan for the conclusion of the period of performance.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Walk us through your approach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testing, your approach to test-driven development practices, and how they will be used for this project.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will you approach Section 508 accessibility compliance and user experience into your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