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360" w:lineRule="auto"/>
        <w:rPr/>
      </w:pPr>
      <w:bookmarkStart w:colFirst="0" w:colLast="0" w:name="_x23pat5l0rev" w:id="0"/>
      <w:bookmarkEnd w:id="0"/>
      <w:r w:rsidDel="00000000" w:rsidR="00000000" w:rsidRPr="00000000">
        <w:rPr>
          <w:rtl w:val="0"/>
        </w:rPr>
        <w:t xml:space="preserve">Project Brief</w:t>
      </w:r>
    </w:p>
    <w:tbl>
      <w:tblPr>
        <w:tblStyle w:val="Table1"/>
        <w:tblW w:w="10800.0" w:type="dxa"/>
        <w:jc w:val="left"/>
        <w:tblInd w:w="0.0" w:type="pct"/>
        <w:tblBorders>
          <w:top w:color="e69138" w:space="0" w:sz="8" w:val="single"/>
          <w:left w:color="e69138" w:space="0" w:sz="8" w:val="single"/>
          <w:bottom w:color="e69138" w:space="0" w:sz="8" w:val="single"/>
          <w:right w:color="e69138" w:space="0" w:sz="8" w:val="single"/>
          <w:insideH w:color="e69138" w:space="0" w:sz="8" w:val="single"/>
          <w:insideV w:color="e69138" w:space="0" w:sz="8" w:val="single"/>
        </w:tblBorders>
        <w:tblLayout w:type="fixed"/>
        <w:tblLook w:val="0600"/>
      </w:tblPr>
      <w:tblGrid>
        <w:gridCol w:w="10800"/>
        <w:tblGridChange w:id="0">
          <w:tblGrid>
            <w:gridCol w:w="10800"/>
          </w:tblGrid>
        </w:tblGridChange>
      </w:tblGrid>
      <w:tr>
        <w:tc>
          <w:tcPr>
            <w:tcBorders>
              <w:top w:color="000000" w:space="0" w:sz="8" w:val="single"/>
              <w:left w:color="000000" w:space="0" w:sz="0" w:val="nil"/>
              <w:bottom w:color="000000" w:space="0" w:sz="8"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02">
            <w:pPr>
              <w:pStyle w:val="Heading5"/>
              <w:keepNext w:val="0"/>
              <w:keepLines w:val="0"/>
              <w:widowControl w:val="0"/>
              <w:spacing w:after="0" w:before="0" w:line="240" w:lineRule="auto"/>
              <w:ind w:left="0" w:firstLine="0"/>
              <w:rPr/>
            </w:pPr>
            <w:bookmarkStart w:colFirst="0" w:colLast="0" w:name="_ndxxyl3hipxl" w:id="1"/>
            <w:bookmarkEnd w:id="1"/>
            <w:r w:rsidDel="00000000" w:rsidR="00000000" w:rsidRPr="00000000">
              <w:rPr>
                <w:rtl w:val="0"/>
              </w:rPr>
            </w:r>
          </w:p>
          <w:p w:rsidR="00000000" w:rsidDel="00000000" w:rsidP="00000000" w:rsidRDefault="00000000" w:rsidRPr="00000000" w14:paraId="00000003">
            <w:pPr>
              <w:pStyle w:val="Heading5"/>
              <w:keepNext w:val="0"/>
              <w:keepLines w:val="0"/>
              <w:widowControl w:val="0"/>
              <w:spacing w:after="0" w:before="0" w:line="240" w:lineRule="auto"/>
              <w:ind w:left="90" w:firstLine="0"/>
              <w:rPr/>
            </w:pPr>
            <w:bookmarkStart w:colFirst="0" w:colLast="0" w:name="_178oeevm4iso" w:id="2"/>
            <w:bookmarkEnd w:id="2"/>
            <w:r w:rsidDel="00000000" w:rsidR="00000000" w:rsidRPr="00000000">
              <w:rPr>
                <w:rtl w:val="0"/>
              </w:rPr>
              <w:t xml:space="preserve">Bottom line</w:t>
            </w:r>
            <w:r w:rsidDel="00000000" w:rsidR="00000000" w:rsidRPr="00000000">
              <w:rPr>
                <w:rtl w:val="0"/>
              </w:rPr>
            </w:r>
          </w:p>
          <w:p w:rsidR="00000000" w:rsidDel="00000000" w:rsidP="00000000" w:rsidRDefault="00000000" w:rsidRPr="00000000" w14:paraId="00000004">
            <w:pPr>
              <w:spacing w:after="0" w:lineRule="auto"/>
              <w:ind w:left="90" w:firstLine="0"/>
              <w:rPr>
                <w:b w:val="0"/>
                <w:color w:val="000000"/>
              </w:rPr>
            </w:pPr>
            <w:r w:rsidDel="00000000" w:rsidR="00000000" w:rsidRPr="00000000">
              <w:rPr>
                <w:b w:val="0"/>
                <w:color w:val="000000"/>
                <w:rtl w:val="0"/>
              </w:rPr>
              <w:t xml:space="preserve">Don’t streamline the process until you know what the open source software release process is, how it helps ARL meet its mission objectives, and that it’s a worthwhile effort to make.</w:t>
            </w:r>
          </w:p>
          <w:p w:rsidR="00000000" w:rsidDel="00000000" w:rsidP="00000000" w:rsidRDefault="00000000" w:rsidRPr="00000000" w14:paraId="00000005">
            <w:pPr>
              <w:spacing w:after="0" w:before="0" w:lineRule="auto"/>
              <w:ind w:left="0" w:firstLine="0"/>
              <w:rPr>
                <w:b w:val="0"/>
                <w:color w:val="000000"/>
              </w:rPr>
            </w:pPr>
            <w:r w:rsidDel="00000000" w:rsidR="00000000" w:rsidRPr="00000000">
              <w:rPr>
                <w:rtl w:val="0"/>
              </w:rPr>
            </w:r>
          </w:p>
        </w:tc>
      </w:tr>
    </w:tbl>
    <w:p w:rsidR="00000000" w:rsidDel="00000000" w:rsidP="00000000" w:rsidRDefault="00000000" w:rsidRPr="00000000" w14:paraId="00000006">
      <w:pPr>
        <w:spacing w:after="0" w:before="0" w:line="360" w:lineRule="auto"/>
        <w:ind w:left="0" w:firstLine="0"/>
        <w:rPr>
          <w:color w:val="000000"/>
        </w:rPr>
      </w:pPr>
      <w:r w:rsidDel="00000000" w:rsidR="00000000" w:rsidRPr="00000000">
        <w:rPr>
          <w:rtl w:val="0"/>
        </w:rPr>
      </w:r>
    </w:p>
    <w:p w:rsidR="00000000" w:rsidDel="00000000" w:rsidP="00000000" w:rsidRDefault="00000000" w:rsidRPr="00000000" w14:paraId="00000007">
      <w:pPr>
        <w:spacing w:before="0" w:lineRule="auto"/>
        <w:ind w:left="0" w:firstLine="0"/>
        <w:rPr>
          <w:b w:val="0"/>
          <w:color w:val="000000"/>
        </w:rPr>
      </w:pPr>
      <w:r w:rsidDel="00000000" w:rsidR="00000000" w:rsidRPr="00000000">
        <w:rPr>
          <w:color w:val="000000"/>
          <w:rtl w:val="0"/>
        </w:rPr>
        <w:t xml:space="preserve">Current ARL OSS policy &amp; process is cobbled together rather than a coordinated, purposeful effort. </w:t>
      </w:r>
      <w:r w:rsidDel="00000000" w:rsidR="00000000" w:rsidRPr="00000000">
        <w:rPr>
          <w:b w:val="0"/>
          <w:color w:val="000000"/>
          <w:rtl w:val="0"/>
        </w:rPr>
        <w:t xml:space="preserve">There’s no single POC setting/implementing vision, process isn’t used much and visibility into the overall process is very limited, lessons learned on successful software sharing are isolated. </w:t>
      </w:r>
    </w:p>
    <w:p w:rsidR="00000000" w:rsidDel="00000000" w:rsidP="00000000" w:rsidRDefault="00000000" w:rsidRPr="00000000" w14:paraId="00000008">
      <w:pPr>
        <w:spacing w:after="0" w:before="0" w:lineRule="auto"/>
        <w:ind w:left="0" w:firstLine="0"/>
        <w:rPr>
          <w:b w:val="0"/>
          <w:color w:val="000000"/>
        </w:rPr>
      </w:pPr>
      <w:r w:rsidDel="00000000" w:rsidR="00000000" w:rsidRPr="00000000">
        <w:rPr>
          <w:rtl w:val="0"/>
        </w:rPr>
      </w:r>
    </w:p>
    <w:tbl>
      <w:tblPr>
        <w:tblStyle w:val="Table2"/>
        <w:tblW w:w="10965.0" w:type="dxa"/>
        <w:jc w:val="left"/>
        <w:tblInd w:w="-180.0" w:type="dxa"/>
        <w:tblLayout w:type="fixed"/>
        <w:tblLook w:val="0600"/>
      </w:tblPr>
      <w:tblGrid>
        <w:gridCol w:w="1620"/>
        <w:gridCol w:w="9345"/>
        <w:tblGridChange w:id="0">
          <w:tblGrid>
            <w:gridCol w:w="1620"/>
            <w:gridCol w:w="93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ind w:left="180" w:firstLine="0"/>
              <w:rPr>
                <w:b w:val="0"/>
                <w:color w:val="000000"/>
              </w:rPr>
            </w:pPr>
            <w:r w:rsidDel="00000000" w:rsidR="00000000" w:rsidRPr="00000000">
              <w:rPr>
                <w:rtl w:val="0"/>
              </w:rPr>
              <w:t xml:space="preserve">Paths Forward</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ind w:left="0" w:firstLine="0"/>
              <w:rPr>
                <w:b w:val="0"/>
                <w:color w:val="000000"/>
              </w:rPr>
            </w:pPr>
            <w:r w:rsidDel="00000000" w:rsidR="00000000" w:rsidRPr="00000000">
              <w:rPr>
                <w:color w:val="000000"/>
                <w:rtl w:val="0"/>
              </w:rPr>
              <w:t xml:space="preserve">ARL can continue as is with better visibility and education</w:t>
            </w:r>
            <w:r w:rsidDel="00000000" w:rsidR="00000000" w:rsidRPr="00000000">
              <w:rPr>
                <w:b w:val="0"/>
                <w:color w:val="000000"/>
                <w:rtl w:val="0"/>
              </w:rPr>
              <w:t xml:space="preserve"> on the current process. In the future, OSS may not be a productive or utilized means for ARL to accomplish its AFC mission of preparing future battlefield and developing new civilian/military relationships to expedite latest technology to the field.</w:t>
            </w:r>
          </w:p>
          <w:p w:rsidR="00000000" w:rsidDel="00000000" w:rsidP="00000000" w:rsidRDefault="00000000" w:rsidRPr="00000000" w14:paraId="0000000B">
            <w:pPr>
              <w:ind w:left="0" w:firstLine="0"/>
              <w:rPr>
                <w:b w:val="0"/>
                <w:color w:val="000000"/>
              </w:rPr>
            </w:pPr>
            <w:r w:rsidDel="00000000" w:rsidR="00000000" w:rsidRPr="00000000">
              <w:rPr>
                <w:color w:val="000000"/>
                <w:rtl w:val="0"/>
              </w:rPr>
              <w:t xml:space="preserve">ARL can improve the current process</w:t>
            </w:r>
            <w:r w:rsidDel="00000000" w:rsidR="00000000" w:rsidRPr="00000000">
              <w:rPr>
                <w:b w:val="0"/>
                <w:color w:val="000000"/>
                <w:rtl w:val="0"/>
              </w:rPr>
              <w:t xml:space="preserve"> by defining/aligning on stakeholders, roles, steps, and tools needed. In the future, streamlined OSS process map based on current needs.</w:t>
            </w:r>
          </w:p>
          <w:p w:rsidR="00000000" w:rsidDel="00000000" w:rsidP="00000000" w:rsidRDefault="00000000" w:rsidRPr="00000000" w14:paraId="0000000C">
            <w:pPr>
              <w:ind w:left="0" w:firstLine="0"/>
              <w:rPr>
                <w:b w:val="0"/>
                <w:color w:val="000000"/>
              </w:rPr>
            </w:pPr>
            <w:r w:rsidDel="00000000" w:rsidR="00000000" w:rsidRPr="00000000">
              <w:rPr>
                <w:color w:val="000000"/>
                <w:rtl w:val="0"/>
              </w:rPr>
              <w:t xml:space="preserve">ARL can hold off, and instead first figure out the value proposition</w:t>
            </w:r>
            <w:r w:rsidDel="00000000" w:rsidR="00000000" w:rsidRPr="00000000">
              <w:rPr>
                <w:b w:val="0"/>
                <w:color w:val="000000"/>
                <w:rtl w:val="0"/>
              </w:rPr>
              <w:t xml:space="preserve"> of OSS and how much to share to meet mission objectives. In the future, ARL assesses the risk costs against mission benefits of streamlining ARL’s current OSS process. It may not be worthwhile for ARL to invest in streamlining the OSS process, or greater alignment on these upstream questions may resolve concerns with current process already.</w:t>
            </w:r>
          </w:p>
        </w:tc>
      </w:tr>
    </w:tbl>
    <w:p w:rsidR="00000000" w:rsidDel="00000000" w:rsidP="00000000" w:rsidRDefault="00000000" w:rsidRPr="00000000" w14:paraId="0000000D">
      <w:pPr>
        <w:ind w:left="0" w:firstLine="0"/>
        <w:rPr>
          <w:b w:val="0"/>
          <w:color w:val="333333"/>
          <w:sz w:val="2"/>
          <w:szCs w:val="2"/>
        </w:rPr>
      </w:pPr>
      <w:r w:rsidDel="00000000" w:rsidR="00000000" w:rsidRPr="00000000">
        <w:rPr>
          <w:rtl w:val="0"/>
        </w:rPr>
      </w:r>
    </w:p>
    <w:tbl>
      <w:tblPr>
        <w:tblStyle w:val="Table3"/>
        <w:tblW w:w="10950.0" w:type="dxa"/>
        <w:jc w:val="left"/>
        <w:tblInd w:w="-180.0" w:type="dxa"/>
        <w:tblLayout w:type="fixed"/>
        <w:tblLook w:val="0600"/>
      </w:tblPr>
      <w:tblGrid>
        <w:gridCol w:w="1650"/>
        <w:gridCol w:w="9300"/>
        <w:tblGridChange w:id="0">
          <w:tblGrid>
            <w:gridCol w:w="1650"/>
            <w:gridCol w:w="93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E">
            <w:pPr>
              <w:ind w:left="180" w:firstLine="0"/>
              <w:rPr>
                <w:b w:val="0"/>
                <w:color w:val="000000"/>
              </w:rPr>
            </w:pPr>
            <w:r w:rsidDel="00000000" w:rsidR="00000000" w:rsidRPr="00000000">
              <w:rPr>
                <w:rtl w:val="0"/>
              </w:rPr>
              <w:t xml:space="preserve">Asks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F">
            <w:pPr>
              <w:numPr>
                <w:ilvl w:val="0"/>
                <w:numId w:val="1"/>
              </w:numPr>
              <w:spacing w:after="0" w:afterAutospacing="0"/>
              <w:ind w:left="360" w:hanging="360"/>
              <w:rPr>
                <w:color w:val="000000"/>
              </w:rPr>
            </w:pPr>
            <w:r w:rsidDel="00000000" w:rsidR="00000000" w:rsidRPr="00000000">
              <w:rPr>
                <w:b w:val="0"/>
                <w:color w:val="000000"/>
                <w:rtl w:val="0"/>
              </w:rPr>
              <w:t xml:space="preserve">Revise the Written Policy to separate out policy from procedures (from beginning to the end of the process)</w:t>
            </w:r>
          </w:p>
          <w:p w:rsidR="00000000" w:rsidDel="00000000" w:rsidP="00000000" w:rsidRDefault="00000000" w:rsidRPr="00000000" w14:paraId="00000010">
            <w:pPr>
              <w:numPr>
                <w:ilvl w:val="0"/>
                <w:numId w:val="1"/>
              </w:numPr>
              <w:spacing w:after="0" w:afterAutospacing="0" w:before="0" w:beforeAutospacing="0"/>
              <w:ind w:left="360" w:hanging="360"/>
              <w:rPr>
                <w:b w:val="0"/>
                <w:color w:val="000000"/>
              </w:rPr>
            </w:pPr>
            <w:r w:rsidDel="00000000" w:rsidR="00000000" w:rsidRPr="00000000">
              <w:rPr>
                <w:b w:val="0"/>
                <w:color w:val="000000"/>
                <w:rtl w:val="0"/>
              </w:rPr>
              <w:t xml:space="preserve">Work with 18F on Product Ownership training to plan succession next steps</w:t>
            </w:r>
          </w:p>
          <w:p w:rsidR="00000000" w:rsidDel="00000000" w:rsidP="00000000" w:rsidRDefault="00000000" w:rsidRPr="00000000" w14:paraId="00000011">
            <w:pPr>
              <w:numPr>
                <w:ilvl w:val="0"/>
                <w:numId w:val="1"/>
              </w:numPr>
              <w:spacing w:after="0" w:afterAutospacing="0" w:before="0" w:beforeAutospacing="0"/>
              <w:ind w:left="360" w:hanging="360"/>
              <w:rPr>
                <w:b w:val="0"/>
                <w:color w:val="000000"/>
              </w:rPr>
            </w:pPr>
            <w:r w:rsidDel="00000000" w:rsidR="00000000" w:rsidRPr="00000000">
              <w:rPr>
                <w:b w:val="0"/>
                <w:color w:val="000000"/>
                <w:rtl w:val="0"/>
              </w:rPr>
              <w:t xml:space="preserve">Post newly created process maps throughout ARL and ALC in key stakeholders’ work areas</w:t>
            </w:r>
          </w:p>
          <w:p w:rsidR="00000000" w:rsidDel="00000000" w:rsidP="00000000" w:rsidRDefault="00000000" w:rsidRPr="00000000" w14:paraId="00000012">
            <w:pPr>
              <w:numPr>
                <w:ilvl w:val="0"/>
                <w:numId w:val="1"/>
              </w:numPr>
              <w:spacing w:after="0" w:afterAutospacing="0" w:before="0" w:beforeAutospacing="0"/>
              <w:ind w:left="360" w:hanging="360"/>
              <w:rPr>
                <w:b w:val="0"/>
                <w:color w:val="000000"/>
              </w:rPr>
            </w:pPr>
            <w:r w:rsidDel="00000000" w:rsidR="00000000" w:rsidRPr="00000000">
              <w:rPr>
                <w:b w:val="0"/>
                <w:color w:val="000000"/>
                <w:rtl w:val="0"/>
              </w:rPr>
              <w:t xml:space="preserve">Post newly created process maps as well as Policy &amp; Procedures document on ARL Inside and ARL’s GitHub repository</w:t>
            </w:r>
          </w:p>
          <w:p w:rsidR="00000000" w:rsidDel="00000000" w:rsidP="00000000" w:rsidRDefault="00000000" w:rsidRPr="00000000" w14:paraId="00000013">
            <w:pPr>
              <w:numPr>
                <w:ilvl w:val="0"/>
                <w:numId w:val="1"/>
              </w:numPr>
              <w:spacing w:before="0" w:beforeAutospacing="0"/>
              <w:ind w:left="360" w:hanging="360"/>
              <w:rPr>
                <w:b w:val="0"/>
                <w:color w:val="000000"/>
              </w:rPr>
            </w:pPr>
            <w:r w:rsidDel="00000000" w:rsidR="00000000" w:rsidRPr="00000000">
              <w:rPr>
                <w:b w:val="0"/>
                <w:color w:val="000000"/>
                <w:rtl w:val="0"/>
              </w:rPr>
              <w:t xml:space="preserve">Educate branch chiefs on documentation and where to find it</w:t>
            </w:r>
            <w:r w:rsidDel="00000000" w:rsidR="00000000" w:rsidRPr="00000000">
              <w:rPr>
                <w:rtl w:val="0"/>
              </w:rPr>
            </w:r>
          </w:p>
        </w:tc>
      </w:tr>
    </w:tbl>
    <w:p w:rsidR="00000000" w:rsidDel="00000000" w:rsidP="00000000" w:rsidRDefault="00000000" w:rsidRPr="00000000" w14:paraId="00000014">
      <w:pPr>
        <w:ind w:left="0" w:firstLine="0"/>
        <w:rPr>
          <w:b w:val="0"/>
          <w:color w:val="000000"/>
        </w:rPr>
      </w:pPr>
      <w:r w:rsidDel="00000000" w:rsidR="00000000" w:rsidRPr="00000000">
        <w:rPr>
          <w:rtl w:val="0"/>
        </w:rPr>
      </w:r>
    </w:p>
    <w:sectPr>
      <w:footerReference r:id="rId6" w:type="default"/>
      <w:pgSz w:h="15840" w:w="12240"/>
      <w:pgMar w:bottom="720" w:top="720" w:left="720" w:right="72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Style w:val="Title"/>
      <w:tabs>
        <w:tab w:val="left" w:pos="900"/>
        <w:tab w:val="right" w:pos="9360"/>
      </w:tabs>
      <w:ind w:left="0" w:firstLine="0"/>
      <w:rPr/>
    </w:pPr>
    <w:bookmarkStart w:colFirst="0" w:colLast="0" w:name="_dd4nbnmn4o7b" w:id="3"/>
    <w:bookmarkEnd w:id="3"/>
    <w:r w:rsidDel="00000000" w:rsidR="00000000" w:rsidRPr="00000000">
      <w:rPr>
        <w:b w:val="0"/>
        <w:sz w:val="24"/>
        <w:szCs w:val="24"/>
        <w:shd w:fill="auto" w:val="clear"/>
        <w:rtl w:val="0"/>
      </w:rPr>
      <w:tab/>
      <w:tab/>
    </w:r>
    <w:r w:rsidDel="00000000" w:rsidR="00000000" w:rsidRPr="00000000">
      <w:rPr>
        <w:rtl w:val="0"/>
      </w:rPr>
    </w:r>
  </w:p>
  <w:tbl>
    <w:tblPr>
      <w:tblStyle w:val="Table4"/>
      <w:tblW w:w="10800.0" w:type="dxa"/>
      <w:jc w:val="left"/>
      <w:tblInd w:w="0.0" w:type="pct"/>
      <w:tblLayout w:type="fixed"/>
      <w:tblLook w:val="0600"/>
    </w:tblPr>
    <w:tblGrid>
      <w:gridCol w:w="945"/>
      <w:gridCol w:w="6225"/>
      <w:gridCol w:w="3630"/>
      <w:tblGridChange w:id="0">
        <w:tblGrid>
          <w:gridCol w:w="945"/>
          <w:gridCol w:w="6225"/>
          <w:gridCol w:w="363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6">
          <w:pPr>
            <w:pStyle w:val="Title"/>
            <w:tabs>
              <w:tab w:val="left" w:pos="900"/>
              <w:tab w:val="right" w:pos="9360"/>
            </w:tabs>
            <w:ind w:left="0" w:firstLine="0"/>
            <w:rPr/>
          </w:pPr>
          <w:bookmarkStart w:colFirst="0" w:colLast="0" w:name="_as5a358011j3" w:id="4"/>
          <w:bookmarkEnd w:id="4"/>
          <w:r w:rsidDel="00000000" w:rsidR="00000000" w:rsidRPr="00000000">
            <w:rPr>
              <w:b w:val="0"/>
              <w:sz w:val="24"/>
              <w:szCs w:val="24"/>
              <w:shd w:fill="auto" w:val="clear"/>
            </w:rPr>
            <w:drawing>
              <wp:inline distB="114300" distT="114300" distL="114300" distR="114300">
                <wp:extent cx="395288" cy="400050"/>
                <wp:effectExtent b="0" l="0" r="0" t="0"/>
                <wp:docPr descr="Open ..." id="1" name="image1.png"/>
                <a:graphic>
                  <a:graphicData uri="http://schemas.openxmlformats.org/drawingml/2006/picture">
                    <pic:pic>
                      <pic:nvPicPr>
                        <pic:cNvPr descr="Open ..." id="0" name="image1.png"/>
                        <pic:cNvPicPr preferRelativeResize="0"/>
                      </pic:nvPicPr>
                      <pic:blipFill>
                        <a:blip r:embed="rId1"/>
                        <a:srcRect b="0" l="0" r="0" t="0"/>
                        <a:stretch>
                          <a:fillRect/>
                        </a:stretch>
                      </pic:blipFill>
                      <pic:spPr>
                        <a:xfrm>
                          <a:off x="0" y="0"/>
                          <a:ext cx="395288" cy="4000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7">
          <w:pPr>
            <w:pStyle w:val="Title"/>
            <w:tabs>
              <w:tab w:val="left" w:pos="900"/>
              <w:tab w:val="right" w:pos="9360"/>
            </w:tabs>
            <w:ind w:left="0" w:firstLine="0"/>
            <w:rPr/>
          </w:pPr>
          <w:bookmarkStart w:colFirst="0" w:colLast="0" w:name="_2xw1rn2z8rmq" w:id="5"/>
          <w:bookmarkEnd w:id="5"/>
          <w:r w:rsidDel="00000000" w:rsidR="00000000" w:rsidRPr="00000000">
            <w:rPr>
              <w:color w:val="000000"/>
              <w:sz w:val="24"/>
              <w:szCs w:val="24"/>
              <w:shd w:fill="auto" w:val="clear"/>
              <w:rtl w:val="0"/>
            </w:rPr>
            <w:t xml:space="preserve">U.S. Army Research Lab Path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8">
          <w:pPr>
            <w:pStyle w:val="Title"/>
            <w:tabs>
              <w:tab w:val="left" w:pos="900"/>
              <w:tab w:val="right" w:pos="9360"/>
            </w:tabs>
            <w:ind w:left="0" w:firstLine="0"/>
            <w:jc w:val="right"/>
            <w:rPr/>
          </w:pPr>
          <w:bookmarkStart w:colFirst="0" w:colLast="0" w:name="_dthl5os2guxk" w:id="6"/>
          <w:bookmarkEnd w:id="6"/>
          <w:r w:rsidDel="00000000" w:rsidR="00000000" w:rsidRPr="00000000">
            <w:rPr>
              <w:b w:val="0"/>
              <w:sz w:val="24"/>
              <w:szCs w:val="24"/>
              <w:shd w:fill="auto" w:val="clear"/>
              <w:rtl w:val="0"/>
            </w:rPr>
            <w:t xml:space="preserve">May 8, 2019</w:t>
          </w:r>
          <w:r w:rsidDel="00000000" w:rsidR="00000000" w:rsidRPr="00000000">
            <w:rPr>
              <w:rtl w:val="0"/>
            </w:rPr>
          </w:r>
        </w:p>
      </w:tc>
    </w:tr>
  </w:tbl>
  <w:p w:rsidR="00000000" w:rsidDel="00000000" w:rsidP="00000000" w:rsidRDefault="00000000" w:rsidRPr="00000000" w14:paraId="00000019">
    <w:pPr>
      <w:tabs>
        <w:tab w:val="left" w:pos="900"/>
        <w:tab w:val="right" w:pos="9360"/>
      </w:tabs>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color w:val="046b99"/>
        <w:sz w:val="24"/>
        <w:szCs w:val="24"/>
        <w:lang w:val="en"/>
      </w:rPr>
    </w:rPrDefault>
    <w:pPrDefault>
      <w:pPr>
        <w:spacing w:after="300" w:before="100" w:line="276"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Rule="auto"/>
    </w:pPr>
    <w:rPr>
      <w:b w:val="1"/>
      <w:color w:val="046b99"/>
      <w:sz w:val="48"/>
      <w:szCs w:val="48"/>
    </w:rPr>
  </w:style>
  <w:style w:type="paragraph" w:styleId="Heading2">
    <w:name w:val="heading 2"/>
    <w:basedOn w:val="Normal"/>
    <w:next w:val="Normal"/>
    <w:pPr>
      <w:keepNext w:val="1"/>
      <w:keepLines w:val="1"/>
      <w:spacing w:after="100" w:before="500" w:lineRule="auto"/>
    </w:pPr>
    <w:rPr>
      <w:b w:val="1"/>
      <w:color w:val="000000"/>
      <w:sz w:val="36"/>
      <w:szCs w:val="36"/>
      <w:highlight w:val="white"/>
    </w:rPr>
  </w:style>
  <w:style w:type="paragraph" w:styleId="Heading3">
    <w:name w:val="heading 3"/>
    <w:basedOn w:val="Normal"/>
    <w:next w:val="Normal"/>
    <w:pPr>
      <w:keepNext w:val="1"/>
      <w:keepLines w:val="1"/>
      <w:spacing w:after="280" w:before="200" w:lineRule="auto"/>
    </w:pPr>
    <w:rPr>
      <w:color w:val="222222"/>
      <w:sz w:val="28"/>
      <w:szCs w:val="28"/>
    </w:rPr>
  </w:style>
  <w:style w:type="paragraph" w:styleId="Heading4">
    <w:name w:val="heading 4"/>
    <w:basedOn w:val="Normal"/>
    <w:next w:val="Normal"/>
    <w:pPr>
      <w:keepNext w:val="1"/>
      <w:keepLines w:val="1"/>
      <w:spacing w:after="200" w:lineRule="auto"/>
    </w:pPr>
    <w:rPr>
      <w:b w:val="1"/>
      <w:color w:val="444444"/>
    </w:rPr>
  </w:style>
  <w:style w:type="paragraph" w:styleId="Heading5">
    <w:name w:val="heading 5"/>
    <w:basedOn w:val="Normal"/>
    <w:next w:val="Normal"/>
    <w:pPr>
      <w:keepNext w:val="1"/>
      <w:keepLines w:val="1"/>
      <w:ind w:left="15" w:firstLine="0"/>
    </w:pPr>
    <w:rPr>
      <w:b w:val="1"/>
      <w:color w:val="046b99"/>
    </w:rPr>
  </w:style>
  <w:style w:type="paragraph" w:styleId="Heading6">
    <w:name w:val="heading 6"/>
    <w:basedOn w:val="Normal"/>
    <w:next w:val="Normal"/>
    <w:pPr>
      <w:keepNext w:val="1"/>
      <w:keepLines w:val="1"/>
      <w:spacing w:after="80" w:lineRule="auto"/>
    </w:pPr>
    <w:rPr>
      <w:color w:val="666666"/>
      <w:sz w:val="22"/>
      <w:szCs w:val="22"/>
    </w:rPr>
  </w:style>
  <w:style w:type="paragraph" w:styleId="Title">
    <w:name w:val="Title"/>
    <w:basedOn w:val="Normal"/>
    <w:next w:val="Normal"/>
    <w:pPr>
      <w:keepNext w:val="1"/>
      <w:keepLines w:val="1"/>
      <w:spacing w:after="200" w:before="200" w:line="240" w:lineRule="auto"/>
    </w:pPr>
    <w:rPr>
      <w:b w:val="1"/>
      <w:color w:val="1c304a"/>
      <w:sz w:val="96"/>
      <w:szCs w:val="96"/>
      <w:highlight w:val="white"/>
    </w:rPr>
  </w:style>
  <w:style w:type="paragraph" w:styleId="Subtitle">
    <w:name w:val="Subtitle"/>
    <w:basedOn w:val="Normal"/>
    <w:next w:val="Normal"/>
    <w:pPr>
      <w:keepNext w:val="1"/>
      <w:keepLines w:val="1"/>
      <w:spacing w:before="0" w:lineRule="auto"/>
    </w:pPr>
    <w:rPr>
      <w:b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