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422C" w14:textId="3BB77A05" w:rsidR="009A62D7" w:rsidRDefault="009A62D7" w:rsidP="005B08BD">
      <w:pPr>
        <w:spacing w:after="0" w:line="240" w:lineRule="auto"/>
        <w:jc w:val="center"/>
        <w:rPr>
          <w:b/>
          <w:bCs/>
          <w:sz w:val="32"/>
          <w:szCs w:val="32"/>
        </w:rPr>
      </w:pPr>
      <w:bookmarkStart w:id="0" w:name="_GoBack"/>
      <w:bookmarkEnd w:id="0"/>
      <w:r>
        <w:rPr>
          <w:noProof/>
        </w:rPr>
        <w:drawing>
          <wp:inline distT="0" distB="0" distL="0" distR="0" wp14:anchorId="114C06BC" wp14:editId="73FA763F">
            <wp:extent cx="766690" cy="766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px-US-DeptOfEducation-Seal_svg.png"/>
                    <pic:cNvPicPr/>
                  </pic:nvPicPr>
                  <pic:blipFill>
                    <a:blip r:embed="rId11">
                      <a:extLst>
                        <a:ext uri="{28A0092B-C50C-407E-A947-70E740481C1C}">
                          <a14:useLocalDpi xmlns:a14="http://schemas.microsoft.com/office/drawing/2010/main" val="0"/>
                        </a:ext>
                      </a:extLst>
                    </a:blip>
                    <a:stretch>
                      <a:fillRect/>
                    </a:stretch>
                  </pic:blipFill>
                  <pic:spPr>
                    <a:xfrm>
                      <a:off x="0" y="0"/>
                      <a:ext cx="803833" cy="803833"/>
                    </a:xfrm>
                    <a:prstGeom prst="rect">
                      <a:avLst/>
                    </a:prstGeom>
                  </pic:spPr>
                </pic:pic>
              </a:graphicData>
            </a:graphic>
          </wp:inline>
        </w:drawing>
      </w:r>
    </w:p>
    <w:p w14:paraId="08D0F52D" w14:textId="77777777" w:rsidR="009A62D7" w:rsidRDefault="009A62D7" w:rsidP="005B08BD">
      <w:pPr>
        <w:spacing w:after="0" w:line="240" w:lineRule="auto"/>
        <w:jc w:val="center"/>
        <w:rPr>
          <w:b/>
          <w:bCs/>
          <w:sz w:val="32"/>
          <w:szCs w:val="32"/>
        </w:rPr>
      </w:pPr>
    </w:p>
    <w:p w14:paraId="61C682F9" w14:textId="0C017723" w:rsidR="00E07E06" w:rsidRPr="00AA386E" w:rsidRDefault="00AA386E" w:rsidP="005B08BD">
      <w:pPr>
        <w:spacing w:after="0" w:line="240" w:lineRule="auto"/>
        <w:jc w:val="center"/>
        <w:rPr>
          <w:b/>
          <w:bCs/>
        </w:rPr>
      </w:pPr>
      <w:r w:rsidRPr="00AA386E">
        <w:rPr>
          <w:b/>
          <w:bCs/>
          <w:sz w:val="32"/>
          <w:szCs w:val="32"/>
        </w:rPr>
        <w:t>College Scorecard Data by Field of Study</w:t>
      </w:r>
    </w:p>
    <w:p w14:paraId="179B820C" w14:textId="13F75D22" w:rsidR="00AA386E" w:rsidRDefault="00AA386E" w:rsidP="005B08BD">
      <w:pPr>
        <w:spacing w:after="0" w:line="240" w:lineRule="auto"/>
        <w:jc w:val="center"/>
      </w:pPr>
      <w:r>
        <w:t>DRAFT</w:t>
      </w:r>
      <w:r w:rsidR="00E41340">
        <w:t xml:space="preserve"> as of </w:t>
      </w:r>
      <w:r w:rsidR="007C6D37">
        <w:t>10</w:t>
      </w:r>
      <w:r w:rsidR="00E41340">
        <w:t>/</w:t>
      </w:r>
      <w:r w:rsidR="007C6D37">
        <w:t>4</w:t>
      </w:r>
      <w:r w:rsidR="00E41340">
        <w:t>/19</w:t>
      </w:r>
    </w:p>
    <w:p w14:paraId="34AF7DD7" w14:textId="0CCDC832" w:rsidR="009A62D7" w:rsidRDefault="009A62D7" w:rsidP="005B08BD">
      <w:pPr>
        <w:spacing w:after="0" w:line="240" w:lineRule="auto"/>
        <w:jc w:val="center"/>
      </w:pPr>
    </w:p>
    <w:sdt>
      <w:sdtPr>
        <w:rPr>
          <w:rFonts w:asciiTheme="minorHAnsi" w:eastAsiaTheme="minorHAnsi" w:hAnsiTheme="minorHAnsi" w:cstheme="minorBidi"/>
          <w:color w:val="auto"/>
          <w:sz w:val="22"/>
          <w:szCs w:val="22"/>
        </w:rPr>
        <w:id w:val="959610050"/>
        <w:docPartObj>
          <w:docPartGallery w:val="Table of Contents"/>
          <w:docPartUnique/>
        </w:docPartObj>
      </w:sdtPr>
      <w:sdtEndPr>
        <w:rPr>
          <w:b/>
          <w:bCs/>
          <w:noProof/>
        </w:rPr>
      </w:sdtEndPr>
      <w:sdtContent>
        <w:p w14:paraId="076AFD2A" w14:textId="0F5A7723" w:rsidR="009939CA" w:rsidRDefault="009939CA" w:rsidP="005B08BD">
          <w:pPr>
            <w:pStyle w:val="TOCHeading"/>
            <w:spacing w:line="240" w:lineRule="auto"/>
          </w:pPr>
          <w:r>
            <w:t>Contents</w:t>
          </w:r>
        </w:p>
        <w:p w14:paraId="20AE9F84" w14:textId="694EDA61" w:rsidR="00D7014D" w:rsidRDefault="009939CA" w:rsidP="005B08BD">
          <w:pPr>
            <w:pStyle w:val="TOC1"/>
            <w:tabs>
              <w:tab w:val="right" w:leader="dot" w:pos="9350"/>
            </w:tabs>
            <w:spacing w:after="0" w:line="240" w:lineRule="auto"/>
            <w:rPr>
              <w:rFonts w:eastAsiaTheme="minorEastAsia"/>
              <w:noProof/>
            </w:rPr>
          </w:pPr>
          <w:r>
            <w:fldChar w:fldCharType="begin"/>
          </w:r>
          <w:r>
            <w:instrText xml:space="preserve"> TOC \o "1-3" \h \z \u </w:instrText>
          </w:r>
          <w:r>
            <w:fldChar w:fldCharType="separate"/>
          </w:r>
          <w:hyperlink w:anchor="_Toc16782809" w:history="1">
            <w:r w:rsidR="00D7014D" w:rsidRPr="00B258E5">
              <w:rPr>
                <w:rStyle w:val="Hyperlink"/>
                <w:noProof/>
              </w:rPr>
              <w:t>Introduction</w:t>
            </w:r>
            <w:r w:rsidR="00D7014D">
              <w:rPr>
                <w:noProof/>
                <w:webHidden/>
              </w:rPr>
              <w:tab/>
            </w:r>
            <w:r w:rsidR="00D7014D">
              <w:rPr>
                <w:noProof/>
                <w:webHidden/>
              </w:rPr>
              <w:fldChar w:fldCharType="begin"/>
            </w:r>
            <w:r w:rsidR="00D7014D">
              <w:rPr>
                <w:noProof/>
                <w:webHidden/>
              </w:rPr>
              <w:instrText xml:space="preserve"> PAGEREF _Toc16782809 \h </w:instrText>
            </w:r>
            <w:r w:rsidR="00D7014D">
              <w:rPr>
                <w:noProof/>
                <w:webHidden/>
              </w:rPr>
            </w:r>
            <w:r w:rsidR="00D7014D">
              <w:rPr>
                <w:noProof/>
                <w:webHidden/>
              </w:rPr>
              <w:fldChar w:fldCharType="separate"/>
            </w:r>
            <w:r w:rsidR="00D7014D">
              <w:rPr>
                <w:noProof/>
                <w:webHidden/>
              </w:rPr>
              <w:t>2</w:t>
            </w:r>
            <w:r w:rsidR="00D7014D">
              <w:rPr>
                <w:noProof/>
                <w:webHidden/>
              </w:rPr>
              <w:fldChar w:fldCharType="end"/>
            </w:r>
          </w:hyperlink>
        </w:p>
        <w:p w14:paraId="662A5069" w14:textId="772FF7EB" w:rsidR="00D7014D" w:rsidRDefault="001F4536" w:rsidP="005B08BD">
          <w:pPr>
            <w:pStyle w:val="TOC1"/>
            <w:tabs>
              <w:tab w:val="right" w:leader="dot" w:pos="9350"/>
            </w:tabs>
            <w:spacing w:after="0" w:line="240" w:lineRule="auto"/>
            <w:rPr>
              <w:rFonts w:eastAsiaTheme="minorEastAsia"/>
              <w:noProof/>
            </w:rPr>
          </w:pPr>
          <w:hyperlink w:anchor="_Toc16782810" w:history="1">
            <w:r w:rsidR="00D7014D" w:rsidRPr="00B258E5">
              <w:rPr>
                <w:rStyle w:val="Hyperlink"/>
                <w:noProof/>
              </w:rPr>
              <w:t>Data Methodology</w:t>
            </w:r>
            <w:r w:rsidR="00D7014D">
              <w:rPr>
                <w:noProof/>
                <w:webHidden/>
              </w:rPr>
              <w:tab/>
            </w:r>
            <w:r w:rsidR="00D7014D">
              <w:rPr>
                <w:noProof/>
                <w:webHidden/>
              </w:rPr>
              <w:fldChar w:fldCharType="begin"/>
            </w:r>
            <w:r w:rsidR="00D7014D">
              <w:rPr>
                <w:noProof/>
                <w:webHidden/>
              </w:rPr>
              <w:instrText xml:space="preserve"> PAGEREF _Toc16782810 \h </w:instrText>
            </w:r>
            <w:r w:rsidR="00D7014D">
              <w:rPr>
                <w:noProof/>
                <w:webHidden/>
              </w:rPr>
            </w:r>
            <w:r w:rsidR="00D7014D">
              <w:rPr>
                <w:noProof/>
                <w:webHidden/>
              </w:rPr>
              <w:fldChar w:fldCharType="separate"/>
            </w:r>
            <w:r w:rsidR="00D7014D">
              <w:rPr>
                <w:noProof/>
                <w:webHidden/>
              </w:rPr>
              <w:t>2</w:t>
            </w:r>
            <w:r w:rsidR="00D7014D">
              <w:rPr>
                <w:noProof/>
                <w:webHidden/>
              </w:rPr>
              <w:fldChar w:fldCharType="end"/>
            </w:r>
          </w:hyperlink>
        </w:p>
        <w:p w14:paraId="005BB499" w14:textId="2390262B" w:rsidR="00D7014D" w:rsidRDefault="001F4536" w:rsidP="005B08BD">
          <w:pPr>
            <w:pStyle w:val="TOC2"/>
            <w:tabs>
              <w:tab w:val="right" w:leader="dot" w:pos="9350"/>
            </w:tabs>
            <w:spacing w:after="0" w:line="240" w:lineRule="auto"/>
            <w:rPr>
              <w:rFonts w:eastAsiaTheme="minorEastAsia"/>
              <w:noProof/>
            </w:rPr>
          </w:pPr>
          <w:hyperlink w:anchor="_Toc16782811" w:history="1">
            <w:r w:rsidR="00D7014D" w:rsidRPr="00B258E5">
              <w:rPr>
                <w:rStyle w:val="Hyperlink"/>
                <w:noProof/>
              </w:rPr>
              <w:t>Field of Study identifiers</w:t>
            </w:r>
            <w:r w:rsidR="00D7014D">
              <w:rPr>
                <w:noProof/>
                <w:webHidden/>
              </w:rPr>
              <w:tab/>
            </w:r>
            <w:r w:rsidR="00D7014D">
              <w:rPr>
                <w:noProof/>
                <w:webHidden/>
              </w:rPr>
              <w:fldChar w:fldCharType="begin"/>
            </w:r>
            <w:r w:rsidR="00D7014D">
              <w:rPr>
                <w:noProof/>
                <w:webHidden/>
              </w:rPr>
              <w:instrText xml:space="preserve"> PAGEREF _Toc16782811 \h </w:instrText>
            </w:r>
            <w:r w:rsidR="00D7014D">
              <w:rPr>
                <w:noProof/>
                <w:webHidden/>
              </w:rPr>
            </w:r>
            <w:r w:rsidR="00D7014D">
              <w:rPr>
                <w:noProof/>
                <w:webHidden/>
              </w:rPr>
              <w:fldChar w:fldCharType="separate"/>
            </w:r>
            <w:r w:rsidR="00D7014D">
              <w:rPr>
                <w:noProof/>
                <w:webHidden/>
              </w:rPr>
              <w:t>2</w:t>
            </w:r>
            <w:r w:rsidR="00D7014D">
              <w:rPr>
                <w:noProof/>
                <w:webHidden/>
              </w:rPr>
              <w:fldChar w:fldCharType="end"/>
            </w:r>
          </w:hyperlink>
        </w:p>
        <w:p w14:paraId="592C0D00" w14:textId="02926D2A" w:rsidR="00D7014D" w:rsidRDefault="001F4536" w:rsidP="005B08BD">
          <w:pPr>
            <w:pStyle w:val="TOC2"/>
            <w:tabs>
              <w:tab w:val="right" w:leader="dot" w:pos="9350"/>
            </w:tabs>
            <w:spacing w:after="0" w:line="240" w:lineRule="auto"/>
            <w:rPr>
              <w:rFonts w:eastAsiaTheme="minorEastAsia"/>
              <w:noProof/>
            </w:rPr>
          </w:pPr>
          <w:hyperlink w:anchor="_Toc16782812" w:history="1">
            <w:r w:rsidR="00D7014D" w:rsidRPr="00B258E5">
              <w:rPr>
                <w:rStyle w:val="Hyperlink"/>
                <w:noProof/>
              </w:rPr>
              <w:t>Post-completion earnings</w:t>
            </w:r>
            <w:r w:rsidR="00D7014D">
              <w:rPr>
                <w:noProof/>
                <w:webHidden/>
              </w:rPr>
              <w:tab/>
            </w:r>
            <w:r w:rsidR="00D7014D">
              <w:rPr>
                <w:noProof/>
                <w:webHidden/>
              </w:rPr>
              <w:fldChar w:fldCharType="begin"/>
            </w:r>
            <w:r w:rsidR="00D7014D">
              <w:rPr>
                <w:noProof/>
                <w:webHidden/>
              </w:rPr>
              <w:instrText xml:space="preserve"> PAGEREF _Toc16782812 \h </w:instrText>
            </w:r>
            <w:r w:rsidR="00D7014D">
              <w:rPr>
                <w:noProof/>
                <w:webHidden/>
              </w:rPr>
            </w:r>
            <w:r w:rsidR="00D7014D">
              <w:rPr>
                <w:noProof/>
                <w:webHidden/>
              </w:rPr>
              <w:fldChar w:fldCharType="separate"/>
            </w:r>
            <w:r w:rsidR="00D7014D">
              <w:rPr>
                <w:noProof/>
                <w:webHidden/>
              </w:rPr>
              <w:t>3</w:t>
            </w:r>
            <w:r w:rsidR="00D7014D">
              <w:rPr>
                <w:noProof/>
                <w:webHidden/>
              </w:rPr>
              <w:fldChar w:fldCharType="end"/>
            </w:r>
          </w:hyperlink>
        </w:p>
        <w:p w14:paraId="09FB946B" w14:textId="46D6C667" w:rsidR="00D7014D" w:rsidRDefault="001F4536" w:rsidP="005B08BD">
          <w:pPr>
            <w:pStyle w:val="TOC2"/>
            <w:tabs>
              <w:tab w:val="right" w:leader="dot" w:pos="9350"/>
            </w:tabs>
            <w:spacing w:after="0" w:line="240" w:lineRule="auto"/>
            <w:rPr>
              <w:rFonts w:eastAsiaTheme="minorEastAsia"/>
              <w:noProof/>
            </w:rPr>
          </w:pPr>
          <w:hyperlink w:anchor="_Toc16782813" w:history="1">
            <w:r w:rsidR="00D7014D" w:rsidRPr="00B258E5">
              <w:rPr>
                <w:rStyle w:val="Hyperlink"/>
                <w:noProof/>
              </w:rPr>
              <w:t>Cumulative federal loan debt</w:t>
            </w:r>
            <w:r w:rsidR="00D7014D">
              <w:rPr>
                <w:noProof/>
                <w:webHidden/>
              </w:rPr>
              <w:tab/>
            </w:r>
            <w:r w:rsidR="00D7014D">
              <w:rPr>
                <w:noProof/>
                <w:webHidden/>
              </w:rPr>
              <w:fldChar w:fldCharType="begin"/>
            </w:r>
            <w:r w:rsidR="00D7014D">
              <w:rPr>
                <w:noProof/>
                <w:webHidden/>
              </w:rPr>
              <w:instrText xml:space="preserve"> PAGEREF _Toc16782813 \h </w:instrText>
            </w:r>
            <w:r w:rsidR="00D7014D">
              <w:rPr>
                <w:noProof/>
                <w:webHidden/>
              </w:rPr>
            </w:r>
            <w:r w:rsidR="00D7014D">
              <w:rPr>
                <w:noProof/>
                <w:webHidden/>
              </w:rPr>
              <w:fldChar w:fldCharType="separate"/>
            </w:r>
            <w:r w:rsidR="00D7014D">
              <w:rPr>
                <w:noProof/>
                <w:webHidden/>
              </w:rPr>
              <w:t>4</w:t>
            </w:r>
            <w:r w:rsidR="00D7014D">
              <w:rPr>
                <w:noProof/>
                <w:webHidden/>
              </w:rPr>
              <w:fldChar w:fldCharType="end"/>
            </w:r>
          </w:hyperlink>
        </w:p>
        <w:p w14:paraId="13797F73" w14:textId="03362B2E" w:rsidR="00D7014D" w:rsidRDefault="001F4536" w:rsidP="005B08BD">
          <w:pPr>
            <w:pStyle w:val="TOC2"/>
            <w:tabs>
              <w:tab w:val="right" w:leader="dot" w:pos="9350"/>
            </w:tabs>
            <w:spacing w:after="0" w:line="240" w:lineRule="auto"/>
            <w:rPr>
              <w:rFonts w:eastAsiaTheme="minorEastAsia"/>
              <w:noProof/>
            </w:rPr>
          </w:pPr>
          <w:hyperlink w:anchor="_Toc16782814" w:history="1">
            <w:r w:rsidR="00D7014D" w:rsidRPr="00B258E5">
              <w:rPr>
                <w:rStyle w:val="Hyperlink"/>
                <w:noProof/>
              </w:rPr>
              <w:t>Program size</w:t>
            </w:r>
            <w:r w:rsidR="00D7014D">
              <w:rPr>
                <w:noProof/>
                <w:webHidden/>
              </w:rPr>
              <w:tab/>
            </w:r>
            <w:r w:rsidR="00D7014D">
              <w:rPr>
                <w:noProof/>
                <w:webHidden/>
              </w:rPr>
              <w:fldChar w:fldCharType="begin"/>
            </w:r>
            <w:r w:rsidR="00D7014D">
              <w:rPr>
                <w:noProof/>
                <w:webHidden/>
              </w:rPr>
              <w:instrText xml:space="preserve"> PAGEREF _Toc16782814 \h </w:instrText>
            </w:r>
            <w:r w:rsidR="00D7014D">
              <w:rPr>
                <w:noProof/>
                <w:webHidden/>
              </w:rPr>
            </w:r>
            <w:r w:rsidR="00D7014D">
              <w:rPr>
                <w:noProof/>
                <w:webHidden/>
              </w:rPr>
              <w:fldChar w:fldCharType="separate"/>
            </w:r>
            <w:r w:rsidR="00D7014D">
              <w:rPr>
                <w:noProof/>
                <w:webHidden/>
              </w:rPr>
              <w:t>5</w:t>
            </w:r>
            <w:r w:rsidR="00D7014D">
              <w:rPr>
                <w:noProof/>
                <w:webHidden/>
              </w:rPr>
              <w:fldChar w:fldCharType="end"/>
            </w:r>
          </w:hyperlink>
        </w:p>
        <w:p w14:paraId="371B298F" w14:textId="101E9D9A" w:rsidR="00D7014D" w:rsidRDefault="001F4536" w:rsidP="005B08BD">
          <w:pPr>
            <w:pStyle w:val="TOC1"/>
            <w:tabs>
              <w:tab w:val="right" w:leader="dot" w:pos="9350"/>
            </w:tabs>
            <w:spacing w:after="0" w:line="240" w:lineRule="auto"/>
            <w:rPr>
              <w:rFonts w:eastAsiaTheme="minorEastAsia"/>
              <w:noProof/>
            </w:rPr>
          </w:pPr>
          <w:hyperlink w:anchor="_Toc16782815" w:history="1">
            <w:r w:rsidR="00D7014D" w:rsidRPr="00B258E5">
              <w:rPr>
                <w:rStyle w:val="Hyperlink"/>
                <w:noProof/>
              </w:rPr>
              <w:t>Data Sources and Data Limitations</w:t>
            </w:r>
            <w:r w:rsidR="00D7014D">
              <w:rPr>
                <w:noProof/>
                <w:webHidden/>
              </w:rPr>
              <w:tab/>
            </w:r>
            <w:r w:rsidR="00D7014D">
              <w:rPr>
                <w:noProof/>
                <w:webHidden/>
              </w:rPr>
              <w:fldChar w:fldCharType="begin"/>
            </w:r>
            <w:r w:rsidR="00D7014D">
              <w:rPr>
                <w:noProof/>
                <w:webHidden/>
              </w:rPr>
              <w:instrText xml:space="preserve"> PAGEREF _Toc16782815 \h </w:instrText>
            </w:r>
            <w:r w:rsidR="00D7014D">
              <w:rPr>
                <w:noProof/>
                <w:webHidden/>
              </w:rPr>
            </w:r>
            <w:r w:rsidR="00D7014D">
              <w:rPr>
                <w:noProof/>
                <w:webHidden/>
              </w:rPr>
              <w:fldChar w:fldCharType="separate"/>
            </w:r>
            <w:r w:rsidR="00D7014D">
              <w:rPr>
                <w:noProof/>
                <w:webHidden/>
              </w:rPr>
              <w:t>5</w:t>
            </w:r>
            <w:r w:rsidR="00D7014D">
              <w:rPr>
                <w:noProof/>
                <w:webHidden/>
              </w:rPr>
              <w:fldChar w:fldCharType="end"/>
            </w:r>
          </w:hyperlink>
        </w:p>
        <w:p w14:paraId="28161111" w14:textId="7FB23BB3" w:rsidR="00D7014D" w:rsidRDefault="001F4536" w:rsidP="005B08BD">
          <w:pPr>
            <w:pStyle w:val="TOC2"/>
            <w:tabs>
              <w:tab w:val="right" w:leader="dot" w:pos="9350"/>
            </w:tabs>
            <w:spacing w:after="0" w:line="240" w:lineRule="auto"/>
            <w:rPr>
              <w:rFonts w:eastAsiaTheme="minorEastAsia"/>
              <w:noProof/>
            </w:rPr>
          </w:pPr>
          <w:hyperlink w:anchor="_Toc16782816" w:history="1">
            <w:r w:rsidR="00D7014D" w:rsidRPr="00B258E5">
              <w:rPr>
                <w:rStyle w:val="Hyperlink"/>
                <w:noProof/>
              </w:rPr>
              <w:t>Federally aided students</w:t>
            </w:r>
            <w:r w:rsidR="00D7014D">
              <w:rPr>
                <w:noProof/>
                <w:webHidden/>
              </w:rPr>
              <w:tab/>
            </w:r>
            <w:r w:rsidR="00D7014D">
              <w:rPr>
                <w:noProof/>
                <w:webHidden/>
              </w:rPr>
              <w:fldChar w:fldCharType="begin"/>
            </w:r>
            <w:r w:rsidR="00D7014D">
              <w:rPr>
                <w:noProof/>
                <w:webHidden/>
              </w:rPr>
              <w:instrText xml:space="preserve"> PAGEREF _Toc16782816 \h </w:instrText>
            </w:r>
            <w:r w:rsidR="00D7014D">
              <w:rPr>
                <w:noProof/>
                <w:webHidden/>
              </w:rPr>
            </w:r>
            <w:r w:rsidR="00D7014D">
              <w:rPr>
                <w:noProof/>
                <w:webHidden/>
              </w:rPr>
              <w:fldChar w:fldCharType="separate"/>
            </w:r>
            <w:r w:rsidR="00D7014D">
              <w:rPr>
                <w:noProof/>
                <w:webHidden/>
              </w:rPr>
              <w:t>6</w:t>
            </w:r>
            <w:r w:rsidR="00D7014D">
              <w:rPr>
                <w:noProof/>
                <w:webHidden/>
              </w:rPr>
              <w:fldChar w:fldCharType="end"/>
            </w:r>
          </w:hyperlink>
        </w:p>
        <w:p w14:paraId="719982E7" w14:textId="66CB17CC" w:rsidR="00D7014D" w:rsidRDefault="001F4536" w:rsidP="005B08BD">
          <w:pPr>
            <w:pStyle w:val="TOC2"/>
            <w:tabs>
              <w:tab w:val="right" w:leader="dot" w:pos="9350"/>
            </w:tabs>
            <w:spacing w:after="0" w:line="240" w:lineRule="auto"/>
            <w:rPr>
              <w:rFonts w:eastAsiaTheme="minorEastAsia"/>
              <w:noProof/>
            </w:rPr>
          </w:pPr>
          <w:hyperlink w:anchor="_Toc16782817" w:history="1">
            <w:r w:rsidR="00D7014D" w:rsidRPr="00B258E5">
              <w:rPr>
                <w:rStyle w:val="Hyperlink"/>
                <w:noProof/>
              </w:rPr>
              <w:t>Aggregation of Data</w:t>
            </w:r>
            <w:r w:rsidR="00D7014D">
              <w:rPr>
                <w:noProof/>
                <w:webHidden/>
              </w:rPr>
              <w:tab/>
            </w:r>
            <w:r w:rsidR="00D7014D">
              <w:rPr>
                <w:noProof/>
                <w:webHidden/>
              </w:rPr>
              <w:fldChar w:fldCharType="begin"/>
            </w:r>
            <w:r w:rsidR="00D7014D">
              <w:rPr>
                <w:noProof/>
                <w:webHidden/>
              </w:rPr>
              <w:instrText xml:space="preserve"> PAGEREF _Toc16782817 \h </w:instrText>
            </w:r>
            <w:r w:rsidR="00D7014D">
              <w:rPr>
                <w:noProof/>
                <w:webHidden/>
              </w:rPr>
            </w:r>
            <w:r w:rsidR="00D7014D">
              <w:rPr>
                <w:noProof/>
                <w:webHidden/>
              </w:rPr>
              <w:fldChar w:fldCharType="separate"/>
            </w:r>
            <w:r w:rsidR="00D7014D">
              <w:rPr>
                <w:noProof/>
                <w:webHidden/>
              </w:rPr>
              <w:t>6</w:t>
            </w:r>
            <w:r w:rsidR="00D7014D">
              <w:rPr>
                <w:noProof/>
                <w:webHidden/>
              </w:rPr>
              <w:fldChar w:fldCharType="end"/>
            </w:r>
          </w:hyperlink>
        </w:p>
        <w:p w14:paraId="293FCDEF" w14:textId="74733886" w:rsidR="00D7014D" w:rsidRDefault="001F4536" w:rsidP="005B08BD">
          <w:pPr>
            <w:pStyle w:val="TOC2"/>
            <w:tabs>
              <w:tab w:val="right" w:leader="dot" w:pos="9350"/>
            </w:tabs>
            <w:spacing w:after="0" w:line="240" w:lineRule="auto"/>
            <w:rPr>
              <w:rFonts w:eastAsiaTheme="minorEastAsia"/>
              <w:noProof/>
            </w:rPr>
          </w:pPr>
          <w:hyperlink w:anchor="_Toc16782818" w:history="1">
            <w:r w:rsidR="00D7014D" w:rsidRPr="00B258E5">
              <w:rPr>
                <w:rStyle w:val="Hyperlink"/>
                <w:noProof/>
              </w:rPr>
              <w:t>Earnings</w:t>
            </w:r>
            <w:r w:rsidR="00D7014D">
              <w:rPr>
                <w:noProof/>
                <w:webHidden/>
              </w:rPr>
              <w:tab/>
            </w:r>
            <w:r w:rsidR="00D7014D">
              <w:rPr>
                <w:noProof/>
                <w:webHidden/>
              </w:rPr>
              <w:fldChar w:fldCharType="begin"/>
            </w:r>
            <w:r w:rsidR="00D7014D">
              <w:rPr>
                <w:noProof/>
                <w:webHidden/>
              </w:rPr>
              <w:instrText xml:space="preserve"> PAGEREF _Toc16782818 \h </w:instrText>
            </w:r>
            <w:r w:rsidR="00D7014D">
              <w:rPr>
                <w:noProof/>
                <w:webHidden/>
              </w:rPr>
            </w:r>
            <w:r w:rsidR="00D7014D">
              <w:rPr>
                <w:noProof/>
                <w:webHidden/>
              </w:rPr>
              <w:fldChar w:fldCharType="separate"/>
            </w:r>
            <w:r w:rsidR="00D7014D">
              <w:rPr>
                <w:noProof/>
                <w:webHidden/>
              </w:rPr>
              <w:t>7</w:t>
            </w:r>
            <w:r w:rsidR="00D7014D">
              <w:rPr>
                <w:noProof/>
                <w:webHidden/>
              </w:rPr>
              <w:fldChar w:fldCharType="end"/>
            </w:r>
          </w:hyperlink>
        </w:p>
        <w:p w14:paraId="0FCC009A" w14:textId="48B6065E" w:rsidR="00D7014D" w:rsidRDefault="001F4536" w:rsidP="005B08BD">
          <w:pPr>
            <w:pStyle w:val="TOC2"/>
            <w:tabs>
              <w:tab w:val="right" w:leader="dot" w:pos="9350"/>
            </w:tabs>
            <w:spacing w:after="0" w:line="240" w:lineRule="auto"/>
            <w:rPr>
              <w:rFonts w:eastAsiaTheme="minorEastAsia"/>
              <w:noProof/>
            </w:rPr>
          </w:pPr>
          <w:hyperlink w:anchor="_Toc16782819" w:history="1">
            <w:r w:rsidR="00D7014D" w:rsidRPr="00B258E5">
              <w:rPr>
                <w:rStyle w:val="Hyperlink"/>
                <w:noProof/>
              </w:rPr>
              <w:t>CIP code granularity</w:t>
            </w:r>
            <w:r w:rsidR="00D7014D">
              <w:rPr>
                <w:noProof/>
                <w:webHidden/>
              </w:rPr>
              <w:tab/>
            </w:r>
            <w:r w:rsidR="00D7014D">
              <w:rPr>
                <w:noProof/>
                <w:webHidden/>
              </w:rPr>
              <w:fldChar w:fldCharType="begin"/>
            </w:r>
            <w:r w:rsidR="00D7014D">
              <w:rPr>
                <w:noProof/>
                <w:webHidden/>
              </w:rPr>
              <w:instrText xml:space="preserve"> PAGEREF _Toc16782819 \h </w:instrText>
            </w:r>
            <w:r w:rsidR="00D7014D">
              <w:rPr>
                <w:noProof/>
                <w:webHidden/>
              </w:rPr>
            </w:r>
            <w:r w:rsidR="00D7014D">
              <w:rPr>
                <w:noProof/>
                <w:webHidden/>
              </w:rPr>
              <w:fldChar w:fldCharType="separate"/>
            </w:r>
            <w:r w:rsidR="00D7014D">
              <w:rPr>
                <w:noProof/>
                <w:webHidden/>
              </w:rPr>
              <w:t>7</w:t>
            </w:r>
            <w:r w:rsidR="00D7014D">
              <w:rPr>
                <w:noProof/>
                <w:webHidden/>
              </w:rPr>
              <w:fldChar w:fldCharType="end"/>
            </w:r>
          </w:hyperlink>
        </w:p>
        <w:p w14:paraId="203FBEF5" w14:textId="5E9FBEDD" w:rsidR="00D7014D" w:rsidRDefault="001F4536" w:rsidP="005B08BD">
          <w:pPr>
            <w:pStyle w:val="TOC2"/>
            <w:tabs>
              <w:tab w:val="right" w:leader="dot" w:pos="9350"/>
            </w:tabs>
            <w:spacing w:after="0" w:line="240" w:lineRule="auto"/>
            <w:rPr>
              <w:rFonts w:eastAsiaTheme="minorEastAsia"/>
              <w:noProof/>
            </w:rPr>
          </w:pPr>
          <w:hyperlink w:anchor="_Toc16782820" w:history="1">
            <w:r w:rsidR="00D7014D" w:rsidRPr="00B258E5">
              <w:rPr>
                <w:rStyle w:val="Hyperlink"/>
                <w:noProof/>
              </w:rPr>
              <w:t>Data quality</w:t>
            </w:r>
            <w:r w:rsidR="00D7014D">
              <w:rPr>
                <w:noProof/>
                <w:webHidden/>
              </w:rPr>
              <w:tab/>
            </w:r>
            <w:r w:rsidR="00D7014D">
              <w:rPr>
                <w:noProof/>
                <w:webHidden/>
              </w:rPr>
              <w:fldChar w:fldCharType="begin"/>
            </w:r>
            <w:r w:rsidR="00D7014D">
              <w:rPr>
                <w:noProof/>
                <w:webHidden/>
              </w:rPr>
              <w:instrText xml:space="preserve"> PAGEREF _Toc16782820 \h </w:instrText>
            </w:r>
            <w:r w:rsidR="00D7014D">
              <w:rPr>
                <w:noProof/>
                <w:webHidden/>
              </w:rPr>
            </w:r>
            <w:r w:rsidR="00D7014D">
              <w:rPr>
                <w:noProof/>
                <w:webHidden/>
              </w:rPr>
              <w:fldChar w:fldCharType="separate"/>
            </w:r>
            <w:r w:rsidR="00D7014D">
              <w:rPr>
                <w:noProof/>
                <w:webHidden/>
              </w:rPr>
              <w:t>7</w:t>
            </w:r>
            <w:r w:rsidR="00D7014D">
              <w:rPr>
                <w:noProof/>
                <w:webHidden/>
              </w:rPr>
              <w:fldChar w:fldCharType="end"/>
            </w:r>
          </w:hyperlink>
        </w:p>
        <w:p w14:paraId="488D7A85" w14:textId="5E3EAC8A" w:rsidR="00D7014D" w:rsidRDefault="001F4536" w:rsidP="005B08BD">
          <w:pPr>
            <w:pStyle w:val="TOC1"/>
            <w:tabs>
              <w:tab w:val="right" w:leader="dot" w:pos="9350"/>
            </w:tabs>
            <w:spacing w:after="0" w:line="240" w:lineRule="auto"/>
            <w:rPr>
              <w:rFonts w:eastAsiaTheme="minorEastAsia"/>
              <w:noProof/>
            </w:rPr>
          </w:pPr>
          <w:hyperlink w:anchor="_Toc16782821" w:history="1">
            <w:r w:rsidR="00D7014D" w:rsidRPr="00B258E5">
              <w:rPr>
                <w:rStyle w:val="Hyperlink"/>
                <w:rFonts w:eastAsia="SimSun"/>
                <w:noProof/>
                <w:lang w:eastAsia="zh-CN"/>
              </w:rPr>
              <w:t>Considerations and Potential Risks:</w:t>
            </w:r>
            <w:r w:rsidR="00D7014D">
              <w:rPr>
                <w:noProof/>
                <w:webHidden/>
              </w:rPr>
              <w:tab/>
            </w:r>
            <w:r w:rsidR="00D7014D">
              <w:rPr>
                <w:noProof/>
                <w:webHidden/>
              </w:rPr>
              <w:fldChar w:fldCharType="begin"/>
            </w:r>
            <w:r w:rsidR="00D7014D">
              <w:rPr>
                <w:noProof/>
                <w:webHidden/>
              </w:rPr>
              <w:instrText xml:space="preserve"> PAGEREF _Toc16782821 \h </w:instrText>
            </w:r>
            <w:r w:rsidR="00D7014D">
              <w:rPr>
                <w:noProof/>
                <w:webHidden/>
              </w:rPr>
            </w:r>
            <w:r w:rsidR="00D7014D">
              <w:rPr>
                <w:noProof/>
                <w:webHidden/>
              </w:rPr>
              <w:fldChar w:fldCharType="separate"/>
            </w:r>
            <w:r w:rsidR="00D7014D">
              <w:rPr>
                <w:noProof/>
                <w:webHidden/>
              </w:rPr>
              <w:t>8</w:t>
            </w:r>
            <w:r w:rsidR="00D7014D">
              <w:rPr>
                <w:noProof/>
                <w:webHidden/>
              </w:rPr>
              <w:fldChar w:fldCharType="end"/>
            </w:r>
          </w:hyperlink>
        </w:p>
        <w:p w14:paraId="2E7EE33D" w14:textId="7BD11F67" w:rsidR="009939CA" w:rsidRDefault="009939CA" w:rsidP="005B08BD">
          <w:pPr>
            <w:spacing w:after="0" w:line="240" w:lineRule="auto"/>
          </w:pPr>
          <w:r>
            <w:rPr>
              <w:b/>
              <w:bCs/>
              <w:noProof/>
            </w:rPr>
            <w:fldChar w:fldCharType="end"/>
          </w:r>
        </w:p>
      </w:sdtContent>
    </w:sdt>
    <w:p w14:paraId="4816D1C9" w14:textId="77777777" w:rsidR="009939CA" w:rsidRDefault="009939CA" w:rsidP="005B08BD">
      <w:pPr>
        <w:pStyle w:val="Heading1"/>
        <w:spacing w:line="240" w:lineRule="auto"/>
      </w:pPr>
    </w:p>
    <w:p w14:paraId="05DB6B4B" w14:textId="77777777" w:rsidR="009939CA" w:rsidRDefault="009939CA" w:rsidP="005B08BD">
      <w:pPr>
        <w:spacing w:after="0" w:line="240" w:lineRule="auto"/>
        <w:rPr>
          <w:rFonts w:asciiTheme="majorHAnsi" w:eastAsiaTheme="majorEastAsia" w:hAnsiTheme="majorHAnsi" w:cstheme="majorBidi"/>
          <w:color w:val="2F5496" w:themeColor="accent1" w:themeShade="BF"/>
          <w:sz w:val="32"/>
          <w:szCs w:val="32"/>
        </w:rPr>
      </w:pPr>
      <w:r>
        <w:br w:type="page"/>
      </w:r>
    </w:p>
    <w:p w14:paraId="6BC89F23" w14:textId="33E8D260" w:rsidR="00AA386E" w:rsidRDefault="00AA386E" w:rsidP="005B08BD">
      <w:pPr>
        <w:pStyle w:val="Heading1"/>
        <w:spacing w:line="240" w:lineRule="auto"/>
      </w:pPr>
      <w:bookmarkStart w:id="1" w:name="_Toc16782809"/>
      <w:r>
        <w:lastRenderedPageBreak/>
        <w:t>Introduction</w:t>
      </w:r>
      <w:bookmarkEnd w:id="1"/>
    </w:p>
    <w:p w14:paraId="74A94905" w14:textId="77777777" w:rsidR="005B08BD" w:rsidRDefault="004211D2" w:rsidP="005B08BD">
      <w:pPr>
        <w:spacing w:after="0" w:line="240" w:lineRule="auto"/>
        <w:rPr>
          <w:rFonts w:eastAsia="Times New Roman"/>
        </w:rPr>
      </w:pPr>
      <w:r>
        <w:t xml:space="preserve">As part of the implementing </w:t>
      </w:r>
      <w:r w:rsidR="00A10289" w:rsidRPr="009E2250">
        <w:t xml:space="preserve">the </w:t>
      </w:r>
      <w:hyperlink r:id="rId12" w:history="1">
        <w:r w:rsidR="00A10289" w:rsidRPr="009E2250">
          <w:rPr>
            <w:rStyle w:val="Hyperlink"/>
            <w:rFonts w:eastAsia="Times New Roman"/>
          </w:rPr>
          <w:t>Improving Free Inquiry, Transparency, and Accountability at Colleges and Universities</w:t>
        </w:r>
      </w:hyperlink>
      <w:r w:rsidR="00A10289" w:rsidRPr="009E2250">
        <w:rPr>
          <w:rStyle w:val="Hyperlink"/>
          <w:rFonts w:eastAsia="Times New Roman"/>
        </w:rPr>
        <w:t xml:space="preserve">  Executive Order,</w:t>
      </w:r>
      <w:r w:rsidR="00A10289" w:rsidRPr="009E2250">
        <w:rPr>
          <w:rFonts w:eastAsia="Times New Roman"/>
        </w:rPr>
        <w:t xml:space="preserve"> </w:t>
      </w:r>
      <w:r w:rsidR="00A16FB7">
        <w:rPr>
          <w:rFonts w:eastAsia="Times New Roman"/>
        </w:rPr>
        <w:t xml:space="preserve">the </w:t>
      </w:r>
      <w:r w:rsidR="00A10289" w:rsidRPr="009E2250">
        <w:rPr>
          <w:rFonts w:eastAsia="Times New Roman"/>
        </w:rPr>
        <w:t>College Scorecard</w:t>
      </w:r>
      <w:r w:rsidR="00F23AF4">
        <w:rPr>
          <w:rFonts w:eastAsia="Times New Roman"/>
        </w:rPr>
        <w:t xml:space="preserve"> </w:t>
      </w:r>
      <w:r w:rsidR="00A16FB7">
        <w:rPr>
          <w:rFonts w:eastAsia="Times New Roman"/>
        </w:rPr>
        <w:t>(Scorecard)</w:t>
      </w:r>
      <w:r w:rsidR="00D34D93">
        <w:rPr>
          <w:rFonts w:eastAsia="Times New Roman"/>
        </w:rPr>
        <w:t xml:space="preserve"> expanded to include </w:t>
      </w:r>
      <w:r w:rsidR="009106D8">
        <w:rPr>
          <w:rFonts w:eastAsia="Times New Roman"/>
        </w:rPr>
        <w:t xml:space="preserve">new data elements </w:t>
      </w:r>
      <w:r w:rsidR="0056111A">
        <w:rPr>
          <w:rFonts w:eastAsia="Times New Roman"/>
        </w:rPr>
        <w:t xml:space="preserve">describing </w:t>
      </w:r>
      <w:r w:rsidR="00486C05">
        <w:rPr>
          <w:rFonts w:eastAsia="Times New Roman"/>
        </w:rPr>
        <w:t xml:space="preserve">post-graduate earnings and </w:t>
      </w:r>
      <w:r w:rsidR="00A10289" w:rsidRPr="009E2250">
        <w:rPr>
          <w:rFonts w:eastAsia="Times New Roman"/>
        </w:rPr>
        <w:t>cumulative loan debt</w:t>
      </w:r>
      <w:r w:rsidR="00A10289">
        <w:rPr>
          <w:rFonts w:eastAsia="Times New Roman"/>
        </w:rPr>
        <w:t xml:space="preserve"> of graduates by field of study.</w:t>
      </w:r>
      <w:r w:rsidR="008721BC">
        <w:rPr>
          <w:rFonts w:eastAsia="Times New Roman"/>
        </w:rPr>
        <w:t xml:space="preserve"> </w:t>
      </w:r>
      <w:r w:rsidR="00080E1B">
        <w:rPr>
          <w:rFonts w:eastAsia="Times New Roman"/>
        </w:rPr>
        <w:t xml:space="preserve">The primary purpose of </w:t>
      </w:r>
      <w:r w:rsidR="00ED2A1E">
        <w:rPr>
          <w:rFonts w:eastAsia="Times New Roman"/>
        </w:rPr>
        <w:t xml:space="preserve">the Scorecard is to provide </w:t>
      </w:r>
      <w:r w:rsidR="0056111A">
        <w:rPr>
          <w:rFonts w:eastAsia="Times New Roman"/>
        </w:rPr>
        <w:t xml:space="preserve">data </w:t>
      </w:r>
      <w:r w:rsidR="00ED2A1E">
        <w:rPr>
          <w:rFonts w:eastAsia="Times New Roman"/>
        </w:rPr>
        <w:t>to help prospective postsecondary students make informed enrollment decisions.</w:t>
      </w:r>
      <w:r w:rsidR="00965EC3">
        <w:rPr>
          <w:rFonts w:eastAsia="Times New Roman"/>
        </w:rPr>
        <w:t xml:space="preserve"> </w:t>
      </w:r>
    </w:p>
    <w:p w14:paraId="5818A7A7" w14:textId="77777777" w:rsidR="00217D9A" w:rsidRDefault="00217D9A" w:rsidP="005B08BD">
      <w:pPr>
        <w:spacing w:after="0" w:line="240" w:lineRule="auto"/>
        <w:rPr>
          <w:rFonts w:eastAsia="Times New Roman"/>
        </w:rPr>
      </w:pPr>
    </w:p>
    <w:p w14:paraId="265E67C1" w14:textId="37159351" w:rsidR="005B08BD" w:rsidRDefault="00965EC3" w:rsidP="005B08BD">
      <w:pPr>
        <w:spacing w:after="0" w:line="240" w:lineRule="auto"/>
        <w:rPr>
          <w:rFonts w:eastAsia="Times New Roman"/>
        </w:rPr>
      </w:pPr>
      <w:r>
        <w:rPr>
          <w:rFonts w:eastAsia="Times New Roman"/>
        </w:rPr>
        <w:t>Since 2015, Scorecard has provided information describing institutions as a whole. However, depending on the field of</w:t>
      </w:r>
      <w:r w:rsidR="002620A9">
        <w:rPr>
          <w:rFonts w:eastAsia="Times New Roman"/>
        </w:rPr>
        <w:t xml:space="preserve"> </w:t>
      </w:r>
      <w:r>
        <w:rPr>
          <w:rFonts w:eastAsia="Times New Roman"/>
        </w:rPr>
        <w:t>study, outcomes can vary substantially within institutions</w:t>
      </w:r>
      <w:r w:rsidR="0050674F">
        <w:rPr>
          <w:rFonts w:eastAsia="Times New Roman"/>
        </w:rPr>
        <w:t>.</w:t>
      </w:r>
    </w:p>
    <w:p w14:paraId="51C16E87" w14:textId="77777777" w:rsidR="00B338FE" w:rsidRDefault="00B338FE" w:rsidP="005B08BD">
      <w:pPr>
        <w:spacing w:after="0" w:line="240" w:lineRule="auto"/>
        <w:rPr>
          <w:rFonts w:eastAsia="Times New Roman"/>
        </w:rPr>
      </w:pPr>
    </w:p>
    <w:p w14:paraId="57139A54" w14:textId="27C9775E" w:rsidR="005B08BD" w:rsidRDefault="009145EC" w:rsidP="005B08BD">
      <w:pPr>
        <w:spacing w:after="0" w:line="240" w:lineRule="auto"/>
        <w:rPr>
          <w:rFonts w:eastAsia="Times New Roman"/>
        </w:rPr>
      </w:pPr>
      <w:r>
        <w:rPr>
          <w:rFonts w:eastAsia="Times New Roman"/>
        </w:rPr>
        <w:t xml:space="preserve">Figure X. Median </w:t>
      </w:r>
      <w:r w:rsidR="00CF07D7">
        <w:rPr>
          <w:rFonts w:eastAsia="Times New Roman"/>
        </w:rPr>
        <w:t>e</w:t>
      </w:r>
      <w:r>
        <w:rPr>
          <w:rFonts w:eastAsia="Times New Roman"/>
        </w:rPr>
        <w:t>arnings</w:t>
      </w:r>
      <w:r w:rsidR="00CF07D7">
        <w:rPr>
          <w:rFonts w:eastAsia="Times New Roman"/>
        </w:rPr>
        <w:t xml:space="preserve"> for undergraduate fields of study</w:t>
      </w:r>
      <w:r>
        <w:rPr>
          <w:rFonts w:eastAsia="Times New Roman"/>
        </w:rPr>
        <w:t>, by institution</w:t>
      </w:r>
      <w:r w:rsidR="00A54417" w:rsidRPr="009145EC">
        <w:rPr>
          <w:rFonts w:eastAsia="Times New Roman"/>
        </w:rPr>
        <w:t xml:space="preserve"> .</w:t>
      </w:r>
    </w:p>
    <w:p w14:paraId="7BF2A398" w14:textId="275BA58F" w:rsidR="004D325C" w:rsidRDefault="009145EC" w:rsidP="005B08BD">
      <w:pPr>
        <w:spacing w:after="0" w:line="240" w:lineRule="auto"/>
        <w:rPr>
          <w:rFonts w:eastAsia="Times New Roman"/>
        </w:rPr>
      </w:pPr>
      <w:r>
        <w:rPr>
          <w:noProof/>
        </w:rPr>
        <w:drawing>
          <wp:inline distT="0" distB="0" distL="0" distR="0" wp14:anchorId="01EB2948" wp14:editId="619E8266">
            <wp:extent cx="5943600" cy="3351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1530"/>
                    </a:xfrm>
                    <a:prstGeom prst="rect">
                      <a:avLst/>
                    </a:prstGeom>
                  </pic:spPr>
                </pic:pic>
              </a:graphicData>
            </a:graphic>
          </wp:inline>
        </w:drawing>
      </w:r>
    </w:p>
    <w:p w14:paraId="05692892" w14:textId="5B045709" w:rsidR="00CF07D7" w:rsidRDefault="00CF07D7" w:rsidP="005B08BD">
      <w:pPr>
        <w:spacing w:after="0" w:line="240" w:lineRule="auto"/>
        <w:rPr>
          <w:rFonts w:eastAsia="Times New Roman"/>
        </w:rPr>
      </w:pPr>
      <w:r>
        <w:rPr>
          <w:rFonts w:eastAsia="Times New Roman"/>
        </w:rPr>
        <w:t>Note: only the first 85 institution boxplots are shown as examples of earnings variation across fields of study within institutions.</w:t>
      </w:r>
    </w:p>
    <w:p w14:paraId="49158E63" w14:textId="77777777" w:rsidR="00CF07D7" w:rsidRDefault="00CF07D7" w:rsidP="005B08BD">
      <w:pPr>
        <w:spacing w:after="0" w:line="240" w:lineRule="auto"/>
        <w:rPr>
          <w:rFonts w:eastAsia="Times New Roman"/>
        </w:rPr>
      </w:pPr>
    </w:p>
    <w:p w14:paraId="0A8DF196" w14:textId="26EF7DFB" w:rsidR="00AA386E" w:rsidRDefault="00C9498B" w:rsidP="005B08BD">
      <w:pPr>
        <w:spacing w:after="0" w:line="240" w:lineRule="auto"/>
        <w:rPr>
          <w:rFonts w:eastAsia="Times New Roman"/>
        </w:rPr>
      </w:pPr>
      <w:r>
        <w:rPr>
          <w:rFonts w:eastAsia="Times New Roman"/>
        </w:rPr>
        <w:t>In order to provide more comprehensive</w:t>
      </w:r>
      <w:r w:rsidR="00123488">
        <w:rPr>
          <w:rFonts w:eastAsia="Times New Roman"/>
        </w:rPr>
        <w:t>, granular</w:t>
      </w:r>
      <w:r>
        <w:rPr>
          <w:rFonts w:eastAsia="Times New Roman"/>
        </w:rPr>
        <w:t xml:space="preserve"> data to prospective students, </w:t>
      </w:r>
      <w:r w:rsidR="00DC19DD">
        <w:rPr>
          <w:rFonts w:eastAsia="Times New Roman"/>
        </w:rPr>
        <w:t xml:space="preserve">Scorecard is providing information on post-graduate earnings and cumulative debt by field of study. </w:t>
      </w:r>
      <w:r w:rsidR="00A54417">
        <w:rPr>
          <w:rFonts w:eastAsia="Times New Roman"/>
        </w:rPr>
        <w:t xml:space="preserve">The purpose </w:t>
      </w:r>
      <w:r w:rsidR="008721BC">
        <w:rPr>
          <w:rFonts w:eastAsia="Times New Roman"/>
        </w:rPr>
        <w:t>of this document is to describe the</w:t>
      </w:r>
      <w:r w:rsidR="00DE69C9">
        <w:rPr>
          <w:rFonts w:eastAsia="Times New Roman"/>
        </w:rPr>
        <w:t xml:space="preserve"> data generating process and data limitations of data elements disaggregated by field of study.</w:t>
      </w:r>
      <w:r w:rsidR="00B26179">
        <w:rPr>
          <w:rFonts w:eastAsia="Times New Roman"/>
        </w:rPr>
        <w:t xml:space="preserve"> For</w:t>
      </w:r>
      <w:r w:rsidR="00970577">
        <w:rPr>
          <w:rFonts w:eastAsia="Times New Roman"/>
        </w:rPr>
        <w:t xml:space="preserve"> detailed data documentation describing the existing institution-level data metrics, see the </w:t>
      </w:r>
      <w:r w:rsidR="00B235A6">
        <w:rPr>
          <w:rFonts w:eastAsia="Times New Roman"/>
        </w:rPr>
        <w:t xml:space="preserve"> </w:t>
      </w:r>
      <w:hyperlink r:id="rId14" w:history="1">
        <w:r w:rsidR="00D842D6">
          <w:rPr>
            <w:rStyle w:val="Hyperlink"/>
            <w:rFonts w:eastAsia="Times New Roman"/>
          </w:rPr>
          <w:t>Scorecard d</w:t>
        </w:r>
        <w:r w:rsidR="00970577" w:rsidRPr="00B235A6">
          <w:rPr>
            <w:rStyle w:val="Hyperlink"/>
            <w:rFonts w:eastAsia="Times New Roman"/>
          </w:rPr>
          <w:t>ocumentation report</w:t>
        </w:r>
      </w:hyperlink>
      <w:r w:rsidR="00970577">
        <w:rPr>
          <w:rFonts w:eastAsia="Times New Roman"/>
        </w:rPr>
        <w:t>.</w:t>
      </w:r>
    </w:p>
    <w:p w14:paraId="4CC0D60F" w14:textId="3B42A0C0" w:rsidR="005D4F17" w:rsidRDefault="005D4F17" w:rsidP="005B08BD">
      <w:pPr>
        <w:spacing w:after="0" w:line="240" w:lineRule="auto"/>
        <w:rPr>
          <w:rFonts w:eastAsia="Times New Roman"/>
        </w:rPr>
      </w:pPr>
    </w:p>
    <w:p w14:paraId="0279C251" w14:textId="44884282" w:rsidR="00AA386E" w:rsidRDefault="00AA386E" w:rsidP="005B08BD">
      <w:pPr>
        <w:pStyle w:val="Heading1"/>
        <w:spacing w:line="240" w:lineRule="auto"/>
      </w:pPr>
      <w:bookmarkStart w:id="2" w:name="_Toc16782810"/>
      <w:r>
        <w:t>Data Methodology</w:t>
      </w:r>
      <w:bookmarkEnd w:id="2"/>
    </w:p>
    <w:p w14:paraId="3A6C5DC1" w14:textId="7418C763" w:rsidR="00181859" w:rsidRPr="00181859" w:rsidRDefault="00FD104E" w:rsidP="005B08BD">
      <w:pPr>
        <w:spacing w:after="0" w:line="240" w:lineRule="auto"/>
      </w:pPr>
      <w:r>
        <w:rPr>
          <w:rFonts w:ascii="Calibri" w:hAnsi="Calibri"/>
        </w:rPr>
        <w:t xml:space="preserve">The methodology used </w:t>
      </w:r>
      <w:r w:rsidR="00946BF4">
        <w:rPr>
          <w:rFonts w:ascii="Calibri" w:hAnsi="Calibri"/>
        </w:rPr>
        <w:t xml:space="preserve">to calculate earnings and cumulative debt </w:t>
      </w:r>
      <w:r w:rsidR="00B24B5A">
        <w:rPr>
          <w:rFonts w:ascii="Calibri" w:hAnsi="Calibri"/>
        </w:rPr>
        <w:t>by field of study were based</w:t>
      </w:r>
      <w:r>
        <w:rPr>
          <w:rFonts w:ascii="Calibri" w:hAnsi="Calibri"/>
        </w:rPr>
        <w:t xml:space="preserve">, in part, </w:t>
      </w:r>
      <w:r w:rsidR="00B24B5A">
        <w:rPr>
          <w:rFonts w:ascii="Calibri" w:hAnsi="Calibri"/>
        </w:rPr>
        <w:t xml:space="preserve">on </w:t>
      </w:r>
      <w:r>
        <w:rPr>
          <w:rFonts w:ascii="Calibri" w:hAnsi="Calibri"/>
        </w:rPr>
        <w:t xml:space="preserve">discussions from </w:t>
      </w:r>
      <w:r w:rsidR="00B24B5A">
        <w:rPr>
          <w:rFonts w:ascii="Calibri" w:hAnsi="Calibri"/>
        </w:rPr>
        <w:t>the spring 2019</w:t>
      </w:r>
      <w:r w:rsidR="001A5948">
        <w:rPr>
          <w:rFonts w:ascii="Calibri" w:hAnsi="Calibri"/>
        </w:rPr>
        <w:t xml:space="preserve"> Scorecard</w:t>
      </w:r>
      <w:r>
        <w:rPr>
          <w:rFonts w:ascii="Calibri" w:hAnsi="Calibri"/>
        </w:rPr>
        <w:t xml:space="preserve"> </w:t>
      </w:r>
      <w:hyperlink r:id="rId15" w:history="1">
        <w:r w:rsidRPr="00B80371">
          <w:rPr>
            <w:rStyle w:val="Hyperlink"/>
            <w:rFonts w:ascii="Calibri" w:hAnsi="Calibri"/>
          </w:rPr>
          <w:t>Technical Review Panel</w:t>
        </w:r>
      </w:hyperlink>
      <w:r>
        <w:rPr>
          <w:rFonts w:ascii="Calibri" w:hAnsi="Calibri"/>
        </w:rPr>
        <w:t>.</w:t>
      </w:r>
      <w:r w:rsidR="00087FC2">
        <w:rPr>
          <w:rFonts w:ascii="Calibri" w:hAnsi="Calibri"/>
        </w:rPr>
        <w:t xml:space="preserve"> </w:t>
      </w:r>
      <w:r w:rsidR="00E33305">
        <w:rPr>
          <w:rFonts w:ascii="Calibri" w:hAnsi="Calibri"/>
        </w:rPr>
        <w:t>T</w:t>
      </w:r>
      <w:r w:rsidR="00EC206C">
        <w:rPr>
          <w:rFonts w:ascii="Calibri" w:hAnsi="Calibri"/>
        </w:rPr>
        <w:t xml:space="preserve">he </w:t>
      </w:r>
      <w:hyperlink r:id="rId16" w:history="1">
        <w:r w:rsidR="00D842D6" w:rsidRPr="00D842D6">
          <w:rPr>
            <w:rStyle w:val="Hyperlink"/>
            <w:rFonts w:ascii="Calibri" w:hAnsi="Calibri"/>
          </w:rPr>
          <w:t>S</w:t>
        </w:r>
        <w:r w:rsidR="00EC206C" w:rsidRPr="00D842D6">
          <w:rPr>
            <w:rStyle w:val="Hyperlink"/>
            <w:rFonts w:ascii="Calibri" w:hAnsi="Calibri"/>
          </w:rPr>
          <w:t>corecard consumer-facing website</w:t>
        </w:r>
      </w:hyperlink>
      <w:r w:rsidR="00EC206C">
        <w:rPr>
          <w:rFonts w:ascii="Calibri" w:hAnsi="Calibri"/>
        </w:rPr>
        <w:t xml:space="preserve"> includes only </w:t>
      </w:r>
      <w:r w:rsidR="00333555">
        <w:rPr>
          <w:rFonts w:ascii="Calibri" w:hAnsi="Calibri"/>
        </w:rPr>
        <w:t>a subset of data elements</w:t>
      </w:r>
      <w:r w:rsidR="007A2338">
        <w:rPr>
          <w:rFonts w:ascii="Calibri" w:hAnsi="Calibri"/>
        </w:rPr>
        <w:t xml:space="preserve"> (e.g. median earnings, median cumulative debt)</w:t>
      </w:r>
      <w:r w:rsidR="00333555">
        <w:rPr>
          <w:rFonts w:ascii="Calibri" w:hAnsi="Calibri"/>
        </w:rPr>
        <w:t xml:space="preserve"> </w:t>
      </w:r>
      <w:r w:rsidR="00333555">
        <w:rPr>
          <w:rFonts w:ascii="Calibri" w:hAnsi="Calibri"/>
        </w:rPr>
        <w:lastRenderedPageBreak/>
        <w:t xml:space="preserve">disaggregated </w:t>
      </w:r>
      <w:r w:rsidR="00673D3E">
        <w:rPr>
          <w:rFonts w:ascii="Calibri" w:hAnsi="Calibri"/>
        </w:rPr>
        <w:t>by field of study</w:t>
      </w:r>
      <w:r w:rsidR="00333555">
        <w:rPr>
          <w:rFonts w:ascii="Calibri" w:hAnsi="Calibri"/>
        </w:rPr>
        <w:t xml:space="preserve"> </w:t>
      </w:r>
      <w:r w:rsidR="00F717B7">
        <w:rPr>
          <w:rFonts w:ascii="Calibri" w:hAnsi="Calibri"/>
        </w:rPr>
        <w:t xml:space="preserve">for </w:t>
      </w:r>
      <w:r w:rsidR="00FD4C64">
        <w:rPr>
          <w:rFonts w:ascii="Calibri" w:hAnsi="Calibri"/>
        </w:rPr>
        <w:t>currently operating undergraduate institutions</w:t>
      </w:r>
      <w:r w:rsidR="00433FC3">
        <w:rPr>
          <w:rStyle w:val="FootnoteReference"/>
          <w:rFonts w:ascii="Calibri" w:hAnsi="Calibri"/>
        </w:rPr>
        <w:footnoteReference w:id="1"/>
      </w:r>
      <w:r w:rsidR="00FD4C64">
        <w:rPr>
          <w:rFonts w:ascii="Calibri" w:hAnsi="Calibri"/>
        </w:rPr>
        <w:t xml:space="preserve"> </w:t>
      </w:r>
      <w:r w:rsidR="00333555">
        <w:rPr>
          <w:rFonts w:ascii="Calibri" w:hAnsi="Calibri"/>
        </w:rPr>
        <w:t>and</w:t>
      </w:r>
      <w:r w:rsidR="00673D3E">
        <w:rPr>
          <w:rFonts w:ascii="Calibri" w:hAnsi="Calibri"/>
        </w:rPr>
        <w:t xml:space="preserve"> </w:t>
      </w:r>
      <w:r w:rsidR="00872A7C">
        <w:rPr>
          <w:rFonts w:ascii="Calibri" w:hAnsi="Calibri"/>
        </w:rPr>
        <w:t>a more comprehensive set of data elements</w:t>
      </w:r>
      <w:r w:rsidR="00F4101D">
        <w:rPr>
          <w:rFonts w:ascii="Calibri" w:hAnsi="Calibri"/>
        </w:rPr>
        <w:t>, including counts and averages</w:t>
      </w:r>
      <w:r w:rsidR="00872A7C">
        <w:rPr>
          <w:rFonts w:ascii="Calibri" w:hAnsi="Calibri"/>
        </w:rPr>
        <w:t xml:space="preserve"> are provided in the Scorecard downloadable data files and </w:t>
      </w:r>
      <w:r w:rsidR="006A109A">
        <w:rPr>
          <w:rFonts w:ascii="Calibri" w:hAnsi="Calibri"/>
        </w:rPr>
        <w:t>application programming interface (API).</w:t>
      </w:r>
      <w:r w:rsidR="00224301">
        <w:rPr>
          <w:rStyle w:val="FootnoteReference"/>
          <w:rFonts w:ascii="Calibri" w:hAnsi="Calibri"/>
        </w:rPr>
        <w:footnoteReference w:id="2"/>
      </w:r>
      <w:r w:rsidR="008879F0">
        <w:rPr>
          <w:rFonts w:ascii="Calibri" w:hAnsi="Calibri"/>
        </w:rPr>
        <w:t xml:space="preserve">  </w:t>
      </w:r>
      <w:r w:rsidR="00BF619C">
        <w:rPr>
          <w:rFonts w:ascii="Calibri" w:hAnsi="Calibri"/>
        </w:rPr>
        <w:t>Calculations are made for fields of stud</w:t>
      </w:r>
      <w:r w:rsidR="00B338FE">
        <w:rPr>
          <w:rFonts w:ascii="Calibri" w:hAnsi="Calibri"/>
        </w:rPr>
        <w:t>y</w:t>
      </w:r>
      <w:r w:rsidR="00BF619C">
        <w:rPr>
          <w:rFonts w:ascii="Calibri" w:hAnsi="Calibri"/>
        </w:rPr>
        <w:t xml:space="preserve"> </w:t>
      </w:r>
      <w:r w:rsidR="00783C2D">
        <w:rPr>
          <w:rFonts w:ascii="Calibri" w:hAnsi="Calibri"/>
        </w:rPr>
        <w:t xml:space="preserve">in all </w:t>
      </w:r>
      <w:r w:rsidR="00C04B59">
        <w:t xml:space="preserve">institutions that </w:t>
      </w:r>
      <w:r w:rsidR="00C04B59" w:rsidRPr="00C95118">
        <w:t>participate in the Federal student financial assistance programs administered by the Department under Title IV of the Higher Education Act of 1965 as amended</w:t>
      </w:r>
      <w:r w:rsidR="00C04B59">
        <w:t>.</w:t>
      </w:r>
      <w:r w:rsidR="009517E8">
        <w:t xml:space="preserve"> </w:t>
      </w:r>
      <w:r w:rsidR="00971CF6">
        <w:rPr>
          <w:rFonts w:ascii="Calibri" w:hAnsi="Calibri"/>
        </w:rPr>
        <w:t xml:space="preserve">This </w:t>
      </w:r>
      <w:r w:rsidR="008879F0">
        <w:rPr>
          <w:rFonts w:ascii="Calibri" w:hAnsi="Calibri"/>
        </w:rPr>
        <w:t>document describes the data methodology for all data</w:t>
      </w:r>
      <w:r w:rsidR="00971CF6">
        <w:rPr>
          <w:rFonts w:ascii="Calibri" w:hAnsi="Calibri"/>
        </w:rPr>
        <w:t xml:space="preserve"> calculated by field of study.</w:t>
      </w:r>
    </w:p>
    <w:p w14:paraId="189E5CF5" w14:textId="77777777" w:rsidR="00C50AFB" w:rsidRDefault="00C50AFB" w:rsidP="005B08BD">
      <w:pPr>
        <w:pStyle w:val="Heading2"/>
        <w:spacing w:line="240" w:lineRule="auto"/>
      </w:pPr>
      <w:bookmarkStart w:id="3" w:name="_Toc16782811"/>
    </w:p>
    <w:p w14:paraId="1CACEB61" w14:textId="6751E46A" w:rsidR="002B1AFD" w:rsidRDefault="00802737" w:rsidP="005B08BD">
      <w:pPr>
        <w:pStyle w:val="Heading2"/>
        <w:spacing w:line="240" w:lineRule="auto"/>
      </w:pPr>
      <w:r>
        <w:t xml:space="preserve">Defining </w:t>
      </w:r>
      <w:r w:rsidR="000F2E54">
        <w:t>F</w:t>
      </w:r>
      <w:r w:rsidR="00E175D8">
        <w:t>ield of Study</w:t>
      </w:r>
      <w:r w:rsidR="002B1AFD">
        <w:t xml:space="preserve"> </w:t>
      </w:r>
      <w:bookmarkEnd w:id="3"/>
    </w:p>
    <w:p w14:paraId="5FDE6FC7" w14:textId="77777777" w:rsidR="0042193C" w:rsidRDefault="008700AA" w:rsidP="005B08BD">
      <w:pPr>
        <w:spacing w:after="0" w:line="240" w:lineRule="auto"/>
      </w:pPr>
      <w:r>
        <w:t xml:space="preserve">The unit of analysis for </w:t>
      </w:r>
      <w:r w:rsidR="001D4684">
        <w:t xml:space="preserve">calculations by field of study </w:t>
      </w:r>
      <w:r w:rsidR="005B13CC">
        <w:t>is defined as the unique combination of an institution</w:t>
      </w:r>
      <w:r w:rsidR="002620A9">
        <w:t xml:space="preserve"> (</w:t>
      </w:r>
      <w:r w:rsidR="00515432">
        <w:t xml:space="preserve">six-digit </w:t>
      </w:r>
      <w:r w:rsidR="002620A9" w:rsidRPr="002620A9">
        <w:t>OPEID</w:t>
      </w:r>
      <w:r w:rsidR="002620A9">
        <w:t>)</w:t>
      </w:r>
      <w:r w:rsidR="005B13CC">
        <w:t xml:space="preserve">, a </w:t>
      </w:r>
      <w:r w:rsidR="00515432">
        <w:t xml:space="preserve">four-digit </w:t>
      </w:r>
      <w:r w:rsidR="005B13CC">
        <w:t xml:space="preserve">Classification of Instruction Program (CIP) code, </w:t>
      </w:r>
      <w:r w:rsidR="00C01BFD">
        <w:t xml:space="preserve">and a credential level. </w:t>
      </w:r>
    </w:p>
    <w:p w14:paraId="721B17B7" w14:textId="05C49A75" w:rsidR="0042193C" w:rsidRDefault="00B56231" w:rsidP="0042193C">
      <w:pPr>
        <w:pStyle w:val="ListParagraph"/>
        <w:numPr>
          <w:ilvl w:val="0"/>
          <w:numId w:val="13"/>
        </w:numPr>
      </w:pPr>
      <w:r>
        <w:t>Institutions are defined as having a unique office of postsecondary education ID number (</w:t>
      </w:r>
      <w:r w:rsidRPr="0015548C">
        <w:t>OPEID</w:t>
      </w:r>
      <w:r>
        <w:t xml:space="preserve">). </w:t>
      </w:r>
      <w:commentRangeStart w:id="4"/>
      <w:r>
        <w:t xml:space="preserve">For purposes of Scorecard calculations, this is based on the six-digit </w:t>
      </w:r>
      <w:r w:rsidRPr="003A7942">
        <w:t>OPEID</w:t>
      </w:r>
      <w:r>
        <w:t xml:space="preserve"> (</w:t>
      </w:r>
      <w:r w:rsidRPr="0042193C">
        <w:rPr>
          <w:b/>
          <w:bCs/>
        </w:rPr>
        <w:t>OPEID6)</w:t>
      </w:r>
      <w:r>
        <w:t xml:space="preserve">, </w:t>
      </w:r>
      <w:commentRangeEnd w:id="4"/>
      <w:r w:rsidR="007071D4">
        <w:rPr>
          <w:rStyle w:val="CommentReference"/>
        </w:rPr>
        <w:commentReference w:id="4"/>
      </w:r>
      <w:r>
        <w:t xml:space="preserve">representing the main campus (and all of its branches) of an institution. </w:t>
      </w:r>
      <w:r w:rsidR="000034ED">
        <w:t xml:space="preserve">Scorecard </w:t>
      </w:r>
      <w:r w:rsidR="00DB1F6E">
        <w:t>uses this</w:t>
      </w:r>
      <w:r w:rsidR="00FE34BF">
        <w:t xml:space="preserve"> aggregated</w:t>
      </w:r>
      <w:r w:rsidR="00342D3A">
        <w:t xml:space="preserve"> approach </w:t>
      </w:r>
      <w:r w:rsidR="00DB1F6E">
        <w:t xml:space="preserve">because </w:t>
      </w:r>
      <w:r w:rsidR="008D4740">
        <w:t>not all institutions report</w:t>
      </w:r>
      <w:r w:rsidR="009C5752">
        <w:t xml:space="preserve"> </w:t>
      </w:r>
      <w:r w:rsidR="008D4740">
        <w:t xml:space="preserve">information </w:t>
      </w:r>
      <w:r w:rsidR="005934DB">
        <w:t xml:space="preserve">needed to calculate these metrics </w:t>
      </w:r>
      <w:r w:rsidR="008D4740">
        <w:t xml:space="preserve">at the more granular branch location </w:t>
      </w:r>
      <w:r w:rsidR="0042193C">
        <w:t xml:space="preserve">level. </w:t>
      </w:r>
      <w:r w:rsidR="004F0758">
        <w:t xml:space="preserve">While data are calculated at the OPEID6-level, they are disseminated at the </w:t>
      </w:r>
      <w:r w:rsidR="004F0758" w:rsidRPr="00B3621A">
        <w:t xml:space="preserve">Integrated Postsecondary Education Data System </w:t>
      </w:r>
      <w:r w:rsidR="004F0758">
        <w:t>(IPEDS) UNITID-level to allow fields of study not available at particular branches</w:t>
      </w:r>
      <w:r w:rsidR="001E1CD3">
        <w:t xml:space="preserve"> of institutions</w:t>
      </w:r>
      <w:r w:rsidR="004F0758">
        <w:t xml:space="preserve"> to be excluded from consumer-facing tools. The OPEID6-level medians and averages are repeated across any branches that offer those fields of study based on IPEDS Completions component reporting. All fields of study are displayed under the main campus UNITID.</w:t>
      </w:r>
    </w:p>
    <w:p w14:paraId="4D1CFC49" w14:textId="6F3475E8" w:rsidR="00E84A61" w:rsidRPr="00E84A61" w:rsidRDefault="00D34DBD" w:rsidP="0042193C">
      <w:pPr>
        <w:pStyle w:val="ListParagraph"/>
        <w:numPr>
          <w:ilvl w:val="0"/>
          <w:numId w:val="13"/>
        </w:numPr>
      </w:pPr>
      <w:r>
        <w:t xml:space="preserve">CIP codes are a taxonomy of academic disciplines classified by a six-digit code with the first two digits representing the </w:t>
      </w:r>
      <w:proofErr w:type="gramStart"/>
      <w:r>
        <w:t>most broad</w:t>
      </w:r>
      <w:proofErr w:type="gramEnd"/>
      <w:r>
        <w:t xml:space="preserve"> category for a discipline, the first four digits representing a more granular category, and all six digits represent the most granular description of an academic discipline. Scorecard uses the first four digits of the CIP code in its calculations</w:t>
      </w:r>
      <w:r w:rsidR="00943BB5">
        <w:t xml:space="preserve"> </w:t>
      </w:r>
      <w:r w:rsidR="007D3689">
        <w:t>(</w:t>
      </w:r>
      <w:r w:rsidR="007D3689" w:rsidRPr="0042193C">
        <w:rPr>
          <w:b/>
        </w:rPr>
        <w:t>CIPCODE)</w:t>
      </w:r>
      <w:r>
        <w:t>.</w:t>
      </w:r>
      <w:r w:rsidR="002D66C3" w:rsidRPr="0042193C">
        <w:rPr>
          <w:b/>
        </w:rPr>
        <w:t xml:space="preserve"> </w:t>
      </w:r>
      <w:r w:rsidR="00377222">
        <w:rPr>
          <w:bCs/>
        </w:rPr>
        <w:t>because four</w:t>
      </w:r>
      <w:r w:rsidR="0053239A">
        <w:rPr>
          <w:bCs/>
        </w:rPr>
        <w:t>-</w:t>
      </w:r>
      <w:r w:rsidR="00377222">
        <w:rPr>
          <w:bCs/>
        </w:rPr>
        <w:t>digit CIP code descriptions are easier for prospective students to understand</w:t>
      </w:r>
      <w:r w:rsidR="0053239A">
        <w:rPr>
          <w:bCs/>
        </w:rPr>
        <w:t xml:space="preserve"> and </w:t>
      </w:r>
      <w:r w:rsidR="00D15C71">
        <w:rPr>
          <w:bCs/>
        </w:rPr>
        <w:t>because combining</w:t>
      </w:r>
      <w:r w:rsidR="009012F0">
        <w:rPr>
          <w:bCs/>
        </w:rPr>
        <w:t xml:space="preserve"> six-digit CIP codes leads to larger cell sizes, which in turn lead to fewer</w:t>
      </w:r>
      <w:r w:rsidR="007C56F6">
        <w:rPr>
          <w:bCs/>
        </w:rPr>
        <w:t xml:space="preserve"> data points that need to be privacy suppressed.</w:t>
      </w:r>
    </w:p>
    <w:p w14:paraId="13C48C6A" w14:textId="25732346" w:rsidR="002D66C3" w:rsidRDefault="002D66C3" w:rsidP="0042193C">
      <w:pPr>
        <w:pStyle w:val="ListParagraph"/>
        <w:numPr>
          <w:ilvl w:val="0"/>
          <w:numId w:val="13"/>
        </w:numPr>
      </w:pPr>
      <w:r>
        <w:t>The credential level (</w:t>
      </w:r>
      <w:r w:rsidRPr="0042193C">
        <w:rPr>
          <w:b/>
        </w:rPr>
        <w:t>CREDLEV)</w:t>
      </w:r>
      <w:r>
        <w:t xml:space="preserve"> codes correspond to the following categories of programs: </w:t>
      </w:r>
    </w:p>
    <w:p w14:paraId="764B7654" w14:textId="00F184C5" w:rsidR="002D66C3" w:rsidRDefault="002D66C3" w:rsidP="004F0758">
      <w:pPr>
        <w:pStyle w:val="ListParagraph"/>
        <w:numPr>
          <w:ilvl w:val="1"/>
          <w:numId w:val="5"/>
        </w:numPr>
        <w:ind w:left="1530" w:hanging="450"/>
      </w:pPr>
      <w:r>
        <w:t>1: Undergraduate Certificates or Diplomas</w:t>
      </w:r>
    </w:p>
    <w:p w14:paraId="48075AB8" w14:textId="4C7F264C" w:rsidR="002D66C3" w:rsidRDefault="002D66C3" w:rsidP="003B6495">
      <w:pPr>
        <w:pStyle w:val="ListParagraph"/>
        <w:numPr>
          <w:ilvl w:val="1"/>
          <w:numId w:val="5"/>
        </w:numPr>
        <w:ind w:left="1530" w:hanging="450"/>
      </w:pPr>
      <w:r>
        <w:t xml:space="preserve">2: </w:t>
      </w:r>
      <w:proofErr w:type="gramStart"/>
      <w:r>
        <w:t>Associate's Degrees</w:t>
      </w:r>
      <w:proofErr w:type="gramEnd"/>
    </w:p>
    <w:p w14:paraId="5D301564" w14:textId="44ED1C4F" w:rsidR="002D66C3" w:rsidRDefault="002D66C3" w:rsidP="003B6495">
      <w:pPr>
        <w:pStyle w:val="ListParagraph"/>
        <w:numPr>
          <w:ilvl w:val="1"/>
          <w:numId w:val="5"/>
        </w:numPr>
        <w:ind w:left="1530" w:hanging="450"/>
      </w:pPr>
      <w:r>
        <w:t>3: Bachelor's Degrees</w:t>
      </w:r>
    </w:p>
    <w:p w14:paraId="18B18149" w14:textId="5763DAD0" w:rsidR="002D66C3" w:rsidRDefault="002D66C3" w:rsidP="003B6495">
      <w:pPr>
        <w:pStyle w:val="ListParagraph"/>
        <w:numPr>
          <w:ilvl w:val="1"/>
          <w:numId w:val="5"/>
        </w:numPr>
        <w:ind w:left="1530" w:hanging="450"/>
      </w:pPr>
      <w:r>
        <w:t>4: Post-baccalaureate Certificates</w:t>
      </w:r>
    </w:p>
    <w:p w14:paraId="6CB98CD5" w14:textId="2CCE4EC8" w:rsidR="002D66C3" w:rsidRDefault="002D66C3" w:rsidP="003B6495">
      <w:pPr>
        <w:pStyle w:val="ListParagraph"/>
        <w:numPr>
          <w:ilvl w:val="1"/>
          <w:numId w:val="5"/>
        </w:numPr>
        <w:ind w:left="1530" w:hanging="450"/>
      </w:pPr>
      <w:r>
        <w:t>5: Master's Degrees</w:t>
      </w:r>
    </w:p>
    <w:p w14:paraId="255CB3E1" w14:textId="01B113BF" w:rsidR="002D66C3" w:rsidRDefault="002D66C3" w:rsidP="003B6495">
      <w:pPr>
        <w:pStyle w:val="ListParagraph"/>
        <w:numPr>
          <w:ilvl w:val="1"/>
          <w:numId w:val="5"/>
        </w:numPr>
        <w:ind w:left="1530" w:hanging="450"/>
      </w:pPr>
      <w:r>
        <w:t>6: Doctoral Degrees</w:t>
      </w:r>
    </w:p>
    <w:p w14:paraId="706D72D0" w14:textId="014F25A3" w:rsidR="002D66C3" w:rsidRDefault="002D66C3" w:rsidP="003B6495">
      <w:pPr>
        <w:pStyle w:val="ListParagraph"/>
        <w:numPr>
          <w:ilvl w:val="1"/>
          <w:numId w:val="5"/>
        </w:numPr>
        <w:ind w:left="1530" w:hanging="450"/>
      </w:pPr>
      <w:r>
        <w:t>7: First Professional Degrees</w:t>
      </w:r>
    </w:p>
    <w:p w14:paraId="31DA789E" w14:textId="546387E0" w:rsidR="002D66C3" w:rsidRDefault="002D66C3" w:rsidP="003B6495">
      <w:pPr>
        <w:pStyle w:val="ListParagraph"/>
        <w:numPr>
          <w:ilvl w:val="1"/>
          <w:numId w:val="5"/>
        </w:numPr>
        <w:ind w:left="1530" w:hanging="450"/>
      </w:pPr>
      <w:r>
        <w:t>8: Graduate / Professional Certificates</w:t>
      </w:r>
    </w:p>
    <w:p w14:paraId="58760EA8" w14:textId="062223C9" w:rsidR="00B039C8" w:rsidRDefault="00B039C8" w:rsidP="005B08BD">
      <w:pPr>
        <w:pStyle w:val="ListParagraph"/>
        <w:numPr>
          <w:ilvl w:val="1"/>
          <w:numId w:val="5"/>
        </w:numPr>
      </w:pPr>
      <w:commentRangeStart w:id="5"/>
      <w:r>
        <w:t xml:space="preserve">99: </w:t>
      </w:r>
      <w:r w:rsidR="0036410A">
        <w:t>Non-credential program</w:t>
      </w:r>
      <w:commentRangeEnd w:id="5"/>
      <w:r w:rsidR="002327F0">
        <w:rPr>
          <w:rStyle w:val="CommentReference"/>
          <w:rFonts w:asciiTheme="minorHAnsi" w:eastAsiaTheme="minorHAnsi" w:hAnsiTheme="minorHAnsi" w:cstheme="minorBidi"/>
          <w:lang w:eastAsia="en-US"/>
        </w:rPr>
        <w:commentReference w:id="5"/>
      </w:r>
    </w:p>
    <w:p w14:paraId="55B1EDB1" w14:textId="1A15F900" w:rsidR="00B56231" w:rsidRDefault="004F0758" w:rsidP="005B08BD">
      <w:pPr>
        <w:spacing w:after="0" w:line="240" w:lineRule="auto"/>
      </w:pPr>
      <w:commentRangeStart w:id="6"/>
      <w:r>
        <w:t xml:space="preserve"> </w:t>
      </w:r>
      <w:commentRangeEnd w:id="6"/>
      <w:r>
        <w:rPr>
          <w:rStyle w:val="CommentReference"/>
        </w:rPr>
        <w:commentReference w:id="6"/>
      </w:r>
    </w:p>
    <w:p w14:paraId="5B42C370" w14:textId="77777777" w:rsidR="00D701A4" w:rsidRDefault="00D701A4" w:rsidP="005B08BD">
      <w:pPr>
        <w:pStyle w:val="Heading2"/>
        <w:spacing w:line="240" w:lineRule="auto"/>
      </w:pPr>
      <w:bookmarkStart w:id="7" w:name="_Toc16782814"/>
      <w:bookmarkStart w:id="8" w:name="_Toc16782812"/>
      <w:r>
        <w:t>Program size</w:t>
      </w:r>
      <w:bookmarkEnd w:id="7"/>
      <w:r>
        <w:t xml:space="preserve"> </w:t>
      </w:r>
    </w:p>
    <w:p w14:paraId="04F0DEA8" w14:textId="00B81A94" w:rsidR="002327F0" w:rsidRDefault="00D701A4" w:rsidP="005B08BD">
      <w:pPr>
        <w:spacing w:after="0" w:line="240" w:lineRule="auto"/>
      </w:pPr>
      <w:r>
        <w:t>In order to give prospective students a sense of program size, Scorecard provides the number of</w:t>
      </w:r>
      <w:r w:rsidRPr="00B3621A">
        <w:t xml:space="preserve"> awards conferred by field of study</w:t>
      </w:r>
      <w:r>
        <w:t xml:space="preserve"> </w:t>
      </w:r>
      <w:commentRangeStart w:id="9"/>
      <w:commentRangeStart w:id="10"/>
      <w:r>
        <w:t>(</w:t>
      </w:r>
      <w:r w:rsidR="004F0758">
        <w:t>IPEDSCOUNT1 and IPEDSCOUNT2</w:t>
      </w:r>
      <w:r>
        <w:t xml:space="preserve">) </w:t>
      </w:r>
      <w:commentRangeEnd w:id="9"/>
      <w:r w:rsidR="0078145B">
        <w:rPr>
          <w:rStyle w:val="CommentReference"/>
        </w:rPr>
        <w:commentReference w:id="9"/>
      </w:r>
      <w:commentRangeEnd w:id="10"/>
      <w:r w:rsidR="006323AA">
        <w:rPr>
          <w:rStyle w:val="CommentReference"/>
        </w:rPr>
        <w:commentReference w:id="10"/>
      </w:r>
      <w:r w:rsidRPr="00B3621A">
        <w:t>as reported by institutions to IPEDS.</w:t>
      </w:r>
      <w:r>
        <w:t xml:space="preserve"> Th</w:t>
      </w:r>
      <w:r w:rsidR="00A10175">
        <w:t>is count</w:t>
      </w:r>
      <w:r>
        <w:t xml:space="preserve"> of awards </w:t>
      </w:r>
      <w:r w:rsidR="00A10175">
        <w:t>represents</w:t>
      </w:r>
      <w:r>
        <w:t xml:space="preserve"> all awards</w:t>
      </w:r>
      <w:r w:rsidR="00A10175">
        <w:t>,</w:t>
      </w:r>
      <w:r>
        <w:t xml:space="preserve"> including first major awards, second major awards, etc.</w:t>
      </w:r>
      <w:r w:rsidR="00A10175">
        <w:t xml:space="preserve"> That </w:t>
      </w:r>
      <w:proofErr w:type="gramStart"/>
      <w:r w:rsidR="00A10175">
        <w:t xml:space="preserve">is, </w:t>
      </w:r>
      <w:r>
        <w:t xml:space="preserve"> a</w:t>
      </w:r>
      <w:proofErr w:type="gramEnd"/>
      <w:r>
        <w:t xml:space="preserve"> </w:t>
      </w:r>
      <w:r>
        <w:lastRenderedPageBreak/>
        <w:t>student who completed multiple awards would be measured multiple times in the</w:t>
      </w:r>
      <w:r w:rsidR="00A10175">
        <w:t>se</w:t>
      </w:r>
      <w:r>
        <w:t xml:space="preserve"> counts.</w:t>
      </w:r>
      <w:r w:rsidR="00FF58AB">
        <w:t xml:space="preserve"> </w:t>
      </w:r>
      <w:r w:rsidR="00A10175">
        <w:t xml:space="preserve">IPEDS </w:t>
      </w:r>
      <w:r w:rsidR="002327F0">
        <w:t>award l</w:t>
      </w:r>
      <w:r w:rsidR="00A10175">
        <w:t xml:space="preserve">evels do not </w:t>
      </w:r>
      <w:r w:rsidR="002327F0">
        <w:t xml:space="preserve">exactly </w:t>
      </w:r>
      <w:r w:rsidR="00A10175">
        <w:t xml:space="preserve">match </w:t>
      </w:r>
      <w:r w:rsidR="002327F0">
        <w:t xml:space="preserve">the credential levels in the National Student Loan Data System (NSLDS), the source of cohorts included in the field of study data. In order to provide IPEDS counts that correspond to the NLSDS credential levels, some aggregation of IPEDS award levels was needed. </w:t>
      </w:r>
      <w:r w:rsidR="00B92CC9">
        <w:t xml:space="preserve">Figure X </w:t>
      </w:r>
      <w:r w:rsidR="002327F0">
        <w:t xml:space="preserve">below indicates the recoding and aggregation scheme applied to IPEDS to calculate the </w:t>
      </w:r>
      <w:r w:rsidR="003B6495">
        <w:t xml:space="preserve">number of </w:t>
      </w:r>
      <w:r w:rsidR="002327F0">
        <w:t>award</w:t>
      </w:r>
      <w:r w:rsidR="003B6495">
        <w:t>s</w:t>
      </w:r>
      <w:r w:rsidR="002327F0">
        <w:t xml:space="preserve"> provided in the field of study data.</w:t>
      </w:r>
    </w:p>
    <w:p w14:paraId="03EDB425" w14:textId="77777777" w:rsidR="001E1CD3" w:rsidRDefault="001E1CD3" w:rsidP="005B08BD">
      <w:pPr>
        <w:spacing w:after="0" w:line="240" w:lineRule="auto"/>
      </w:pPr>
    </w:p>
    <w:p w14:paraId="3975E1C5" w14:textId="76B22F86" w:rsidR="00B92CC9" w:rsidRDefault="00B92CC9" w:rsidP="00643109">
      <w:pPr>
        <w:keepNext/>
        <w:spacing w:after="0" w:line="240" w:lineRule="auto"/>
      </w:pPr>
      <w:r>
        <w:t>Figure X. NSLDS credential level to IPEDS award level correspondence.</w:t>
      </w:r>
    </w:p>
    <w:tbl>
      <w:tblPr>
        <w:tblW w:w="9080" w:type="dxa"/>
        <w:tblCellMar>
          <w:left w:w="0" w:type="dxa"/>
          <w:right w:w="0" w:type="dxa"/>
        </w:tblCellMar>
        <w:tblLook w:val="0420" w:firstRow="1" w:lastRow="0" w:firstColumn="0" w:lastColumn="0" w:noHBand="0" w:noVBand="1"/>
      </w:tblPr>
      <w:tblGrid>
        <w:gridCol w:w="4112"/>
        <w:gridCol w:w="4968"/>
      </w:tblGrid>
      <w:tr w:rsidR="003B6495" w:rsidRPr="003B6495" w14:paraId="0A402A63" w14:textId="77777777" w:rsidTr="003B6495">
        <w:trPr>
          <w:trHeight w:val="358"/>
        </w:trPr>
        <w:tc>
          <w:tcPr>
            <w:tcW w:w="4112" w:type="dxa"/>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2E9A56C9" w14:textId="2F85ACAA" w:rsidR="002327F0" w:rsidRPr="003B6495" w:rsidRDefault="002327F0" w:rsidP="002327F0">
            <w:pPr>
              <w:pStyle w:val="Heading2"/>
              <w:rPr>
                <w:rFonts w:asciiTheme="minorHAnsi" w:hAnsiTheme="minorHAnsi"/>
                <w:color w:val="FFFFFF" w:themeColor="background1"/>
                <w:sz w:val="22"/>
                <w:szCs w:val="22"/>
              </w:rPr>
            </w:pPr>
            <w:r w:rsidRPr="003B6495">
              <w:rPr>
                <w:rFonts w:asciiTheme="minorHAnsi" w:hAnsiTheme="minorHAnsi"/>
                <w:b/>
                <w:bCs/>
                <w:color w:val="FFFFFF" w:themeColor="background1"/>
                <w:sz w:val="22"/>
                <w:szCs w:val="22"/>
              </w:rPr>
              <w:t>NSLDS Credential Level</w:t>
            </w:r>
          </w:p>
        </w:tc>
        <w:tc>
          <w:tcPr>
            <w:tcW w:w="4968" w:type="dxa"/>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720022B3" w14:textId="200847AC" w:rsidR="002327F0" w:rsidRPr="003B6495" w:rsidRDefault="002327F0" w:rsidP="002327F0">
            <w:pPr>
              <w:pStyle w:val="Heading2"/>
              <w:rPr>
                <w:rFonts w:asciiTheme="minorHAnsi" w:hAnsiTheme="minorHAnsi"/>
                <w:color w:val="FFFFFF" w:themeColor="background1"/>
                <w:sz w:val="22"/>
                <w:szCs w:val="22"/>
              </w:rPr>
            </w:pPr>
            <w:r w:rsidRPr="003B6495">
              <w:rPr>
                <w:rFonts w:asciiTheme="minorHAnsi" w:hAnsiTheme="minorHAnsi"/>
                <w:b/>
                <w:bCs/>
                <w:color w:val="FFFFFF" w:themeColor="background1"/>
                <w:sz w:val="22"/>
                <w:szCs w:val="22"/>
              </w:rPr>
              <w:t>IPEDS Completions Data Award Levels Aggregated</w:t>
            </w:r>
          </w:p>
        </w:tc>
      </w:tr>
      <w:tr w:rsidR="002327F0" w:rsidRPr="002327F0" w14:paraId="2957B7F1" w14:textId="77777777" w:rsidTr="003B6495">
        <w:trPr>
          <w:trHeight w:val="753"/>
        </w:trPr>
        <w:tc>
          <w:tcPr>
            <w:tcW w:w="4112" w:type="dxa"/>
            <w:tcBorders>
              <w:top w:val="single" w:sz="24"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hideMark/>
          </w:tcPr>
          <w:p w14:paraId="5AA6C718" w14:textId="27E20765"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1: Undergraduate Certificates or Diplomas</w:t>
            </w:r>
          </w:p>
        </w:tc>
        <w:tc>
          <w:tcPr>
            <w:tcW w:w="4968" w:type="dxa"/>
            <w:tcBorders>
              <w:top w:val="single" w:sz="24"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vAlign w:val="center"/>
            <w:hideMark/>
          </w:tcPr>
          <w:p w14:paraId="4B30C739"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Less-than-1-year</w:t>
            </w:r>
            <w:r w:rsidRPr="003B6495">
              <w:rPr>
                <w:rFonts w:asciiTheme="minorHAnsi" w:hAnsiTheme="minorHAnsi"/>
                <w:color w:val="000000" w:themeColor="text1"/>
                <w:sz w:val="22"/>
                <w:szCs w:val="22"/>
              </w:rPr>
              <w:br/>
              <w:t>At least 1- but less-than-2-year</w:t>
            </w:r>
            <w:r w:rsidRPr="003B6495">
              <w:rPr>
                <w:rFonts w:asciiTheme="minorHAnsi" w:hAnsiTheme="minorHAnsi"/>
                <w:color w:val="000000" w:themeColor="text1"/>
                <w:sz w:val="22"/>
                <w:szCs w:val="22"/>
              </w:rPr>
              <w:br/>
              <w:t>At least 2- but less-than-4-year certificates</w:t>
            </w:r>
          </w:p>
        </w:tc>
      </w:tr>
      <w:tr w:rsidR="002327F0" w:rsidRPr="003B6495" w14:paraId="57D0200B" w14:textId="77777777" w:rsidTr="003B6495">
        <w:trPr>
          <w:trHeight w:val="172"/>
        </w:trPr>
        <w:tc>
          <w:tcPr>
            <w:tcW w:w="4112"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hideMark/>
          </w:tcPr>
          <w:p w14:paraId="2538510C" w14:textId="03D4E3E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 xml:space="preserve">2: </w:t>
            </w:r>
            <w:proofErr w:type="gramStart"/>
            <w:r w:rsidRPr="003B6495">
              <w:rPr>
                <w:rFonts w:asciiTheme="minorHAnsi" w:hAnsiTheme="minorHAnsi"/>
                <w:color w:val="000000" w:themeColor="text1"/>
                <w:sz w:val="22"/>
                <w:szCs w:val="22"/>
              </w:rPr>
              <w:t>Associate's Degrees</w:t>
            </w:r>
            <w:proofErr w:type="gramEnd"/>
          </w:p>
        </w:tc>
        <w:tc>
          <w:tcPr>
            <w:tcW w:w="4968"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vAlign w:val="center"/>
            <w:hideMark/>
          </w:tcPr>
          <w:p w14:paraId="7C8A118C" w14:textId="77777777" w:rsidR="002327F0" w:rsidRPr="003B6495" w:rsidRDefault="002327F0" w:rsidP="002327F0">
            <w:pPr>
              <w:pStyle w:val="Heading2"/>
              <w:rPr>
                <w:rFonts w:asciiTheme="minorHAnsi" w:hAnsiTheme="minorHAnsi"/>
                <w:color w:val="000000" w:themeColor="text1"/>
                <w:sz w:val="22"/>
                <w:szCs w:val="22"/>
              </w:rPr>
            </w:pPr>
            <w:proofErr w:type="gramStart"/>
            <w:r w:rsidRPr="003B6495">
              <w:rPr>
                <w:rFonts w:asciiTheme="minorHAnsi" w:hAnsiTheme="minorHAnsi"/>
                <w:color w:val="000000" w:themeColor="text1"/>
                <w:sz w:val="22"/>
                <w:szCs w:val="22"/>
              </w:rPr>
              <w:t>Associate's</w:t>
            </w:r>
            <w:proofErr w:type="gramEnd"/>
            <w:r w:rsidRPr="003B6495">
              <w:rPr>
                <w:rFonts w:asciiTheme="minorHAnsi" w:hAnsiTheme="minorHAnsi"/>
                <w:color w:val="000000" w:themeColor="text1"/>
                <w:sz w:val="22"/>
                <w:szCs w:val="22"/>
              </w:rPr>
              <w:t xml:space="preserve"> degrees</w:t>
            </w:r>
          </w:p>
        </w:tc>
      </w:tr>
      <w:tr w:rsidR="002327F0" w:rsidRPr="003B6495" w14:paraId="10D4FE38" w14:textId="77777777" w:rsidTr="003B6495">
        <w:trPr>
          <w:trHeight w:val="226"/>
        </w:trPr>
        <w:tc>
          <w:tcPr>
            <w:tcW w:w="4112"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hideMark/>
          </w:tcPr>
          <w:p w14:paraId="666A2D52" w14:textId="0B0A0823"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3: Bachelor's Degrees</w:t>
            </w:r>
          </w:p>
        </w:tc>
        <w:tc>
          <w:tcPr>
            <w:tcW w:w="4968"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vAlign w:val="center"/>
            <w:hideMark/>
          </w:tcPr>
          <w:p w14:paraId="12598F23"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Bachelor's degrees</w:t>
            </w:r>
          </w:p>
        </w:tc>
      </w:tr>
      <w:tr w:rsidR="002327F0" w:rsidRPr="003B6495" w14:paraId="7E57A147" w14:textId="77777777" w:rsidTr="003B6495">
        <w:trPr>
          <w:trHeight w:val="307"/>
        </w:trPr>
        <w:tc>
          <w:tcPr>
            <w:tcW w:w="4112"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hideMark/>
          </w:tcPr>
          <w:p w14:paraId="56296F47" w14:textId="23F18B20"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4: Post-baccalaureate Certificates</w:t>
            </w:r>
          </w:p>
        </w:tc>
        <w:tc>
          <w:tcPr>
            <w:tcW w:w="4968"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vAlign w:val="center"/>
            <w:hideMark/>
          </w:tcPr>
          <w:p w14:paraId="0E9ED4D5" w14:textId="5317E4DD"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Not available</w:t>
            </w:r>
          </w:p>
        </w:tc>
      </w:tr>
      <w:tr w:rsidR="002327F0" w:rsidRPr="003B6495" w14:paraId="7E5FCD7D" w14:textId="77777777" w:rsidTr="003B6495">
        <w:trPr>
          <w:trHeight w:val="361"/>
        </w:trPr>
        <w:tc>
          <w:tcPr>
            <w:tcW w:w="4112"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hideMark/>
          </w:tcPr>
          <w:p w14:paraId="02D31FF3" w14:textId="4A76DE06"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5: Master's Degrees</w:t>
            </w:r>
          </w:p>
        </w:tc>
        <w:tc>
          <w:tcPr>
            <w:tcW w:w="4968"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vAlign w:val="center"/>
            <w:hideMark/>
          </w:tcPr>
          <w:p w14:paraId="787D6A31"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Master's degrees</w:t>
            </w:r>
          </w:p>
        </w:tc>
      </w:tr>
      <w:tr w:rsidR="002327F0" w:rsidRPr="003B6495" w14:paraId="712239F3" w14:textId="77777777" w:rsidTr="003B6495">
        <w:trPr>
          <w:trHeight w:val="622"/>
        </w:trPr>
        <w:tc>
          <w:tcPr>
            <w:tcW w:w="4112"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hideMark/>
          </w:tcPr>
          <w:p w14:paraId="3C5B36B6" w14:textId="534850B0"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6: Doctoral Degrees</w:t>
            </w:r>
          </w:p>
        </w:tc>
        <w:tc>
          <w:tcPr>
            <w:tcW w:w="4968"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vAlign w:val="center"/>
            <w:hideMark/>
          </w:tcPr>
          <w:p w14:paraId="124EB92A"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Doctor's degrees-research/scholarship</w:t>
            </w:r>
            <w:r w:rsidRPr="003B6495">
              <w:rPr>
                <w:rFonts w:asciiTheme="minorHAnsi" w:hAnsiTheme="minorHAnsi"/>
                <w:color w:val="000000" w:themeColor="text1"/>
                <w:sz w:val="22"/>
                <w:szCs w:val="22"/>
              </w:rPr>
              <w:br/>
              <w:t>Doctor's degrees-other</w:t>
            </w:r>
          </w:p>
        </w:tc>
      </w:tr>
      <w:tr w:rsidR="002327F0" w:rsidRPr="003B6495" w14:paraId="49F7FEF9" w14:textId="77777777" w:rsidTr="003B6495">
        <w:trPr>
          <w:trHeight w:val="440"/>
        </w:trPr>
        <w:tc>
          <w:tcPr>
            <w:tcW w:w="4112"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hideMark/>
          </w:tcPr>
          <w:p w14:paraId="49161A3C" w14:textId="434C76BB"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7: First Professional Degrees</w:t>
            </w:r>
          </w:p>
        </w:tc>
        <w:tc>
          <w:tcPr>
            <w:tcW w:w="4968"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vAlign w:val="center"/>
            <w:hideMark/>
          </w:tcPr>
          <w:p w14:paraId="6FF94C7B"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Doctor's degrees - professional practice</w:t>
            </w:r>
          </w:p>
        </w:tc>
      </w:tr>
      <w:tr w:rsidR="002327F0" w:rsidRPr="003B6495" w14:paraId="2139F9CC" w14:textId="77777777" w:rsidTr="003B6495">
        <w:trPr>
          <w:trHeight w:val="460"/>
        </w:trPr>
        <w:tc>
          <w:tcPr>
            <w:tcW w:w="4112"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hideMark/>
          </w:tcPr>
          <w:p w14:paraId="49FD6CB3" w14:textId="5D5B5113"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8: Graduate / Professional Certificates</w:t>
            </w:r>
          </w:p>
        </w:tc>
        <w:tc>
          <w:tcPr>
            <w:tcW w:w="4968" w:type="dxa"/>
            <w:tcBorders>
              <w:top w:val="single" w:sz="8" w:space="0" w:color="FFFFFF"/>
              <w:left w:val="single" w:sz="8" w:space="0" w:color="FFFFFF"/>
              <w:bottom w:val="single" w:sz="8" w:space="0" w:color="FFFFFF"/>
              <w:right w:val="single" w:sz="8" w:space="0" w:color="FFFFFF"/>
            </w:tcBorders>
            <w:shd w:val="clear" w:color="auto" w:fill="E7E9EF"/>
            <w:tcMar>
              <w:top w:w="15" w:type="dxa"/>
              <w:left w:w="15" w:type="dxa"/>
              <w:bottom w:w="0" w:type="dxa"/>
              <w:right w:w="15" w:type="dxa"/>
            </w:tcMar>
            <w:vAlign w:val="center"/>
            <w:hideMark/>
          </w:tcPr>
          <w:p w14:paraId="4C542628"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 xml:space="preserve">Post-baccalaureate certificates </w:t>
            </w:r>
          </w:p>
          <w:p w14:paraId="1A3FEB7E" w14:textId="56B3D736"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Post-master's certificates</w:t>
            </w:r>
          </w:p>
        </w:tc>
      </w:tr>
      <w:tr w:rsidR="002327F0" w:rsidRPr="003B6495" w14:paraId="07F02FDC" w14:textId="77777777" w:rsidTr="003B6495">
        <w:trPr>
          <w:trHeight w:val="316"/>
        </w:trPr>
        <w:tc>
          <w:tcPr>
            <w:tcW w:w="4112"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hideMark/>
          </w:tcPr>
          <w:p w14:paraId="4830C35A" w14:textId="44DEBBA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99: Non-</w:t>
            </w:r>
            <w:commentRangeStart w:id="11"/>
            <w:r w:rsidRPr="003B6495">
              <w:rPr>
                <w:rFonts w:asciiTheme="minorHAnsi" w:hAnsiTheme="minorHAnsi"/>
                <w:color w:val="000000" w:themeColor="text1"/>
                <w:sz w:val="22"/>
                <w:szCs w:val="22"/>
              </w:rPr>
              <w:t>credential</w:t>
            </w:r>
            <w:commentRangeEnd w:id="11"/>
            <w:r w:rsidR="00643109">
              <w:rPr>
                <w:rStyle w:val="CommentReference"/>
                <w:rFonts w:asciiTheme="minorHAnsi" w:eastAsiaTheme="minorHAnsi" w:hAnsiTheme="minorHAnsi" w:cstheme="minorBidi"/>
                <w:color w:val="auto"/>
              </w:rPr>
              <w:commentReference w:id="11"/>
            </w:r>
            <w:r w:rsidRPr="003B6495">
              <w:rPr>
                <w:rFonts w:asciiTheme="minorHAnsi" w:hAnsiTheme="minorHAnsi"/>
                <w:color w:val="000000" w:themeColor="text1"/>
                <w:sz w:val="22"/>
                <w:szCs w:val="22"/>
              </w:rPr>
              <w:t xml:space="preserve"> program</w:t>
            </w:r>
          </w:p>
        </w:tc>
        <w:tc>
          <w:tcPr>
            <w:tcW w:w="4968" w:type="dxa"/>
            <w:tcBorders>
              <w:top w:val="single" w:sz="8" w:space="0" w:color="FFFFFF"/>
              <w:left w:val="single" w:sz="8" w:space="0" w:color="FFFFFF"/>
              <w:bottom w:val="single" w:sz="8" w:space="0" w:color="FFFFFF"/>
              <w:right w:val="single" w:sz="8" w:space="0" w:color="FFFFFF"/>
            </w:tcBorders>
            <w:shd w:val="clear" w:color="auto" w:fill="CCD0DD"/>
            <w:tcMar>
              <w:top w:w="15" w:type="dxa"/>
              <w:left w:w="15" w:type="dxa"/>
              <w:bottom w:w="0" w:type="dxa"/>
              <w:right w:w="15" w:type="dxa"/>
            </w:tcMar>
            <w:vAlign w:val="center"/>
            <w:hideMark/>
          </w:tcPr>
          <w:p w14:paraId="11C32F09" w14:textId="77777777" w:rsidR="002327F0" w:rsidRPr="003B6495" w:rsidRDefault="002327F0" w:rsidP="002327F0">
            <w:pPr>
              <w:pStyle w:val="Heading2"/>
              <w:rPr>
                <w:rFonts w:asciiTheme="minorHAnsi" w:hAnsiTheme="minorHAnsi"/>
                <w:color w:val="000000" w:themeColor="text1"/>
                <w:sz w:val="22"/>
                <w:szCs w:val="22"/>
              </w:rPr>
            </w:pPr>
            <w:r w:rsidRPr="003B6495">
              <w:rPr>
                <w:rFonts w:asciiTheme="minorHAnsi" w:hAnsiTheme="minorHAnsi"/>
                <w:color w:val="000000" w:themeColor="text1"/>
                <w:sz w:val="22"/>
                <w:szCs w:val="22"/>
              </w:rPr>
              <w:t>Not available</w:t>
            </w:r>
          </w:p>
        </w:tc>
      </w:tr>
    </w:tbl>
    <w:p w14:paraId="094BA830" w14:textId="77777777" w:rsidR="00876FBB" w:rsidRDefault="00876FBB" w:rsidP="005B08BD">
      <w:pPr>
        <w:pStyle w:val="Heading2"/>
        <w:spacing w:line="240" w:lineRule="auto"/>
      </w:pPr>
    </w:p>
    <w:p w14:paraId="1E34CCD2" w14:textId="58567ECF" w:rsidR="007B241F" w:rsidRDefault="00C57B98" w:rsidP="005B08BD">
      <w:pPr>
        <w:pStyle w:val="Heading2"/>
        <w:spacing w:line="240" w:lineRule="auto"/>
      </w:pPr>
      <w:r>
        <w:t>Post-completion earnings</w:t>
      </w:r>
      <w:bookmarkEnd w:id="8"/>
    </w:p>
    <w:p w14:paraId="68161315" w14:textId="35E1B230" w:rsidR="00D37469" w:rsidRDefault="006D5978" w:rsidP="005B08BD">
      <w:pPr>
        <w:spacing w:after="0" w:line="240" w:lineRule="auto"/>
      </w:pPr>
      <w:r>
        <w:t xml:space="preserve">While the </w:t>
      </w:r>
      <w:r w:rsidR="00360237" w:rsidRPr="00F112AB">
        <w:t xml:space="preserve">long-term goal is to provide earnings </w:t>
      </w:r>
      <w:r>
        <w:t xml:space="preserve">data points for students </w:t>
      </w:r>
      <w:r w:rsidR="000504F3">
        <w:t>several years after completion</w:t>
      </w:r>
      <w:r w:rsidR="00360237" w:rsidRPr="00F112AB">
        <w:t>, the Department</w:t>
      </w:r>
      <w:r w:rsidR="00310F43">
        <w:t xml:space="preserve"> only recently began</w:t>
      </w:r>
      <w:r w:rsidR="00D36486">
        <w:t xml:space="preserve"> collecting information by field of study</w:t>
      </w:r>
      <w:r w:rsidR="00360237" w:rsidRPr="00F112AB">
        <w:t xml:space="preserve">. </w:t>
      </w:r>
      <w:r w:rsidR="00360237">
        <w:t>In the short term, Scorecard will calculate</w:t>
      </w:r>
      <w:r w:rsidR="00C751EA">
        <w:t xml:space="preserve"> based on what’s available</w:t>
      </w:r>
      <w:r w:rsidR="00360237">
        <w:t xml:space="preserve">. </w:t>
      </w:r>
      <w:r w:rsidR="006D5397">
        <w:t>As of 2019</w:t>
      </w:r>
      <w:r w:rsidR="008816F8">
        <w:t xml:space="preserve">, </w:t>
      </w:r>
      <w:r w:rsidR="00121F08">
        <w:t>Scorecard provides</w:t>
      </w:r>
      <w:r w:rsidR="001770C0">
        <w:t xml:space="preserve"> one-year post-completion earnings by field of study</w:t>
      </w:r>
      <w:r w:rsidR="002C4860">
        <w:t xml:space="preserve"> </w:t>
      </w:r>
      <w:r w:rsidR="005D0B95">
        <w:t>(</w:t>
      </w:r>
      <w:r w:rsidR="003B6495">
        <w:t>MD_EARN_WNE</w:t>
      </w:r>
      <w:r w:rsidR="005D0B95">
        <w:t xml:space="preserve">) </w:t>
      </w:r>
      <w:r w:rsidR="00284293" w:rsidRPr="00F112AB">
        <w:t xml:space="preserve">for </w:t>
      </w:r>
      <w:r w:rsidR="002C4860">
        <w:t xml:space="preserve">the </w:t>
      </w:r>
      <w:r w:rsidR="00284293" w:rsidRPr="00F112AB">
        <w:t xml:space="preserve">cohort of </w:t>
      </w:r>
      <w:r w:rsidR="00BC7C24">
        <w:t>federally aided</w:t>
      </w:r>
      <w:r w:rsidR="00F6476F">
        <w:t xml:space="preserve"> </w:t>
      </w:r>
      <w:r w:rsidR="00284293" w:rsidRPr="00F112AB">
        <w:t xml:space="preserve">students who </w:t>
      </w:r>
      <w:r w:rsidR="00F6476F">
        <w:t xml:space="preserve">completed </w:t>
      </w:r>
      <w:r w:rsidR="000C68E2">
        <w:t>in award years</w:t>
      </w:r>
      <w:r w:rsidR="00DE154E">
        <w:t xml:space="preserve"> </w:t>
      </w:r>
      <w:r w:rsidR="000C68E2">
        <w:t>2014-15 and</w:t>
      </w:r>
      <w:r w:rsidR="00A741E6">
        <w:t xml:space="preserve"> </w:t>
      </w:r>
      <w:r w:rsidR="000C68E2">
        <w:t xml:space="preserve">2015-16 </w:t>
      </w:r>
      <w:r w:rsidR="00A741E6">
        <w:t xml:space="preserve">with earnings </w:t>
      </w:r>
      <w:r w:rsidR="000C68E2">
        <w:t>measured</w:t>
      </w:r>
      <w:r w:rsidR="006F7E70">
        <w:t xml:space="preserve"> in calendar years 2016 and 2017 respectively</w:t>
      </w:r>
      <w:r w:rsidR="0084206E">
        <w:t xml:space="preserve"> (given in constant 2018 dollars)</w:t>
      </w:r>
      <w:r w:rsidR="00284293" w:rsidRPr="00F112AB">
        <w:t>.</w:t>
      </w:r>
      <w:r w:rsidR="00022F03">
        <w:t xml:space="preserve"> The cohort of evaluated students excludes those who </w:t>
      </w:r>
    </w:p>
    <w:p w14:paraId="3089F3CA" w14:textId="77777777" w:rsidR="00D37469" w:rsidRDefault="00022F03" w:rsidP="005B08BD">
      <w:pPr>
        <w:pStyle w:val="ListParagraph"/>
        <w:numPr>
          <w:ilvl w:val="0"/>
          <w:numId w:val="9"/>
        </w:numPr>
      </w:pPr>
      <w:r>
        <w:t>were subsequently enrolled in school during the measurement year,</w:t>
      </w:r>
      <w:r w:rsidR="001636FC">
        <w:t xml:space="preserve"> </w:t>
      </w:r>
    </w:p>
    <w:p w14:paraId="201F20C1" w14:textId="388EBF3D" w:rsidR="00D37469" w:rsidRDefault="001636FC" w:rsidP="005B08BD">
      <w:pPr>
        <w:pStyle w:val="ListParagraph"/>
        <w:numPr>
          <w:ilvl w:val="0"/>
          <w:numId w:val="9"/>
        </w:numPr>
      </w:pPr>
      <w:r>
        <w:t>had died prior to the</w:t>
      </w:r>
      <w:r w:rsidR="00C24082">
        <w:t xml:space="preserve"> beginning </w:t>
      </w:r>
      <w:r>
        <w:t xml:space="preserve">of the measurement year, </w:t>
      </w:r>
    </w:p>
    <w:p w14:paraId="0222AB2F" w14:textId="163BEBD5" w:rsidR="00C24082" w:rsidRDefault="001636FC" w:rsidP="005B08BD">
      <w:pPr>
        <w:pStyle w:val="ListParagraph"/>
        <w:numPr>
          <w:ilvl w:val="0"/>
          <w:numId w:val="9"/>
        </w:numPr>
      </w:pPr>
      <w:r>
        <w:t xml:space="preserve">who had </w:t>
      </w:r>
      <w:r w:rsidR="00336D40">
        <w:t xml:space="preserve">loan </w:t>
      </w:r>
      <w:r>
        <w:t>deferments for military service during the measurement year</w:t>
      </w:r>
      <w:r w:rsidR="00C24082">
        <w:t>,</w:t>
      </w:r>
      <w:r w:rsidR="0012057E">
        <w:t xml:space="preserve"> </w:t>
      </w:r>
    </w:p>
    <w:p w14:paraId="2B759BD9" w14:textId="4D11BFBD" w:rsidR="00C24082" w:rsidRDefault="00C24082" w:rsidP="005B08BD">
      <w:pPr>
        <w:pStyle w:val="ListParagraph"/>
        <w:numPr>
          <w:ilvl w:val="0"/>
          <w:numId w:val="9"/>
        </w:numPr>
      </w:pPr>
      <w:r>
        <w:t xml:space="preserve">and did not work during the measurement year. </w:t>
      </w:r>
    </w:p>
    <w:p w14:paraId="56F626FA" w14:textId="77777777" w:rsidR="008E623A" w:rsidRDefault="008E623A" w:rsidP="005B08BD">
      <w:pPr>
        <w:spacing w:after="0" w:line="240" w:lineRule="auto"/>
      </w:pPr>
    </w:p>
    <w:p w14:paraId="4E69CE81" w14:textId="7D057F6B" w:rsidR="0067607D" w:rsidRDefault="0067607D" w:rsidP="005B08BD">
      <w:pPr>
        <w:spacing w:after="0" w:line="240" w:lineRule="auto"/>
      </w:pPr>
      <w:r>
        <w:t xml:space="preserve">In addition, </w:t>
      </w:r>
      <w:r w:rsidR="00EE6E99">
        <w:t>Scorecard</w:t>
      </w:r>
      <w:r w:rsidR="00290224">
        <w:t xml:space="preserve"> provides the </w:t>
      </w:r>
    </w:p>
    <w:p w14:paraId="66672AFA" w14:textId="0585D8C0" w:rsidR="00EE6E99" w:rsidRDefault="00290224" w:rsidP="005B08BD">
      <w:pPr>
        <w:pStyle w:val="ListParagraph"/>
        <w:numPr>
          <w:ilvl w:val="0"/>
          <w:numId w:val="10"/>
        </w:numPr>
      </w:pPr>
      <w:r>
        <w:t xml:space="preserve">count of </w:t>
      </w:r>
      <w:r w:rsidR="003B6495">
        <w:t>graduates</w:t>
      </w:r>
      <w:r>
        <w:t xml:space="preserve"> measured</w:t>
      </w:r>
      <w:r w:rsidR="0067607D">
        <w:t xml:space="preserve"> for each </w:t>
      </w:r>
      <w:r w:rsidR="001150FF">
        <w:t>earnings value (</w:t>
      </w:r>
      <w:r w:rsidR="003B6495">
        <w:t>TITLEIVCOUNT</w:t>
      </w:r>
      <w:r w:rsidR="001150FF">
        <w:t>)</w:t>
      </w:r>
      <w:r w:rsidR="003B6495">
        <w:t>, excluding students due to enrollment, military service, or death</w:t>
      </w:r>
    </w:p>
    <w:p w14:paraId="1FC6A67E" w14:textId="73281D36" w:rsidR="00284293" w:rsidRDefault="00653E06" w:rsidP="005B08BD">
      <w:pPr>
        <w:pStyle w:val="ListParagraph"/>
        <w:numPr>
          <w:ilvl w:val="0"/>
          <w:numId w:val="10"/>
        </w:numPr>
      </w:pPr>
      <w:r>
        <w:t>the</w:t>
      </w:r>
      <w:r w:rsidR="00753913">
        <w:t xml:space="preserve"> </w:t>
      </w:r>
      <w:r w:rsidR="003B6495">
        <w:t xml:space="preserve">count </w:t>
      </w:r>
      <w:r>
        <w:t xml:space="preserve">of </w:t>
      </w:r>
      <w:r w:rsidR="0062409A">
        <w:t xml:space="preserve">graduates </w:t>
      </w:r>
      <w:r>
        <w:t>who were working in the measurement year</w:t>
      </w:r>
      <w:r w:rsidR="003B6495">
        <w:t>, whose earnings are included in the calculated median value</w:t>
      </w:r>
      <w:r w:rsidR="00603492">
        <w:t xml:space="preserve"> </w:t>
      </w:r>
      <w:r w:rsidR="005D0B95">
        <w:t>(</w:t>
      </w:r>
      <w:r w:rsidR="003B6495">
        <w:t>EARNINGSCOUNT</w:t>
      </w:r>
      <w:r w:rsidR="005D0B95">
        <w:t>).</w:t>
      </w:r>
    </w:p>
    <w:p w14:paraId="2AC21BD7" w14:textId="77777777" w:rsidR="001150FF" w:rsidRDefault="001150FF" w:rsidP="005B08BD">
      <w:pPr>
        <w:spacing w:after="0" w:line="240" w:lineRule="auto"/>
      </w:pPr>
    </w:p>
    <w:p w14:paraId="0F5BBACB" w14:textId="01EAE0E3" w:rsidR="00D45EA2" w:rsidRDefault="00BF1443" w:rsidP="005B08BD">
      <w:pPr>
        <w:spacing w:after="0" w:line="240" w:lineRule="auto"/>
      </w:pPr>
      <w:r>
        <w:lastRenderedPageBreak/>
        <w:t>Students who completed multiple awards (e.g. double major) were measured</w:t>
      </w:r>
      <w:r w:rsidR="005F2610">
        <w:t xml:space="preserve"> multiple times only if multiple awards were completed in a different four-digit CIP code, and/or credential level.</w:t>
      </w:r>
      <w:r w:rsidR="00DD0F3A">
        <w:t xml:space="preserve"> Students who completed multiple awards within the same institution at the same four-digit CIP code and credential level were measured only once.</w:t>
      </w:r>
    </w:p>
    <w:p w14:paraId="1DB0F69A" w14:textId="77777777" w:rsidR="00530369" w:rsidRDefault="00530369" w:rsidP="005B08BD">
      <w:pPr>
        <w:spacing w:after="0" w:line="240" w:lineRule="auto"/>
      </w:pPr>
    </w:p>
    <w:p w14:paraId="752DA263" w14:textId="3331EF2A" w:rsidR="002426FD" w:rsidRDefault="00EA2686" w:rsidP="005B08BD">
      <w:pPr>
        <w:spacing w:after="0" w:line="240" w:lineRule="auto"/>
      </w:pPr>
      <w:r>
        <w:t xml:space="preserve">The earnings </w:t>
      </w:r>
      <w:r w:rsidR="00103450">
        <w:t xml:space="preserve">measurement represents </w:t>
      </w:r>
      <w:r>
        <w:t xml:space="preserve">the sum of </w:t>
      </w:r>
      <w:r w:rsidR="007045EE" w:rsidRPr="007045EE">
        <w:t xml:space="preserve">wages and deferred compensation from all non-duplicate W-2 forms </w:t>
      </w:r>
      <w:r w:rsidR="008434E4">
        <w:t>and p</w:t>
      </w:r>
      <w:r w:rsidR="002426FD" w:rsidRPr="002426FD">
        <w:t xml:space="preserve">ositive self-employment earnings from Form 1040 Schedules SE (Self-Employment Tax) for each </w:t>
      </w:r>
      <w:r w:rsidR="00103450">
        <w:t>student measured.</w:t>
      </w:r>
    </w:p>
    <w:p w14:paraId="2C02DF6A" w14:textId="77777777" w:rsidR="001150FF" w:rsidRDefault="001150FF" w:rsidP="005B08BD">
      <w:pPr>
        <w:pStyle w:val="Heading2"/>
        <w:spacing w:line="240" w:lineRule="auto"/>
      </w:pPr>
    </w:p>
    <w:p w14:paraId="10319745" w14:textId="3F13C612" w:rsidR="00FB5298" w:rsidRDefault="00FB5298" w:rsidP="005B08BD">
      <w:pPr>
        <w:pStyle w:val="Heading2"/>
        <w:spacing w:line="240" w:lineRule="auto"/>
      </w:pPr>
      <w:bookmarkStart w:id="12" w:name="_Toc16782813"/>
      <w:r>
        <w:t xml:space="preserve">Cumulative </w:t>
      </w:r>
      <w:r w:rsidR="00C04B59">
        <w:t xml:space="preserve">federal </w:t>
      </w:r>
      <w:r>
        <w:t>loan debt</w:t>
      </w:r>
      <w:bookmarkEnd w:id="12"/>
    </w:p>
    <w:p w14:paraId="3BFD8380" w14:textId="46852E72" w:rsidR="00D763B4" w:rsidRDefault="00426D80" w:rsidP="005B08BD">
      <w:pPr>
        <w:pStyle w:val="NoSpacing"/>
      </w:pPr>
      <w:r>
        <w:t>Scorecard provides</w:t>
      </w:r>
      <w:r w:rsidR="0010564C">
        <w:t xml:space="preserve"> the </w:t>
      </w:r>
      <w:r w:rsidR="00355531">
        <w:t xml:space="preserve">mean </w:t>
      </w:r>
      <w:r w:rsidR="001150FF">
        <w:t>(</w:t>
      </w:r>
      <w:r w:rsidR="00E30A03">
        <w:t>DEBTMEAN</w:t>
      </w:r>
      <w:r w:rsidR="001150FF">
        <w:t xml:space="preserve">) </w:t>
      </w:r>
      <w:r w:rsidR="00355531">
        <w:t xml:space="preserve">and median </w:t>
      </w:r>
      <w:r w:rsidR="001150FF">
        <w:t>(</w:t>
      </w:r>
      <w:r w:rsidR="00E30A03">
        <w:t>DEBTMEDIA</w:t>
      </w:r>
      <w:r w:rsidR="00D04C7E">
        <w:t>N</w:t>
      </w:r>
      <w:r w:rsidR="001150FF">
        <w:t xml:space="preserve">) </w:t>
      </w:r>
      <w:r w:rsidR="00355531">
        <w:t xml:space="preserve">federal loan debt </w:t>
      </w:r>
      <w:r w:rsidR="0010564C">
        <w:t xml:space="preserve">of federal borrowers by field of study for </w:t>
      </w:r>
      <w:r w:rsidR="00E42365">
        <w:t xml:space="preserve">cohorts of students </w:t>
      </w:r>
      <w:r w:rsidR="00700C5B">
        <w:t xml:space="preserve">who complete in the same </w:t>
      </w:r>
      <w:r w:rsidR="00496C50">
        <w:t xml:space="preserve">two-year </w:t>
      </w:r>
      <w:r w:rsidR="00700C5B">
        <w:t>timeframe</w:t>
      </w:r>
      <w:r w:rsidR="0010564C">
        <w:t>.</w:t>
      </w:r>
      <w:r w:rsidR="00305F53">
        <w:t xml:space="preserve"> </w:t>
      </w:r>
      <w:r w:rsidR="00F61310">
        <w:t xml:space="preserve">In addition, </w:t>
      </w:r>
      <w:r w:rsidR="00D763B4">
        <w:t>Scorecard provides the borrower count associated with each mean and median federal loan debt value</w:t>
      </w:r>
      <w:r w:rsidR="0050027A">
        <w:t xml:space="preserve"> </w:t>
      </w:r>
      <w:r w:rsidR="00D763B4">
        <w:t>(</w:t>
      </w:r>
      <w:r w:rsidR="00E30A03">
        <w:t>COUNT</w:t>
      </w:r>
      <w:r w:rsidR="00D763B4">
        <w:t xml:space="preserve">). </w:t>
      </w:r>
    </w:p>
    <w:p w14:paraId="3511DC69" w14:textId="77777777" w:rsidR="00D763B4" w:rsidRDefault="00D763B4" w:rsidP="005B08BD">
      <w:pPr>
        <w:pStyle w:val="NoSpacing"/>
      </w:pPr>
    </w:p>
    <w:p w14:paraId="3B273640" w14:textId="7191CF22" w:rsidR="002F3808" w:rsidRDefault="00305F53" w:rsidP="005B08BD">
      <w:pPr>
        <w:pStyle w:val="NoSpacing"/>
      </w:pPr>
      <w:r>
        <w:t>The cumulative federal loan debt includes only loan disbursement amounts</w:t>
      </w:r>
      <w:r w:rsidR="00A64A71">
        <w:t xml:space="preserve"> and does not capture any accrued interest, even if that interest accrued prior to graduation. The cumulative loan debt only includes loans </w:t>
      </w:r>
      <w:r w:rsidR="006063F9">
        <w:t xml:space="preserve">disbursed at the same academic level (i.e. graduate, undergraduate) </w:t>
      </w:r>
      <w:r w:rsidR="00336876">
        <w:t xml:space="preserve">as the evaluated </w:t>
      </w:r>
      <w:r w:rsidR="00993C4E">
        <w:t>credential level</w:t>
      </w:r>
      <w:r w:rsidR="00E80CAB">
        <w:t xml:space="preserve">. For example, </w:t>
      </w:r>
      <w:r w:rsidR="00C54CA7">
        <w:t xml:space="preserve">calculated </w:t>
      </w:r>
      <w:r w:rsidR="00C853B3">
        <w:t xml:space="preserve">debt </w:t>
      </w:r>
      <w:r w:rsidR="00E80CAB">
        <w:t xml:space="preserve">values </w:t>
      </w:r>
      <w:r w:rsidR="00C54CA7">
        <w:t xml:space="preserve">for a </w:t>
      </w:r>
      <w:proofErr w:type="gramStart"/>
      <w:r w:rsidR="00E80CAB">
        <w:t>Master</w:t>
      </w:r>
      <w:r w:rsidR="00817080">
        <w:t>'</w:t>
      </w:r>
      <w:r w:rsidR="00E80CAB">
        <w:t>s</w:t>
      </w:r>
      <w:proofErr w:type="gramEnd"/>
      <w:r w:rsidR="00E80CAB">
        <w:t xml:space="preserve"> </w:t>
      </w:r>
      <w:r w:rsidR="00A67BE2">
        <w:t>degree</w:t>
      </w:r>
      <w:r w:rsidR="00637863">
        <w:t>-level field of study will</w:t>
      </w:r>
      <w:r w:rsidR="00A67BE2">
        <w:t xml:space="preserve"> include </w:t>
      </w:r>
      <w:r w:rsidR="0009325C">
        <w:t xml:space="preserve">all </w:t>
      </w:r>
      <w:r w:rsidR="00F812AF">
        <w:t>graduate-level loans</w:t>
      </w:r>
      <w:r w:rsidR="00637863">
        <w:t xml:space="preserve"> and exclude all undergraduate-level loans</w:t>
      </w:r>
      <w:r w:rsidR="00F812AF">
        <w:t xml:space="preserve">. </w:t>
      </w:r>
      <w:r w:rsidR="005F221B">
        <w:t>Academic levels are assigned to credential levels based on the following categorizations:</w:t>
      </w:r>
    </w:p>
    <w:p w14:paraId="2A8885A7" w14:textId="77777777" w:rsidR="00FE5B60" w:rsidRDefault="00FE5B60" w:rsidP="005B08BD">
      <w:pPr>
        <w:pStyle w:val="NoSpacing"/>
        <w:numPr>
          <w:ilvl w:val="0"/>
          <w:numId w:val="11"/>
        </w:numPr>
      </w:pPr>
      <w:r>
        <w:t>Undergraduate credentials:</w:t>
      </w:r>
    </w:p>
    <w:p w14:paraId="527C164F" w14:textId="038EAC0A" w:rsidR="00FE5B60" w:rsidRDefault="00FE5B60" w:rsidP="005B08BD">
      <w:pPr>
        <w:pStyle w:val="NoSpacing"/>
        <w:numPr>
          <w:ilvl w:val="1"/>
          <w:numId w:val="11"/>
        </w:numPr>
      </w:pPr>
      <w:r>
        <w:t>Undergraduate Certificates or Diplomas</w:t>
      </w:r>
    </w:p>
    <w:p w14:paraId="7D70A8D7" w14:textId="7A149078" w:rsidR="00FE5B60" w:rsidRDefault="00FE5B60" w:rsidP="005B08BD">
      <w:pPr>
        <w:pStyle w:val="NoSpacing"/>
        <w:numPr>
          <w:ilvl w:val="1"/>
          <w:numId w:val="11"/>
        </w:numPr>
      </w:pPr>
      <w:proofErr w:type="gramStart"/>
      <w:r>
        <w:t>Associate's Degrees</w:t>
      </w:r>
      <w:proofErr w:type="gramEnd"/>
    </w:p>
    <w:p w14:paraId="660A3FA2" w14:textId="52561F92" w:rsidR="00FE5B60" w:rsidRDefault="00FE5B60" w:rsidP="005B08BD">
      <w:pPr>
        <w:pStyle w:val="NoSpacing"/>
        <w:numPr>
          <w:ilvl w:val="1"/>
          <w:numId w:val="11"/>
        </w:numPr>
      </w:pPr>
      <w:r>
        <w:t>Bachelor's Degrees</w:t>
      </w:r>
    </w:p>
    <w:p w14:paraId="323809B0" w14:textId="7C567CC7" w:rsidR="00FE5B60" w:rsidRDefault="00FE5B60" w:rsidP="005B08BD">
      <w:pPr>
        <w:pStyle w:val="NoSpacing"/>
        <w:numPr>
          <w:ilvl w:val="1"/>
          <w:numId w:val="11"/>
        </w:numPr>
      </w:pPr>
      <w:commentRangeStart w:id="13"/>
      <w:commentRangeStart w:id="14"/>
      <w:r>
        <w:t>Post-baccalaureate Certificates</w:t>
      </w:r>
      <w:commentRangeEnd w:id="13"/>
      <w:r w:rsidR="000674CA">
        <w:rPr>
          <w:rStyle w:val="CommentReference"/>
        </w:rPr>
        <w:commentReference w:id="13"/>
      </w:r>
      <w:commentRangeEnd w:id="14"/>
      <w:r w:rsidR="00E30A03">
        <w:rPr>
          <w:rStyle w:val="CommentReference"/>
        </w:rPr>
        <w:commentReference w:id="14"/>
      </w:r>
    </w:p>
    <w:p w14:paraId="2AD864A1" w14:textId="77777777" w:rsidR="00FE5B60" w:rsidRDefault="00FE5B60" w:rsidP="005B08BD">
      <w:pPr>
        <w:pStyle w:val="NoSpacing"/>
        <w:numPr>
          <w:ilvl w:val="0"/>
          <w:numId w:val="11"/>
        </w:numPr>
      </w:pPr>
      <w:r>
        <w:t>Graduate credentials</w:t>
      </w:r>
    </w:p>
    <w:p w14:paraId="4A993719" w14:textId="3F9593A1" w:rsidR="00FE5B60" w:rsidRDefault="00FE5B60" w:rsidP="005B08BD">
      <w:pPr>
        <w:pStyle w:val="NoSpacing"/>
        <w:numPr>
          <w:ilvl w:val="1"/>
          <w:numId w:val="11"/>
        </w:numPr>
      </w:pPr>
      <w:r>
        <w:t>Master's Degrees</w:t>
      </w:r>
    </w:p>
    <w:p w14:paraId="72E3A647" w14:textId="1A9DAED5" w:rsidR="00FE5B60" w:rsidRDefault="00FE5B60" w:rsidP="005B08BD">
      <w:pPr>
        <w:pStyle w:val="NoSpacing"/>
        <w:numPr>
          <w:ilvl w:val="1"/>
          <w:numId w:val="11"/>
        </w:numPr>
      </w:pPr>
      <w:r>
        <w:t>Doctoral Degrees</w:t>
      </w:r>
    </w:p>
    <w:p w14:paraId="226ED6B9" w14:textId="54961E32" w:rsidR="00FE5B60" w:rsidRDefault="00FE5B60" w:rsidP="005B08BD">
      <w:pPr>
        <w:pStyle w:val="NoSpacing"/>
        <w:numPr>
          <w:ilvl w:val="1"/>
          <w:numId w:val="11"/>
        </w:numPr>
      </w:pPr>
      <w:r>
        <w:t>First Professional Degrees</w:t>
      </w:r>
    </w:p>
    <w:p w14:paraId="0CAB5556" w14:textId="66009FEC" w:rsidR="00FE5B60" w:rsidRDefault="00FE5B60" w:rsidP="005B08BD">
      <w:pPr>
        <w:pStyle w:val="NoSpacing"/>
        <w:numPr>
          <w:ilvl w:val="1"/>
          <w:numId w:val="11"/>
        </w:numPr>
      </w:pPr>
      <w:r>
        <w:t>Graduate / Professional Certificates</w:t>
      </w:r>
    </w:p>
    <w:p w14:paraId="7787A14C" w14:textId="77777777" w:rsidR="002F3808" w:rsidRDefault="002F3808" w:rsidP="005B08BD">
      <w:pPr>
        <w:pStyle w:val="NoSpacing"/>
      </w:pPr>
    </w:p>
    <w:p w14:paraId="3E46F4CD" w14:textId="7C8A6101" w:rsidR="00876850" w:rsidRDefault="00F812AF" w:rsidP="005B08BD">
      <w:pPr>
        <w:pStyle w:val="NoSpacing"/>
      </w:pPr>
      <w:r>
        <w:t xml:space="preserve">The cumulative federal loan debt includes </w:t>
      </w:r>
      <w:r w:rsidR="00EB3F97">
        <w:t xml:space="preserve">all </w:t>
      </w:r>
      <w:r>
        <w:t xml:space="preserve">debt </w:t>
      </w:r>
      <w:r w:rsidR="00993C4E">
        <w:t xml:space="preserve">(at the same academic level </w:t>
      </w:r>
      <w:r w:rsidR="000C4711">
        <w:t>of the</w:t>
      </w:r>
      <w:r w:rsidR="00993C4E">
        <w:t xml:space="preserve"> evaluated credential level</w:t>
      </w:r>
      <w:r w:rsidR="000C4711">
        <w:t>)</w:t>
      </w:r>
      <w:r w:rsidR="00993C4E">
        <w:t xml:space="preserve"> </w:t>
      </w:r>
      <w:r>
        <w:t xml:space="preserve">dispersed by the evaluated institution </w:t>
      </w:r>
      <w:r w:rsidR="00EB3F97">
        <w:t>regardless of whether the evaluated student switched fields of study</w:t>
      </w:r>
      <w:r w:rsidR="00D40292">
        <w:t xml:space="preserve"> at the</w:t>
      </w:r>
      <w:r w:rsidR="0050027A">
        <w:t xml:space="preserve"> evaluated</w:t>
      </w:r>
      <w:r w:rsidR="00D40292">
        <w:t xml:space="preserve"> institution. For example, if a student began as a</w:t>
      </w:r>
      <w:r w:rsidR="00E14435">
        <w:t>n undergraduate</w:t>
      </w:r>
      <w:r w:rsidR="00D40292">
        <w:t xml:space="preserve"> general studies student and then earned a bachelor’s degree </w:t>
      </w:r>
      <w:r w:rsidR="005E3687">
        <w:t xml:space="preserve">in agriculture </w:t>
      </w:r>
      <w:r w:rsidR="00D40292">
        <w:t>at the same</w:t>
      </w:r>
      <w:r w:rsidR="00C567D8">
        <w:t xml:space="preserve"> institution, the debt</w:t>
      </w:r>
      <w:r w:rsidR="00B42FB5">
        <w:t xml:space="preserve"> calculated for </w:t>
      </w:r>
      <w:r w:rsidR="00C567D8">
        <w:t xml:space="preserve">the </w:t>
      </w:r>
      <w:r w:rsidR="002141FA">
        <w:t xml:space="preserve">agriculture </w:t>
      </w:r>
      <w:r w:rsidR="00C567D8">
        <w:t>bachelor’s degree</w:t>
      </w:r>
      <w:r w:rsidR="00EB3F97">
        <w:t xml:space="preserve"> </w:t>
      </w:r>
      <w:r w:rsidR="00C567D8">
        <w:t>would include debt</w:t>
      </w:r>
      <w:r w:rsidR="00876850">
        <w:t xml:space="preserve"> used </w:t>
      </w:r>
      <w:r w:rsidR="005E3687">
        <w:t>to enroll in the</w:t>
      </w:r>
      <w:r w:rsidR="00876850">
        <w:t xml:space="preserve"> prior</w:t>
      </w:r>
      <w:r w:rsidR="005E3687">
        <w:t xml:space="preserve"> general studies field of study. </w:t>
      </w:r>
    </w:p>
    <w:p w14:paraId="43B4F7C8" w14:textId="77777777" w:rsidR="00876850" w:rsidRDefault="00876850" w:rsidP="005B08BD">
      <w:pPr>
        <w:pStyle w:val="NoSpacing"/>
      </w:pPr>
    </w:p>
    <w:p w14:paraId="558ACD94" w14:textId="63A89DE8" w:rsidR="00A10289" w:rsidRDefault="00D86AF7" w:rsidP="005B08BD">
      <w:pPr>
        <w:pStyle w:val="NoSpacing"/>
      </w:pPr>
      <w:r>
        <w:t xml:space="preserve">All Stafford and </w:t>
      </w:r>
      <w:r w:rsidR="0055179F">
        <w:t>Graduate PLUS loans are include</w:t>
      </w:r>
      <w:r w:rsidR="00C04B59">
        <w:t xml:space="preserve">d in the sum of cumulative federal debt. </w:t>
      </w:r>
      <w:r w:rsidR="005815E6">
        <w:t xml:space="preserve">Cumulative federal debt values </w:t>
      </w:r>
      <w:r w:rsidR="0055179F">
        <w:t>exclude parent PLUS loans and Perkins loans</w:t>
      </w:r>
      <w:r w:rsidR="00A10289">
        <w:t xml:space="preserve">. </w:t>
      </w:r>
    </w:p>
    <w:p w14:paraId="7D0B42AD" w14:textId="77777777" w:rsidR="00326321" w:rsidRDefault="00326321" w:rsidP="005B08BD">
      <w:pPr>
        <w:spacing w:after="0" w:line="240" w:lineRule="auto"/>
      </w:pPr>
    </w:p>
    <w:p w14:paraId="6838A2DC" w14:textId="2C881E9D" w:rsidR="004712A9" w:rsidRDefault="004712A9" w:rsidP="005B08BD">
      <w:pPr>
        <w:spacing w:after="0" w:line="240" w:lineRule="auto"/>
      </w:pPr>
      <w:r>
        <w:t>Students who completed multiple awards (e.g. double major) were measured multiple times only if multiple awards were completed in a different four-digit CIP code, and/or credential level. Students who completed multiple awards within the same institution at the same four-digit CIP code and credential level were measured only once.</w:t>
      </w:r>
    </w:p>
    <w:p w14:paraId="1F6C72A2" w14:textId="77777777" w:rsidR="00B50B50" w:rsidRDefault="00B50B50" w:rsidP="008424F6">
      <w:pPr>
        <w:pStyle w:val="Heading2"/>
      </w:pPr>
      <w:bookmarkStart w:id="15" w:name="_Toc16782815"/>
    </w:p>
    <w:p w14:paraId="1CE8C5A4" w14:textId="645802B3" w:rsidR="008424F6" w:rsidRDefault="00B50B50" w:rsidP="008424F6">
      <w:pPr>
        <w:pStyle w:val="Heading2"/>
      </w:pPr>
      <w:r>
        <w:t>Privacy protection</w:t>
      </w:r>
    </w:p>
    <w:p w14:paraId="4E245EDC" w14:textId="187FA6D3" w:rsidR="00B50B50" w:rsidRDefault="00B50B50" w:rsidP="00B50B50">
      <w:pPr>
        <w:spacing w:after="0" w:line="240" w:lineRule="auto"/>
      </w:pPr>
      <w:r>
        <w:t>Data presented by field of study have been treated with cell suppression methods to reduce the risk of disclosure. To further reduce disclosure risk, information about the specific suppression rules is not available to the public. Data points suppressed for privacy are indicated by the “PrivacySuppressed” data code. While the majority of the fields of study offered by institutions have privacy suppressed data values</w:t>
      </w:r>
      <w:r w:rsidR="00D520D0">
        <w:t xml:space="preserve"> for</w:t>
      </w:r>
      <w:r w:rsidR="00C52ABB">
        <w:t xml:space="preserve"> cumulative loan debt and post-completion earnings</w:t>
      </w:r>
      <w:r>
        <w:t>,</w:t>
      </w:r>
      <w:r w:rsidR="00C52ABB">
        <w:t xml:space="preserve"> the fields of study for which there are </w:t>
      </w:r>
      <w:r w:rsidR="004226F3">
        <w:t xml:space="preserve">unsuppressed </w:t>
      </w:r>
      <w:r w:rsidR="00A34CD8">
        <w:t xml:space="preserve">(reportable) </w:t>
      </w:r>
      <w:r w:rsidR="004226F3">
        <w:t xml:space="preserve">data values </w:t>
      </w:r>
      <w:r w:rsidR="00C52ABB">
        <w:t>represent</w:t>
      </w:r>
      <w:r w:rsidR="00AD6C5B">
        <w:t xml:space="preserve"> a large share of students who graduate.</w:t>
      </w:r>
    </w:p>
    <w:p w14:paraId="2A3A8AE7" w14:textId="45BED9DF" w:rsidR="00F00644" w:rsidRDefault="00F00644" w:rsidP="00B50B50">
      <w:pPr>
        <w:spacing w:after="0" w:line="240" w:lineRule="auto"/>
      </w:pPr>
    </w:p>
    <w:p w14:paraId="45B90C70" w14:textId="1F580A98" w:rsidR="00A34CD8" w:rsidRDefault="00A34CD8" w:rsidP="00B50B50">
      <w:pPr>
        <w:spacing w:after="0" w:line="240" w:lineRule="auto"/>
      </w:pPr>
      <w:r>
        <w:t>Figure</w:t>
      </w:r>
      <w:r w:rsidR="004673A0">
        <w:t xml:space="preserve"> X. Proportion of data that is reportable following privacy suppression</w:t>
      </w:r>
    </w:p>
    <w:tbl>
      <w:tblPr>
        <w:tblStyle w:val="TableGrid"/>
        <w:tblW w:w="0" w:type="auto"/>
        <w:tblLook w:val="04A0" w:firstRow="1" w:lastRow="0" w:firstColumn="1" w:lastColumn="0" w:noHBand="0" w:noVBand="1"/>
      </w:tblPr>
      <w:tblGrid>
        <w:gridCol w:w="1885"/>
        <w:gridCol w:w="2250"/>
        <w:gridCol w:w="2520"/>
        <w:gridCol w:w="2520"/>
      </w:tblGrid>
      <w:tr w:rsidR="00A34CD8" w:rsidRPr="006323AA" w14:paraId="1250CDD4" w14:textId="77777777" w:rsidTr="006323AA">
        <w:tc>
          <w:tcPr>
            <w:tcW w:w="1885" w:type="dxa"/>
          </w:tcPr>
          <w:p w14:paraId="7935FB07" w14:textId="6490CCFE" w:rsidR="00A34CD8" w:rsidRPr="006323AA" w:rsidRDefault="00A34CD8" w:rsidP="00B50B50">
            <w:pPr>
              <w:rPr>
                <w:b/>
                <w:bCs/>
              </w:rPr>
            </w:pPr>
            <w:r w:rsidRPr="006323AA">
              <w:rPr>
                <w:b/>
                <w:bCs/>
              </w:rPr>
              <w:t>Metric subject to privacy suppression</w:t>
            </w:r>
          </w:p>
        </w:tc>
        <w:tc>
          <w:tcPr>
            <w:tcW w:w="2250" w:type="dxa"/>
          </w:tcPr>
          <w:p w14:paraId="26EC262B" w14:textId="49D1DCAF" w:rsidR="00A34CD8" w:rsidRPr="006323AA" w:rsidRDefault="00A34CD8" w:rsidP="00B50B50">
            <w:pPr>
              <w:rPr>
                <w:b/>
                <w:bCs/>
              </w:rPr>
            </w:pPr>
            <w:r w:rsidRPr="006323AA">
              <w:rPr>
                <w:b/>
                <w:bCs/>
              </w:rPr>
              <w:t>UNITIDs with at least 1 reportable field of study</w:t>
            </w:r>
          </w:p>
        </w:tc>
        <w:tc>
          <w:tcPr>
            <w:tcW w:w="2520" w:type="dxa"/>
          </w:tcPr>
          <w:p w14:paraId="4C810561" w14:textId="26D6718D" w:rsidR="00A34CD8" w:rsidRPr="006323AA" w:rsidRDefault="00A34CD8" w:rsidP="00B50B50">
            <w:pPr>
              <w:rPr>
                <w:b/>
                <w:bCs/>
              </w:rPr>
            </w:pPr>
            <w:r w:rsidRPr="006323AA">
              <w:rPr>
                <w:b/>
                <w:bCs/>
              </w:rPr>
              <w:t>Reportable UNITID</w:t>
            </w:r>
            <w:r w:rsidR="004673A0">
              <w:rPr>
                <w:b/>
                <w:bCs/>
              </w:rPr>
              <w:t>-</w:t>
            </w:r>
            <w:r w:rsidRPr="006323AA">
              <w:rPr>
                <w:b/>
                <w:bCs/>
              </w:rPr>
              <w:t>by</w:t>
            </w:r>
            <w:r w:rsidR="004673A0">
              <w:rPr>
                <w:b/>
                <w:bCs/>
              </w:rPr>
              <w:t>-</w:t>
            </w:r>
            <w:r w:rsidRPr="006323AA">
              <w:rPr>
                <w:b/>
                <w:bCs/>
              </w:rPr>
              <w:t>field</w:t>
            </w:r>
            <w:r w:rsidR="004673A0">
              <w:rPr>
                <w:b/>
                <w:bCs/>
              </w:rPr>
              <w:t>-</w:t>
            </w:r>
            <w:r w:rsidRPr="006323AA">
              <w:rPr>
                <w:b/>
                <w:bCs/>
              </w:rPr>
              <w:t>of</w:t>
            </w:r>
            <w:r w:rsidR="004673A0">
              <w:rPr>
                <w:b/>
                <w:bCs/>
              </w:rPr>
              <w:t>-</w:t>
            </w:r>
            <w:r w:rsidRPr="006323AA">
              <w:rPr>
                <w:b/>
                <w:bCs/>
              </w:rPr>
              <w:t xml:space="preserve">study combinations </w:t>
            </w:r>
          </w:p>
        </w:tc>
        <w:tc>
          <w:tcPr>
            <w:tcW w:w="2520" w:type="dxa"/>
          </w:tcPr>
          <w:p w14:paraId="0CB83834" w14:textId="23EC070B" w:rsidR="00A34CD8" w:rsidRPr="006323AA" w:rsidRDefault="00A34CD8" w:rsidP="00B50B50">
            <w:pPr>
              <w:rPr>
                <w:b/>
                <w:bCs/>
              </w:rPr>
            </w:pPr>
            <w:r w:rsidRPr="006323AA">
              <w:rPr>
                <w:b/>
                <w:bCs/>
              </w:rPr>
              <w:t>IPEDS awards from UNITIDs with reportable values</w:t>
            </w:r>
          </w:p>
        </w:tc>
      </w:tr>
      <w:tr w:rsidR="004673A0" w14:paraId="03F9A6C6" w14:textId="77777777" w:rsidTr="006323AA">
        <w:tc>
          <w:tcPr>
            <w:tcW w:w="1885" w:type="dxa"/>
          </w:tcPr>
          <w:p w14:paraId="40F4F490" w14:textId="043755B3" w:rsidR="004673A0" w:rsidRDefault="004673A0" w:rsidP="004673A0">
            <w:r>
              <w:t>Median debt</w:t>
            </w:r>
          </w:p>
        </w:tc>
        <w:tc>
          <w:tcPr>
            <w:tcW w:w="2250" w:type="dxa"/>
            <w:vAlign w:val="bottom"/>
          </w:tcPr>
          <w:p w14:paraId="10571B25" w14:textId="22F4AB67" w:rsidR="004673A0" w:rsidRDefault="004673A0" w:rsidP="006323AA">
            <w:pPr>
              <w:jc w:val="right"/>
            </w:pPr>
            <w:r>
              <w:rPr>
                <w:color w:val="000000"/>
                <w:sz w:val="22"/>
                <w:szCs w:val="22"/>
              </w:rPr>
              <w:t>76.1%</w:t>
            </w:r>
          </w:p>
        </w:tc>
        <w:tc>
          <w:tcPr>
            <w:tcW w:w="2520" w:type="dxa"/>
            <w:vAlign w:val="bottom"/>
          </w:tcPr>
          <w:p w14:paraId="78B92451" w14:textId="4CF4A708" w:rsidR="004673A0" w:rsidRDefault="004673A0" w:rsidP="006323AA">
            <w:pPr>
              <w:jc w:val="right"/>
            </w:pPr>
            <w:r>
              <w:rPr>
                <w:color w:val="000000"/>
                <w:sz w:val="22"/>
                <w:szCs w:val="22"/>
              </w:rPr>
              <w:t>24.3%</w:t>
            </w:r>
          </w:p>
        </w:tc>
        <w:tc>
          <w:tcPr>
            <w:tcW w:w="2520" w:type="dxa"/>
            <w:vAlign w:val="bottom"/>
          </w:tcPr>
          <w:p w14:paraId="71B33B5F" w14:textId="2B849401" w:rsidR="004673A0" w:rsidRDefault="004673A0" w:rsidP="006323AA">
            <w:pPr>
              <w:jc w:val="right"/>
            </w:pPr>
            <w:r>
              <w:rPr>
                <w:color w:val="000000"/>
                <w:sz w:val="22"/>
                <w:szCs w:val="22"/>
              </w:rPr>
              <w:t>68.7%</w:t>
            </w:r>
          </w:p>
        </w:tc>
      </w:tr>
      <w:tr w:rsidR="004673A0" w14:paraId="6F3FE8F7" w14:textId="77777777" w:rsidTr="006323AA">
        <w:tc>
          <w:tcPr>
            <w:tcW w:w="1885" w:type="dxa"/>
          </w:tcPr>
          <w:p w14:paraId="1B7FA5C4" w14:textId="69E95992" w:rsidR="004673A0" w:rsidRDefault="004673A0" w:rsidP="004673A0">
            <w:r>
              <w:t>Median earnings</w:t>
            </w:r>
          </w:p>
        </w:tc>
        <w:tc>
          <w:tcPr>
            <w:tcW w:w="2250" w:type="dxa"/>
            <w:vAlign w:val="bottom"/>
          </w:tcPr>
          <w:p w14:paraId="0B070DA6" w14:textId="5535500B" w:rsidR="004673A0" w:rsidRDefault="004673A0" w:rsidP="006323AA">
            <w:pPr>
              <w:jc w:val="right"/>
            </w:pPr>
            <w:r>
              <w:rPr>
                <w:color w:val="000000"/>
                <w:sz w:val="22"/>
                <w:szCs w:val="22"/>
              </w:rPr>
              <w:t>78.6%</w:t>
            </w:r>
          </w:p>
        </w:tc>
        <w:tc>
          <w:tcPr>
            <w:tcW w:w="2520" w:type="dxa"/>
            <w:vAlign w:val="bottom"/>
          </w:tcPr>
          <w:p w14:paraId="28A34AAF" w14:textId="0C6CF16E" w:rsidR="004673A0" w:rsidRDefault="004673A0" w:rsidP="006323AA">
            <w:pPr>
              <w:jc w:val="right"/>
            </w:pPr>
            <w:r>
              <w:rPr>
                <w:color w:val="000000"/>
                <w:sz w:val="22"/>
                <w:szCs w:val="22"/>
              </w:rPr>
              <w:t>21.4%</w:t>
            </w:r>
          </w:p>
        </w:tc>
        <w:tc>
          <w:tcPr>
            <w:tcW w:w="2520" w:type="dxa"/>
            <w:vAlign w:val="bottom"/>
          </w:tcPr>
          <w:p w14:paraId="1B74E9F4" w14:textId="49AED4C5" w:rsidR="004673A0" w:rsidRDefault="004673A0" w:rsidP="006323AA">
            <w:pPr>
              <w:jc w:val="right"/>
            </w:pPr>
            <w:r>
              <w:rPr>
                <w:color w:val="000000"/>
                <w:sz w:val="22"/>
                <w:szCs w:val="22"/>
              </w:rPr>
              <w:t>66.3%</w:t>
            </w:r>
          </w:p>
        </w:tc>
      </w:tr>
      <w:tr w:rsidR="004673A0" w14:paraId="4DC26466" w14:textId="77777777" w:rsidTr="006323AA">
        <w:tc>
          <w:tcPr>
            <w:tcW w:w="1885" w:type="dxa"/>
          </w:tcPr>
          <w:p w14:paraId="01D935D5" w14:textId="561A9CF5" w:rsidR="004673A0" w:rsidRDefault="004673A0" w:rsidP="004673A0">
            <w:r>
              <w:t>Median debt and median earnings</w:t>
            </w:r>
          </w:p>
        </w:tc>
        <w:tc>
          <w:tcPr>
            <w:tcW w:w="2250" w:type="dxa"/>
            <w:vAlign w:val="bottom"/>
          </w:tcPr>
          <w:p w14:paraId="04F2E7A7" w14:textId="5E91055D" w:rsidR="004673A0" w:rsidRDefault="004673A0" w:rsidP="006323AA">
            <w:pPr>
              <w:jc w:val="right"/>
            </w:pPr>
            <w:r>
              <w:rPr>
                <w:color w:val="000000"/>
                <w:sz w:val="22"/>
                <w:szCs w:val="22"/>
              </w:rPr>
              <w:t>72.0%</w:t>
            </w:r>
          </w:p>
        </w:tc>
        <w:tc>
          <w:tcPr>
            <w:tcW w:w="2520" w:type="dxa"/>
            <w:vAlign w:val="bottom"/>
          </w:tcPr>
          <w:p w14:paraId="75AD98C8" w14:textId="7A1E33F7" w:rsidR="004673A0" w:rsidRDefault="004673A0" w:rsidP="006323AA">
            <w:pPr>
              <w:jc w:val="right"/>
            </w:pPr>
            <w:r>
              <w:rPr>
                <w:color w:val="000000"/>
                <w:sz w:val="22"/>
                <w:szCs w:val="22"/>
              </w:rPr>
              <w:t>19.4%</w:t>
            </w:r>
          </w:p>
        </w:tc>
        <w:tc>
          <w:tcPr>
            <w:tcW w:w="2520" w:type="dxa"/>
            <w:vAlign w:val="bottom"/>
          </w:tcPr>
          <w:p w14:paraId="1FCB1A73" w14:textId="222DCFF4" w:rsidR="004673A0" w:rsidRDefault="004673A0" w:rsidP="006323AA">
            <w:pPr>
              <w:jc w:val="right"/>
            </w:pPr>
            <w:r>
              <w:rPr>
                <w:color w:val="000000"/>
                <w:sz w:val="22"/>
                <w:szCs w:val="22"/>
              </w:rPr>
              <w:t>62.8%</w:t>
            </w:r>
          </w:p>
        </w:tc>
      </w:tr>
    </w:tbl>
    <w:p w14:paraId="608929D2" w14:textId="77777777" w:rsidR="00A34CD8" w:rsidRDefault="00A34CD8" w:rsidP="00B50B50">
      <w:pPr>
        <w:spacing w:after="0" w:line="240" w:lineRule="auto"/>
      </w:pPr>
    </w:p>
    <w:p w14:paraId="346DFAE2" w14:textId="5F3EC3EA" w:rsidR="00AA386E" w:rsidRDefault="00AA386E" w:rsidP="005B08BD">
      <w:pPr>
        <w:pStyle w:val="Heading1"/>
        <w:spacing w:line="240" w:lineRule="auto"/>
      </w:pPr>
      <w:r>
        <w:t xml:space="preserve">Data </w:t>
      </w:r>
      <w:r w:rsidR="0066066C">
        <w:t xml:space="preserve">Sources </w:t>
      </w:r>
      <w:r w:rsidR="002B6B16">
        <w:t xml:space="preserve">and </w:t>
      </w:r>
      <w:r>
        <w:t>Limitations</w:t>
      </w:r>
      <w:bookmarkEnd w:id="15"/>
    </w:p>
    <w:p w14:paraId="3FF39B0C" w14:textId="1BDD5F4A" w:rsidR="00DD4048" w:rsidRDefault="001D628E" w:rsidP="005B08BD">
      <w:pPr>
        <w:spacing w:after="0" w:line="240" w:lineRule="auto"/>
      </w:pPr>
      <w:r>
        <w:t xml:space="preserve">The National Student Loan Data System (NSLDS) is the Department of Education’s </w:t>
      </w:r>
      <w:r w:rsidR="00A23BA6">
        <w:t xml:space="preserve">(Department) </w:t>
      </w:r>
      <w:r>
        <w:t xml:space="preserve">central database for monitoring </w:t>
      </w:r>
      <w:r w:rsidR="00DB17C8">
        <w:t xml:space="preserve">title IV </w:t>
      </w:r>
      <w:r>
        <w:t>federal student aid</w:t>
      </w:r>
      <w:r w:rsidR="00D86A2D">
        <w:t xml:space="preserve"> with</w:t>
      </w:r>
      <w:r>
        <w:t xml:space="preserve"> data on federal borrowers and grant recipients dating back to the 1960s. </w:t>
      </w:r>
      <w:r w:rsidR="00653A04">
        <w:t xml:space="preserve">While </w:t>
      </w:r>
      <w:r>
        <w:t xml:space="preserve">primarily </w:t>
      </w:r>
      <w:r w:rsidR="00552845">
        <w:t xml:space="preserve">used </w:t>
      </w:r>
      <w:r>
        <w:t>for operational purposes, such as tracking federal grant</w:t>
      </w:r>
      <w:r w:rsidR="00617970">
        <w:t xml:space="preserve"> disbursements</w:t>
      </w:r>
      <w:r>
        <w:t xml:space="preserve"> and loan disbursements</w:t>
      </w:r>
      <w:r w:rsidR="00DB2280">
        <w:t xml:space="preserve"> and repayment, </w:t>
      </w:r>
      <w:r w:rsidR="00DB2280" w:rsidRPr="00DB2280">
        <w:t>NSLDS</w:t>
      </w:r>
      <w:r w:rsidR="00F53644">
        <w:t xml:space="preserve"> provides administrative data from which</w:t>
      </w:r>
      <w:r w:rsidR="002450AB">
        <w:t xml:space="preserve"> loan debt</w:t>
      </w:r>
      <w:r w:rsidR="00617970">
        <w:t xml:space="preserve"> data elements </w:t>
      </w:r>
      <w:r w:rsidR="002450AB">
        <w:t>and earnings cohort construction can be derived.</w:t>
      </w:r>
      <w:r>
        <w:t xml:space="preserve"> </w:t>
      </w:r>
    </w:p>
    <w:p w14:paraId="51680F91" w14:textId="77777777" w:rsidR="00DD4048" w:rsidRDefault="00DD4048" w:rsidP="005B08BD">
      <w:pPr>
        <w:spacing w:after="0" w:line="240" w:lineRule="auto"/>
      </w:pPr>
    </w:p>
    <w:p w14:paraId="085496AF" w14:textId="7332B566" w:rsidR="00EF60C7" w:rsidRPr="0006773B" w:rsidRDefault="00EF60C7" w:rsidP="005B08BD">
      <w:pPr>
        <w:spacing w:after="0" w:line="240" w:lineRule="auto"/>
        <w:rPr>
          <w:rFonts w:eastAsia="Times New Roman"/>
        </w:rPr>
      </w:pPr>
      <w:r w:rsidRPr="00EF60C7">
        <w:t>To gain insight into the labor market outcomes of</w:t>
      </w:r>
      <w:r w:rsidR="00D972B7">
        <w:t xml:space="preserve"> individuals</w:t>
      </w:r>
      <w:r w:rsidR="002860AD">
        <w:t xml:space="preserve"> who graduate</w:t>
      </w:r>
      <w:r w:rsidRPr="00EF60C7">
        <w:t>,</w:t>
      </w:r>
      <w:r w:rsidR="002860AD">
        <w:t xml:space="preserve"> Scorecard linked </w:t>
      </w:r>
      <w:r w:rsidR="00C9105A" w:rsidRPr="00C9105A">
        <w:t>NSLDS</w:t>
      </w:r>
      <w:r w:rsidR="00BB68F2">
        <w:t xml:space="preserve"> records to </w:t>
      </w:r>
      <w:r w:rsidRPr="00EF60C7">
        <w:t xml:space="preserve">administrative tax records maintained by the </w:t>
      </w:r>
      <w:r w:rsidR="00F82324">
        <w:t xml:space="preserve">IRS within the </w:t>
      </w:r>
      <w:r w:rsidRPr="00EF60C7">
        <w:t xml:space="preserve">Department of the Treasury. </w:t>
      </w:r>
      <w:r w:rsidR="0006773B">
        <w:t>Specifically, post-completion earnings values are derived from</w:t>
      </w:r>
      <w:r w:rsidR="0006773B" w:rsidRPr="00EF60C7">
        <w:t xml:space="preserve"> the sum of wages and deferred compensation from all W-2 forms received for each individual, plus self-employment earnings from Schedule SE</w:t>
      </w:r>
      <w:r w:rsidR="0006773B">
        <w:t>.</w:t>
      </w:r>
      <w:r w:rsidRPr="00EF60C7">
        <w:t xml:space="preserve"> </w:t>
      </w:r>
    </w:p>
    <w:p w14:paraId="3DCB5BD6" w14:textId="77777777" w:rsidR="00A25E99" w:rsidRDefault="00A25E99" w:rsidP="005B08BD">
      <w:pPr>
        <w:spacing w:after="0" w:line="240" w:lineRule="auto"/>
      </w:pPr>
    </w:p>
    <w:p w14:paraId="285F4385" w14:textId="0502A1A2" w:rsidR="001B74A0" w:rsidRDefault="006F50E9" w:rsidP="005B08BD">
      <w:pPr>
        <w:spacing w:after="0" w:line="240" w:lineRule="auto"/>
      </w:pPr>
      <w:r w:rsidRPr="006F50E9">
        <w:t>The Integrated Postsecondary Education Data System (IPEDS) is a system of surveys conducted annually by the National Center for Education Statistics (NCES</w:t>
      </w:r>
      <w:r w:rsidR="00D638BA">
        <w:t>)</w:t>
      </w:r>
      <w:r w:rsidRPr="006F50E9">
        <w:t>. The completion of all IPEDS surveys is mandatory for all institutions that participate in, or are applicants for participation in, any federal financial assistance program authorized by Title IV of the Higher Education Act of 1965, as amended.</w:t>
      </w:r>
      <w:r w:rsidR="00CA7AFA">
        <w:t xml:space="preserve"> Scorecard </w:t>
      </w:r>
      <w:r w:rsidR="009C4315">
        <w:t xml:space="preserve">derives the count of awards conferred by field of study from the </w:t>
      </w:r>
      <w:r w:rsidR="009C4315" w:rsidRPr="009C4315">
        <w:t>IPEDS</w:t>
      </w:r>
      <w:r w:rsidR="009C4315">
        <w:t xml:space="preserve"> completion survey </w:t>
      </w:r>
      <w:r w:rsidR="003C7D96">
        <w:t>results.</w:t>
      </w:r>
      <w:r w:rsidR="006A634B">
        <w:t xml:space="preserve"> In this survey, institutions report all awards conferred by </w:t>
      </w:r>
      <w:r w:rsidR="00E744AC">
        <w:t>a</w:t>
      </w:r>
      <w:r w:rsidR="00F532B8">
        <w:t>ward</w:t>
      </w:r>
      <w:r w:rsidR="00E744AC">
        <w:t xml:space="preserve"> </w:t>
      </w:r>
      <w:commentRangeStart w:id="16"/>
      <w:r w:rsidR="00E744AC">
        <w:t>level and six-digit CIP code</w:t>
      </w:r>
      <w:commentRangeEnd w:id="16"/>
      <w:r w:rsidR="00094BD8">
        <w:rPr>
          <w:rStyle w:val="CommentReference"/>
        </w:rPr>
        <w:commentReference w:id="16"/>
      </w:r>
      <w:r w:rsidR="00E744AC">
        <w:t xml:space="preserve">. </w:t>
      </w:r>
    </w:p>
    <w:p w14:paraId="517A1E37" w14:textId="75936F39" w:rsidR="002B6B16" w:rsidRDefault="002B6B16" w:rsidP="005B08BD">
      <w:pPr>
        <w:pStyle w:val="Heading2"/>
        <w:spacing w:line="240" w:lineRule="auto"/>
      </w:pPr>
    </w:p>
    <w:p w14:paraId="3F168051" w14:textId="342A0F5C" w:rsidR="009A4390" w:rsidRDefault="009A4390" w:rsidP="005B08BD">
      <w:pPr>
        <w:pStyle w:val="Heading2"/>
        <w:spacing w:line="240" w:lineRule="auto"/>
      </w:pPr>
      <w:bookmarkStart w:id="17" w:name="_Toc16782816"/>
      <w:r>
        <w:t>Federally aided students</w:t>
      </w:r>
      <w:bookmarkEnd w:id="17"/>
      <w:r>
        <w:t xml:space="preserve"> </w:t>
      </w:r>
    </w:p>
    <w:p w14:paraId="25E733F3" w14:textId="0FE1B067" w:rsidR="003D22A8" w:rsidRDefault="00510053" w:rsidP="005B08BD">
      <w:pPr>
        <w:spacing w:after="0" w:line="240" w:lineRule="auto"/>
      </w:pPr>
      <w:r>
        <w:t xml:space="preserve">Since </w:t>
      </w:r>
      <w:r w:rsidR="009719F7">
        <w:t>Scorecard earnings and cumulative loan debt data by field of study are</w:t>
      </w:r>
      <w:r>
        <w:t xml:space="preserve"> derived from </w:t>
      </w:r>
      <w:r w:rsidR="00A45CB7" w:rsidRPr="00A45CB7">
        <w:t>NSLDS</w:t>
      </w:r>
      <w:r w:rsidR="00A45CB7">
        <w:t xml:space="preserve"> data, these data elements describe only </w:t>
      </w:r>
      <w:r w:rsidR="005C6D9B">
        <w:t xml:space="preserve">those </w:t>
      </w:r>
      <w:r w:rsidR="003D22A8">
        <w:t xml:space="preserve">students who </w:t>
      </w:r>
      <w:r w:rsidR="005C6D9B">
        <w:t xml:space="preserve">received </w:t>
      </w:r>
      <w:r w:rsidR="00E06BCF">
        <w:t>federal</w:t>
      </w:r>
      <w:r w:rsidR="00221081">
        <w:t xml:space="preserve"> financial</w:t>
      </w:r>
      <w:r w:rsidR="00E06BCF">
        <w:t xml:space="preserve"> aid</w:t>
      </w:r>
      <w:r w:rsidR="005A5272">
        <w:t xml:space="preserve"> in the form of title IV grants and loans</w:t>
      </w:r>
      <w:r w:rsidR="00E06BCF">
        <w:t>.</w:t>
      </w:r>
      <w:r w:rsidR="00E06BCF" w:rsidRPr="00E06BCF">
        <w:t xml:space="preserve"> </w:t>
      </w:r>
      <w:r w:rsidR="00EC13C4">
        <w:t>Given</w:t>
      </w:r>
      <w:r w:rsidR="0002467A">
        <w:t xml:space="preserve"> not all graduates received </w:t>
      </w:r>
      <w:r w:rsidR="0060674D">
        <w:t xml:space="preserve">title IV </w:t>
      </w:r>
      <w:r w:rsidR="00A742ED">
        <w:t xml:space="preserve">aid to </w:t>
      </w:r>
      <w:r w:rsidR="0002467A">
        <w:t xml:space="preserve">attend school, data users should </w:t>
      </w:r>
      <w:r w:rsidR="009D5407">
        <w:t xml:space="preserve">not assume that </w:t>
      </w:r>
      <w:r w:rsidR="00B66FAC">
        <w:t xml:space="preserve">Scorecard data values are representative </w:t>
      </w:r>
      <w:r w:rsidR="009D5407">
        <w:t>of</w:t>
      </w:r>
      <w:r w:rsidR="00121B20">
        <w:t xml:space="preserve"> all students who graduated from a particular field of study.</w:t>
      </w:r>
    </w:p>
    <w:p w14:paraId="4D0EF976" w14:textId="77777777" w:rsidR="00275346" w:rsidRDefault="00275346" w:rsidP="005B08BD">
      <w:pPr>
        <w:pStyle w:val="Heading3"/>
        <w:spacing w:line="240" w:lineRule="auto"/>
      </w:pPr>
    </w:p>
    <w:p w14:paraId="77005EEA" w14:textId="2FDAB7FA" w:rsidR="00275346" w:rsidRDefault="00275346" w:rsidP="005B08BD">
      <w:pPr>
        <w:spacing w:after="0" w:line="240" w:lineRule="auto"/>
      </w:pPr>
      <w:r>
        <w:t>Scorecard provides cumulative debt calculations based on only federal loans</w:t>
      </w:r>
      <w:r w:rsidR="000A03D2">
        <w:t xml:space="preserve"> for only</w:t>
      </w:r>
      <w:r w:rsidR="001969A0">
        <w:t xml:space="preserve"> </w:t>
      </w:r>
      <w:r w:rsidR="001D55E6">
        <w:t xml:space="preserve">title IV </w:t>
      </w:r>
      <w:r w:rsidR="001969A0">
        <w:t>borrowers</w:t>
      </w:r>
      <w:r>
        <w:t>. Further, Scorecard does not capture the amount borrowed from non-federal sources such as loans administered by states, institutions of higher education, or other private entities.</w:t>
      </w:r>
      <w:r w:rsidR="001E12AA">
        <w:t xml:space="preserve"> As an example of</w:t>
      </w:r>
      <w:r w:rsidR="00D935A8">
        <w:t xml:space="preserve"> the prevalence of nonfederal borrowing</w:t>
      </w:r>
      <w:r w:rsidR="001C041C">
        <w:t xml:space="preserve">, </w:t>
      </w:r>
      <w:r w:rsidR="009544C8">
        <w:t xml:space="preserve">15 percent of </w:t>
      </w:r>
      <w:r w:rsidR="001C041C">
        <w:t xml:space="preserve">undergraduate </w:t>
      </w:r>
      <w:r w:rsidR="00D40F41">
        <w:t xml:space="preserve">fourth-year </w:t>
      </w:r>
      <w:r w:rsidR="001C041C">
        <w:t>seniors</w:t>
      </w:r>
      <w:r w:rsidR="00203A7C">
        <w:t xml:space="preserve">, between the ages of 18 and 24, had nonfederal loans </w:t>
      </w:r>
      <w:r w:rsidR="00511CD5">
        <w:t xml:space="preserve">in </w:t>
      </w:r>
      <w:r w:rsidR="00203A7C">
        <w:t>2015-16.</w:t>
      </w:r>
      <w:r w:rsidR="00203A7C">
        <w:rPr>
          <w:rStyle w:val="FootnoteReference"/>
        </w:rPr>
        <w:footnoteReference w:id="3"/>
      </w:r>
      <w:r w:rsidR="001E12AA">
        <w:t xml:space="preserve"> </w:t>
      </w:r>
      <w:r w:rsidR="00D17562">
        <w:t xml:space="preserve"> </w:t>
      </w:r>
      <w:r>
        <w:t>In addition, debt calculations are based only on the amount borrowed and does not include capitalized interest, even if that interest accrued prior to graduation. Given these factors, Scorecard suggests users interpret these data with the understanding estimates may often be lower than the amount owed upon graduation.</w:t>
      </w:r>
    </w:p>
    <w:p w14:paraId="5C400226" w14:textId="77777777" w:rsidR="00212D13" w:rsidRDefault="00212D13" w:rsidP="005B08BD">
      <w:pPr>
        <w:spacing w:after="0" w:line="240" w:lineRule="auto"/>
      </w:pPr>
    </w:p>
    <w:p w14:paraId="65F2E0E9" w14:textId="0EE86A88" w:rsidR="00E06BCF" w:rsidRDefault="00E06BCF" w:rsidP="005B08BD">
      <w:pPr>
        <w:spacing w:after="0" w:line="240" w:lineRule="auto"/>
      </w:pPr>
      <w:r w:rsidRPr="009476AB">
        <w:t xml:space="preserve">Earnings are estimated for </w:t>
      </w:r>
      <w:r w:rsidR="005716A5">
        <w:t xml:space="preserve">only those who receive </w:t>
      </w:r>
      <w:r w:rsidR="00ED0CF1">
        <w:t xml:space="preserve">title IV </w:t>
      </w:r>
      <w:r w:rsidR="008C1889">
        <w:t>federal financial aid</w:t>
      </w:r>
      <w:r w:rsidR="005716A5">
        <w:t>.</w:t>
      </w:r>
      <w:r w:rsidR="00A17B99">
        <w:t xml:space="preserve"> </w:t>
      </w:r>
      <w:r w:rsidR="004778AA">
        <w:t xml:space="preserve">Figure </w:t>
      </w:r>
      <w:r w:rsidR="00ED0CF1">
        <w:t xml:space="preserve">X examines the prevalence of title IV recipients among undergraduates in 2015-16. </w:t>
      </w:r>
      <w:r w:rsidR="002353F3">
        <w:t>This figure shows that, nationally</w:t>
      </w:r>
      <w:r w:rsidR="00A17B99">
        <w:t xml:space="preserve">, 54 percent of </w:t>
      </w:r>
      <w:r w:rsidR="004C2AC9">
        <w:t xml:space="preserve">undergraduate </w:t>
      </w:r>
      <w:r w:rsidR="00A17B99">
        <w:t>students received</w:t>
      </w:r>
      <w:r w:rsidR="005716A5">
        <w:t xml:space="preserve"> </w:t>
      </w:r>
      <w:r w:rsidR="00533DBD">
        <w:t>any form of</w:t>
      </w:r>
      <w:r w:rsidR="00E32375">
        <w:t xml:space="preserve"> title IV aid and the prevalence of</w:t>
      </w:r>
      <w:r w:rsidR="00336D80">
        <w:t xml:space="preserve"> title IV recipients varies across different types of institutions. </w:t>
      </w:r>
    </w:p>
    <w:p w14:paraId="5380AABF" w14:textId="77777777" w:rsidR="00211805" w:rsidRDefault="00211805" w:rsidP="005B08BD">
      <w:pPr>
        <w:spacing w:after="0" w:line="240" w:lineRule="auto"/>
      </w:pPr>
    </w:p>
    <w:tbl>
      <w:tblPr>
        <w:tblW w:w="6565" w:type="dxa"/>
        <w:jc w:val="center"/>
        <w:tblLook w:val="04A0" w:firstRow="1" w:lastRow="0" w:firstColumn="1" w:lastColumn="0" w:noHBand="0" w:noVBand="1"/>
      </w:tblPr>
      <w:tblGrid>
        <w:gridCol w:w="1795"/>
        <w:gridCol w:w="3330"/>
        <w:gridCol w:w="1440"/>
      </w:tblGrid>
      <w:tr w:rsidR="00ED38F6" w:rsidRPr="008C08B5" w14:paraId="596802C5" w14:textId="77777777" w:rsidTr="00B779B0">
        <w:trPr>
          <w:trHeight w:val="580"/>
          <w:jc w:val="center"/>
        </w:trPr>
        <w:tc>
          <w:tcPr>
            <w:tcW w:w="6565" w:type="dxa"/>
            <w:gridSpan w:val="3"/>
            <w:tcBorders>
              <w:top w:val="single" w:sz="4" w:space="0" w:color="auto"/>
              <w:left w:val="single" w:sz="4" w:space="0" w:color="auto"/>
              <w:bottom w:val="single" w:sz="4" w:space="0" w:color="auto"/>
              <w:right w:val="single" w:sz="4" w:space="0" w:color="auto"/>
            </w:tcBorders>
          </w:tcPr>
          <w:p w14:paraId="7CF83722" w14:textId="77777777" w:rsidR="00ED38F6" w:rsidRPr="008C08B5" w:rsidRDefault="00ED38F6" w:rsidP="002327F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Figure X. </w:t>
            </w:r>
            <w:r w:rsidRPr="008D676B">
              <w:rPr>
                <w:rFonts w:ascii="Calibri" w:eastAsia="Times New Roman" w:hAnsi="Calibri" w:cs="Calibri"/>
                <w:b/>
                <w:bCs/>
                <w:color w:val="000000"/>
              </w:rPr>
              <w:t>Percentage of undergraduates receiving federal Title IV aid, by control and level of institution, 2015–16</w:t>
            </w:r>
          </w:p>
        </w:tc>
      </w:tr>
      <w:tr w:rsidR="00ED38F6" w:rsidRPr="008C08B5" w14:paraId="3606C9D8" w14:textId="77777777" w:rsidTr="00B779B0">
        <w:trPr>
          <w:trHeight w:val="290"/>
          <w:jc w:val="center"/>
        </w:trPr>
        <w:tc>
          <w:tcPr>
            <w:tcW w:w="5125" w:type="dxa"/>
            <w:gridSpan w:val="2"/>
            <w:tcBorders>
              <w:top w:val="nil"/>
              <w:left w:val="single" w:sz="4" w:space="0" w:color="auto"/>
              <w:bottom w:val="single" w:sz="4" w:space="0" w:color="auto"/>
              <w:right w:val="single" w:sz="4" w:space="0" w:color="auto"/>
            </w:tcBorders>
          </w:tcPr>
          <w:p w14:paraId="063F1D4E"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w:t>
            </w:r>
            <w:r>
              <w:rPr>
                <w:rFonts w:ascii="Calibri" w:eastAsia="Times New Roman" w:hAnsi="Calibri" w:cs="Calibri"/>
                <w:b/>
                <w:bCs/>
                <w:color w:val="000000"/>
              </w:rPr>
              <w:t>All undergraduates</w:t>
            </w:r>
          </w:p>
        </w:tc>
        <w:tc>
          <w:tcPr>
            <w:tcW w:w="1440" w:type="dxa"/>
            <w:tcBorders>
              <w:top w:val="nil"/>
              <w:left w:val="nil"/>
              <w:bottom w:val="single" w:sz="4" w:space="0" w:color="auto"/>
              <w:right w:val="single" w:sz="4" w:space="0" w:color="auto"/>
            </w:tcBorders>
            <w:shd w:val="clear" w:color="auto" w:fill="auto"/>
            <w:vAlign w:val="bottom"/>
            <w:hideMark/>
          </w:tcPr>
          <w:p w14:paraId="3E53F5BB" w14:textId="77777777" w:rsidR="00ED38F6" w:rsidRPr="008C08B5" w:rsidRDefault="00ED38F6" w:rsidP="002327F0">
            <w:pPr>
              <w:spacing w:after="0" w:line="240" w:lineRule="auto"/>
              <w:jc w:val="right"/>
              <w:rPr>
                <w:rFonts w:ascii="Calibri" w:eastAsia="Times New Roman" w:hAnsi="Calibri" w:cs="Calibri"/>
                <w:b/>
                <w:bCs/>
                <w:color w:val="000000"/>
              </w:rPr>
            </w:pPr>
            <w:r w:rsidRPr="008C08B5">
              <w:rPr>
                <w:rFonts w:ascii="Calibri" w:eastAsia="Times New Roman" w:hAnsi="Calibri" w:cs="Calibri"/>
                <w:b/>
                <w:bCs/>
                <w:color w:val="000000"/>
              </w:rPr>
              <w:t>54.4</w:t>
            </w:r>
          </w:p>
        </w:tc>
      </w:tr>
      <w:tr w:rsidR="00ED38F6" w:rsidRPr="008C08B5" w14:paraId="1FE00B70" w14:textId="77777777" w:rsidTr="00B779B0">
        <w:trPr>
          <w:trHeight w:val="290"/>
          <w:jc w:val="center"/>
        </w:trPr>
        <w:tc>
          <w:tcPr>
            <w:tcW w:w="1795" w:type="dxa"/>
            <w:tcBorders>
              <w:top w:val="nil"/>
              <w:left w:val="single" w:sz="4" w:space="0" w:color="auto"/>
              <w:bottom w:val="single" w:sz="4" w:space="0" w:color="auto"/>
              <w:right w:val="single" w:sz="4" w:space="0" w:color="auto"/>
            </w:tcBorders>
          </w:tcPr>
          <w:p w14:paraId="3D7A452D" w14:textId="77777777" w:rsidR="00ED38F6" w:rsidRPr="008C08B5" w:rsidRDefault="00ED38F6" w:rsidP="002327F0">
            <w:pPr>
              <w:spacing w:after="0" w:line="240" w:lineRule="auto"/>
              <w:rPr>
                <w:rFonts w:ascii="Calibri" w:eastAsia="Times New Roman" w:hAnsi="Calibri" w:cs="Calibri"/>
                <w:color w:val="000000"/>
              </w:rPr>
            </w:pPr>
            <w:r>
              <w:rPr>
                <w:rFonts w:ascii="Calibri" w:eastAsia="Times New Roman" w:hAnsi="Calibri" w:cs="Calibri"/>
                <w:color w:val="000000"/>
              </w:rPr>
              <w:t>Control</w:t>
            </w: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16BCA3CB" w14:textId="77777777" w:rsidR="00ED38F6" w:rsidRPr="008C08B5" w:rsidRDefault="00ED38F6" w:rsidP="002327F0">
            <w:pPr>
              <w:spacing w:after="0" w:line="240" w:lineRule="auto"/>
              <w:rPr>
                <w:rFonts w:ascii="Calibri" w:eastAsia="Times New Roman" w:hAnsi="Calibri" w:cs="Calibri"/>
                <w:color w:val="000000"/>
              </w:rPr>
            </w:pPr>
            <w:r>
              <w:rPr>
                <w:rFonts w:ascii="Calibri" w:eastAsia="Times New Roman" w:hAnsi="Calibri" w:cs="Calibri"/>
                <w:color w:val="000000"/>
              </w:rPr>
              <w:t>Level</w:t>
            </w:r>
          </w:p>
        </w:tc>
        <w:tc>
          <w:tcPr>
            <w:tcW w:w="1440" w:type="dxa"/>
            <w:tcBorders>
              <w:top w:val="nil"/>
              <w:left w:val="nil"/>
              <w:bottom w:val="single" w:sz="4" w:space="0" w:color="auto"/>
              <w:right w:val="single" w:sz="4" w:space="0" w:color="auto"/>
            </w:tcBorders>
            <w:shd w:val="clear" w:color="auto" w:fill="auto"/>
            <w:vAlign w:val="bottom"/>
            <w:hideMark/>
          </w:tcPr>
          <w:p w14:paraId="5DE4716B"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 </w:t>
            </w:r>
          </w:p>
        </w:tc>
      </w:tr>
      <w:tr w:rsidR="00ED38F6" w:rsidRPr="008C08B5" w14:paraId="35D362C2" w14:textId="77777777" w:rsidTr="00B779B0">
        <w:trPr>
          <w:trHeight w:val="290"/>
          <w:jc w:val="center"/>
        </w:trPr>
        <w:tc>
          <w:tcPr>
            <w:tcW w:w="1795" w:type="dxa"/>
            <w:vMerge w:val="restart"/>
            <w:tcBorders>
              <w:top w:val="nil"/>
              <w:left w:val="single" w:sz="4" w:space="0" w:color="auto"/>
              <w:right w:val="single" w:sz="4" w:space="0" w:color="auto"/>
            </w:tcBorders>
          </w:tcPr>
          <w:p w14:paraId="71237AF0"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Public</w:t>
            </w: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79302C51"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Less-than-2-year</w:t>
            </w:r>
          </w:p>
        </w:tc>
        <w:tc>
          <w:tcPr>
            <w:tcW w:w="1440" w:type="dxa"/>
            <w:tcBorders>
              <w:top w:val="nil"/>
              <w:left w:val="nil"/>
              <w:bottom w:val="single" w:sz="4" w:space="0" w:color="auto"/>
              <w:right w:val="single" w:sz="4" w:space="0" w:color="auto"/>
            </w:tcBorders>
            <w:shd w:val="clear" w:color="auto" w:fill="auto"/>
            <w:vAlign w:val="bottom"/>
            <w:hideMark/>
          </w:tcPr>
          <w:p w14:paraId="48210541"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42.8</w:t>
            </w:r>
          </w:p>
        </w:tc>
      </w:tr>
      <w:tr w:rsidR="00ED38F6" w:rsidRPr="008C08B5" w14:paraId="51B3515B" w14:textId="77777777" w:rsidTr="00B779B0">
        <w:trPr>
          <w:trHeight w:val="290"/>
          <w:jc w:val="center"/>
        </w:trPr>
        <w:tc>
          <w:tcPr>
            <w:tcW w:w="1795" w:type="dxa"/>
            <w:vMerge/>
            <w:tcBorders>
              <w:left w:val="single" w:sz="4" w:space="0" w:color="auto"/>
              <w:right w:val="single" w:sz="4" w:space="0" w:color="auto"/>
            </w:tcBorders>
          </w:tcPr>
          <w:p w14:paraId="098085A5"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2293C444"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2-year</w:t>
            </w:r>
          </w:p>
        </w:tc>
        <w:tc>
          <w:tcPr>
            <w:tcW w:w="1440" w:type="dxa"/>
            <w:tcBorders>
              <w:top w:val="nil"/>
              <w:left w:val="nil"/>
              <w:bottom w:val="single" w:sz="4" w:space="0" w:color="auto"/>
              <w:right w:val="single" w:sz="4" w:space="0" w:color="auto"/>
            </w:tcBorders>
            <w:shd w:val="clear" w:color="auto" w:fill="auto"/>
            <w:vAlign w:val="bottom"/>
            <w:hideMark/>
          </w:tcPr>
          <w:p w14:paraId="19DD1675"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38.8</w:t>
            </w:r>
          </w:p>
        </w:tc>
      </w:tr>
      <w:tr w:rsidR="00ED38F6" w:rsidRPr="008C08B5" w14:paraId="48E11CBE" w14:textId="77777777" w:rsidTr="00B779B0">
        <w:trPr>
          <w:trHeight w:val="290"/>
          <w:jc w:val="center"/>
        </w:trPr>
        <w:tc>
          <w:tcPr>
            <w:tcW w:w="1795" w:type="dxa"/>
            <w:vMerge/>
            <w:tcBorders>
              <w:left w:val="single" w:sz="4" w:space="0" w:color="auto"/>
              <w:right w:val="single" w:sz="4" w:space="0" w:color="auto"/>
            </w:tcBorders>
          </w:tcPr>
          <w:p w14:paraId="6744FB81"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5C716FD5"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4-year</w:t>
            </w:r>
          </w:p>
        </w:tc>
        <w:tc>
          <w:tcPr>
            <w:tcW w:w="1440" w:type="dxa"/>
            <w:tcBorders>
              <w:top w:val="nil"/>
              <w:left w:val="nil"/>
              <w:bottom w:val="single" w:sz="4" w:space="0" w:color="auto"/>
              <w:right w:val="single" w:sz="4" w:space="0" w:color="auto"/>
            </w:tcBorders>
            <w:shd w:val="clear" w:color="auto" w:fill="auto"/>
            <w:vAlign w:val="bottom"/>
            <w:hideMark/>
          </w:tcPr>
          <w:p w14:paraId="06DC34C5"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59</w:t>
            </w:r>
          </w:p>
        </w:tc>
      </w:tr>
      <w:tr w:rsidR="00ED38F6" w:rsidRPr="008C08B5" w14:paraId="472BF413" w14:textId="77777777" w:rsidTr="00B779B0">
        <w:trPr>
          <w:trHeight w:val="290"/>
          <w:jc w:val="center"/>
        </w:trPr>
        <w:tc>
          <w:tcPr>
            <w:tcW w:w="1795" w:type="dxa"/>
            <w:vMerge/>
            <w:tcBorders>
              <w:left w:val="single" w:sz="4" w:space="0" w:color="auto"/>
              <w:right w:val="single" w:sz="4" w:space="0" w:color="auto"/>
            </w:tcBorders>
          </w:tcPr>
          <w:p w14:paraId="7F18812F"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6A20D1F2"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Non-doctorate-granting</w:t>
            </w:r>
          </w:p>
        </w:tc>
        <w:tc>
          <w:tcPr>
            <w:tcW w:w="1440" w:type="dxa"/>
            <w:tcBorders>
              <w:top w:val="nil"/>
              <w:left w:val="nil"/>
              <w:bottom w:val="single" w:sz="4" w:space="0" w:color="auto"/>
              <w:right w:val="single" w:sz="4" w:space="0" w:color="auto"/>
            </w:tcBorders>
            <w:shd w:val="clear" w:color="auto" w:fill="auto"/>
            <w:vAlign w:val="bottom"/>
            <w:hideMark/>
          </w:tcPr>
          <w:p w14:paraId="08232415"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53</w:t>
            </w:r>
          </w:p>
        </w:tc>
      </w:tr>
      <w:tr w:rsidR="00ED38F6" w:rsidRPr="008C08B5" w14:paraId="08EABBCD" w14:textId="77777777" w:rsidTr="00B779B0">
        <w:trPr>
          <w:trHeight w:val="330"/>
          <w:jc w:val="center"/>
        </w:trPr>
        <w:tc>
          <w:tcPr>
            <w:tcW w:w="1795" w:type="dxa"/>
            <w:vMerge/>
            <w:tcBorders>
              <w:left w:val="single" w:sz="4" w:space="0" w:color="auto"/>
              <w:right w:val="single" w:sz="4" w:space="0" w:color="auto"/>
            </w:tcBorders>
          </w:tcPr>
          <w:p w14:paraId="7C3F4A73"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23181DE8"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Primarily subbaccalaureate</w:t>
            </w:r>
            <w:r w:rsidRPr="008C08B5">
              <w:rPr>
                <w:rFonts w:ascii="Calibri" w:eastAsia="Times New Roman" w:hAnsi="Calibri" w:cs="Calibri"/>
                <w:color w:val="000000"/>
                <w:vertAlign w:val="superscript"/>
              </w:rPr>
              <w:t>3</w:t>
            </w:r>
          </w:p>
        </w:tc>
        <w:tc>
          <w:tcPr>
            <w:tcW w:w="1440" w:type="dxa"/>
            <w:tcBorders>
              <w:top w:val="nil"/>
              <w:left w:val="nil"/>
              <w:bottom w:val="single" w:sz="4" w:space="0" w:color="auto"/>
              <w:right w:val="single" w:sz="4" w:space="0" w:color="auto"/>
            </w:tcBorders>
            <w:shd w:val="clear" w:color="auto" w:fill="auto"/>
            <w:vAlign w:val="bottom"/>
            <w:hideMark/>
          </w:tcPr>
          <w:p w14:paraId="6F401822"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42.5</w:t>
            </w:r>
          </w:p>
        </w:tc>
      </w:tr>
      <w:tr w:rsidR="00ED38F6" w:rsidRPr="008C08B5" w14:paraId="65414BD2" w14:textId="77777777" w:rsidTr="00B779B0">
        <w:trPr>
          <w:trHeight w:val="290"/>
          <w:jc w:val="center"/>
        </w:trPr>
        <w:tc>
          <w:tcPr>
            <w:tcW w:w="1795" w:type="dxa"/>
            <w:vMerge/>
            <w:tcBorders>
              <w:left w:val="single" w:sz="4" w:space="0" w:color="auto"/>
              <w:right w:val="single" w:sz="4" w:space="0" w:color="auto"/>
            </w:tcBorders>
          </w:tcPr>
          <w:p w14:paraId="30336D3B"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3FF24E65"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Primarily baccalaureate</w:t>
            </w:r>
          </w:p>
        </w:tc>
        <w:tc>
          <w:tcPr>
            <w:tcW w:w="1440" w:type="dxa"/>
            <w:tcBorders>
              <w:top w:val="nil"/>
              <w:left w:val="nil"/>
              <w:bottom w:val="single" w:sz="4" w:space="0" w:color="auto"/>
              <w:right w:val="single" w:sz="4" w:space="0" w:color="auto"/>
            </w:tcBorders>
            <w:shd w:val="clear" w:color="auto" w:fill="auto"/>
            <w:vAlign w:val="bottom"/>
            <w:hideMark/>
          </w:tcPr>
          <w:p w14:paraId="4DB649FD"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62.2</w:t>
            </w:r>
          </w:p>
        </w:tc>
      </w:tr>
      <w:tr w:rsidR="00ED38F6" w:rsidRPr="008C08B5" w14:paraId="16A87194" w14:textId="77777777" w:rsidTr="00B779B0">
        <w:trPr>
          <w:trHeight w:val="290"/>
          <w:jc w:val="center"/>
        </w:trPr>
        <w:tc>
          <w:tcPr>
            <w:tcW w:w="1795" w:type="dxa"/>
            <w:vMerge/>
            <w:tcBorders>
              <w:left w:val="single" w:sz="4" w:space="0" w:color="auto"/>
              <w:bottom w:val="single" w:sz="4" w:space="0" w:color="auto"/>
              <w:right w:val="single" w:sz="4" w:space="0" w:color="auto"/>
            </w:tcBorders>
          </w:tcPr>
          <w:p w14:paraId="15069A1F"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39536124"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Doctorate-granting</w:t>
            </w:r>
          </w:p>
        </w:tc>
        <w:tc>
          <w:tcPr>
            <w:tcW w:w="1440" w:type="dxa"/>
            <w:tcBorders>
              <w:top w:val="nil"/>
              <w:left w:val="nil"/>
              <w:bottom w:val="single" w:sz="4" w:space="0" w:color="auto"/>
              <w:right w:val="single" w:sz="4" w:space="0" w:color="auto"/>
            </w:tcBorders>
            <w:shd w:val="clear" w:color="auto" w:fill="auto"/>
            <w:vAlign w:val="bottom"/>
            <w:hideMark/>
          </w:tcPr>
          <w:p w14:paraId="4EC27FAA"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61.8</w:t>
            </w:r>
          </w:p>
        </w:tc>
      </w:tr>
      <w:tr w:rsidR="00ED38F6" w:rsidRPr="008C08B5" w14:paraId="5AC0DD1B" w14:textId="77777777" w:rsidTr="00B779B0">
        <w:trPr>
          <w:trHeight w:val="290"/>
          <w:jc w:val="center"/>
        </w:trPr>
        <w:tc>
          <w:tcPr>
            <w:tcW w:w="1795" w:type="dxa"/>
            <w:vMerge w:val="restart"/>
            <w:tcBorders>
              <w:top w:val="nil"/>
              <w:left w:val="single" w:sz="4" w:space="0" w:color="auto"/>
              <w:right w:val="single" w:sz="4" w:space="0" w:color="auto"/>
            </w:tcBorders>
            <w:vAlign w:val="bottom"/>
          </w:tcPr>
          <w:p w14:paraId="571A05EB" w14:textId="77777777" w:rsidR="00ED38F6" w:rsidRDefault="00ED38F6" w:rsidP="002327F0">
            <w:pPr>
              <w:spacing w:after="0" w:line="240" w:lineRule="auto"/>
              <w:rPr>
                <w:rFonts w:ascii="Calibri" w:eastAsia="Times New Roman" w:hAnsi="Calibri" w:cs="Calibri"/>
                <w:color w:val="000000"/>
              </w:rPr>
            </w:pPr>
            <w:r>
              <w:rPr>
                <w:rFonts w:ascii="Calibri" w:eastAsia="Times New Roman" w:hAnsi="Calibri" w:cs="Calibri"/>
                <w:color w:val="000000"/>
              </w:rPr>
              <w:t>Private</w:t>
            </w:r>
          </w:p>
          <w:p w14:paraId="1C61E955" w14:textId="77777777" w:rsidR="00ED38F6" w:rsidRDefault="00ED38F6" w:rsidP="002327F0">
            <w:pPr>
              <w:spacing w:after="0" w:line="240" w:lineRule="auto"/>
              <w:rPr>
                <w:rFonts w:ascii="Calibri" w:eastAsia="Times New Roman" w:hAnsi="Calibri" w:cs="Calibri"/>
                <w:color w:val="000000"/>
              </w:rPr>
            </w:pPr>
          </w:p>
          <w:p w14:paraId="73411700" w14:textId="77777777" w:rsidR="00ED38F6" w:rsidRDefault="00ED38F6" w:rsidP="002327F0">
            <w:pPr>
              <w:spacing w:after="0" w:line="240" w:lineRule="auto"/>
              <w:rPr>
                <w:rFonts w:ascii="Calibri" w:eastAsia="Times New Roman" w:hAnsi="Calibri" w:cs="Calibri"/>
                <w:color w:val="000000"/>
              </w:rPr>
            </w:pPr>
          </w:p>
          <w:p w14:paraId="231C52E3"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10A499EC"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Less-than-4-year</w:t>
            </w:r>
          </w:p>
        </w:tc>
        <w:tc>
          <w:tcPr>
            <w:tcW w:w="1440" w:type="dxa"/>
            <w:tcBorders>
              <w:top w:val="nil"/>
              <w:left w:val="nil"/>
              <w:bottom w:val="single" w:sz="4" w:space="0" w:color="auto"/>
              <w:right w:val="single" w:sz="4" w:space="0" w:color="auto"/>
            </w:tcBorders>
            <w:shd w:val="clear" w:color="auto" w:fill="auto"/>
            <w:vAlign w:val="bottom"/>
            <w:hideMark/>
          </w:tcPr>
          <w:p w14:paraId="15B1A2D7"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74.5</w:t>
            </w:r>
          </w:p>
        </w:tc>
      </w:tr>
      <w:tr w:rsidR="00ED38F6" w:rsidRPr="008C08B5" w14:paraId="5D9CBA5B" w14:textId="77777777" w:rsidTr="00B779B0">
        <w:trPr>
          <w:trHeight w:val="290"/>
          <w:jc w:val="center"/>
        </w:trPr>
        <w:tc>
          <w:tcPr>
            <w:tcW w:w="1795" w:type="dxa"/>
            <w:vMerge/>
            <w:tcBorders>
              <w:left w:val="single" w:sz="4" w:space="0" w:color="auto"/>
              <w:right w:val="single" w:sz="4" w:space="0" w:color="auto"/>
            </w:tcBorders>
          </w:tcPr>
          <w:p w14:paraId="33EF4E32"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7E979187"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4-year</w:t>
            </w:r>
          </w:p>
        </w:tc>
        <w:tc>
          <w:tcPr>
            <w:tcW w:w="1440" w:type="dxa"/>
            <w:tcBorders>
              <w:top w:val="nil"/>
              <w:left w:val="nil"/>
              <w:bottom w:val="single" w:sz="4" w:space="0" w:color="auto"/>
              <w:right w:val="single" w:sz="4" w:space="0" w:color="auto"/>
            </w:tcBorders>
            <w:shd w:val="clear" w:color="auto" w:fill="auto"/>
            <w:vAlign w:val="bottom"/>
            <w:hideMark/>
          </w:tcPr>
          <w:p w14:paraId="17B6DF2F"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63.4</w:t>
            </w:r>
          </w:p>
        </w:tc>
      </w:tr>
      <w:tr w:rsidR="00ED38F6" w:rsidRPr="008C08B5" w14:paraId="52FD4A63" w14:textId="77777777" w:rsidTr="00B779B0">
        <w:trPr>
          <w:trHeight w:val="290"/>
          <w:jc w:val="center"/>
        </w:trPr>
        <w:tc>
          <w:tcPr>
            <w:tcW w:w="1795" w:type="dxa"/>
            <w:vMerge/>
            <w:tcBorders>
              <w:left w:val="single" w:sz="4" w:space="0" w:color="auto"/>
              <w:right w:val="single" w:sz="4" w:space="0" w:color="auto"/>
            </w:tcBorders>
          </w:tcPr>
          <w:p w14:paraId="60A61C4F"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5F98E813"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Non-doctorate-granting</w:t>
            </w:r>
          </w:p>
        </w:tc>
        <w:tc>
          <w:tcPr>
            <w:tcW w:w="1440" w:type="dxa"/>
            <w:tcBorders>
              <w:top w:val="nil"/>
              <w:left w:val="nil"/>
              <w:bottom w:val="single" w:sz="4" w:space="0" w:color="auto"/>
              <w:right w:val="single" w:sz="4" w:space="0" w:color="auto"/>
            </w:tcBorders>
            <w:shd w:val="clear" w:color="auto" w:fill="auto"/>
            <w:vAlign w:val="bottom"/>
            <w:hideMark/>
          </w:tcPr>
          <w:p w14:paraId="080C17E4"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67.1</w:t>
            </w:r>
          </w:p>
        </w:tc>
      </w:tr>
      <w:tr w:rsidR="00ED38F6" w:rsidRPr="008C08B5" w14:paraId="4B1E4982" w14:textId="77777777" w:rsidTr="00B779B0">
        <w:trPr>
          <w:trHeight w:val="290"/>
          <w:jc w:val="center"/>
        </w:trPr>
        <w:tc>
          <w:tcPr>
            <w:tcW w:w="1795" w:type="dxa"/>
            <w:vMerge/>
            <w:tcBorders>
              <w:left w:val="single" w:sz="4" w:space="0" w:color="auto"/>
              <w:bottom w:val="single" w:sz="4" w:space="0" w:color="auto"/>
              <w:right w:val="single" w:sz="4" w:space="0" w:color="auto"/>
            </w:tcBorders>
          </w:tcPr>
          <w:p w14:paraId="5A1B9985"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6FDD702F"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Doctorate-granting</w:t>
            </w:r>
          </w:p>
        </w:tc>
        <w:tc>
          <w:tcPr>
            <w:tcW w:w="1440" w:type="dxa"/>
            <w:tcBorders>
              <w:top w:val="nil"/>
              <w:left w:val="nil"/>
              <w:bottom w:val="single" w:sz="4" w:space="0" w:color="auto"/>
              <w:right w:val="single" w:sz="4" w:space="0" w:color="auto"/>
            </w:tcBorders>
            <w:shd w:val="clear" w:color="auto" w:fill="auto"/>
            <w:vAlign w:val="bottom"/>
            <w:hideMark/>
          </w:tcPr>
          <w:p w14:paraId="1D25B85B"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60.7</w:t>
            </w:r>
          </w:p>
        </w:tc>
      </w:tr>
      <w:tr w:rsidR="00ED38F6" w:rsidRPr="008C08B5" w14:paraId="58804862" w14:textId="77777777" w:rsidTr="00B779B0">
        <w:trPr>
          <w:trHeight w:val="290"/>
          <w:jc w:val="center"/>
        </w:trPr>
        <w:tc>
          <w:tcPr>
            <w:tcW w:w="1795" w:type="dxa"/>
            <w:vMerge w:val="restart"/>
            <w:tcBorders>
              <w:top w:val="nil"/>
              <w:left w:val="single" w:sz="4" w:space="0" w:color="auto"/>
              <w:right w:val="single" w:sz="4" w:space="0" w:color="auto"/>
            </w:tcBorders>
          </w:tcPr>
          <w:p w14:paraId="63F6E0E2" w14:textId="77777777" w:rsidR="00ED38F6" w:rsidRPr="008C08B5" w:rsidRDefault="00ED38F6" w:rsidP="002327F0">
            <w:pPr>
              <w:spacing w:after="0" w:line="240" w:lineRule="auto"/>
              <w:rPr>
                <w:rFonts w:ascii="Calibri" w:eastAsia="Times New Roman" w:hAnsi="Calibri" w:cs="Calibri"/>
                <w:color w:val="000000"/>
              </w:rPr>
            </w:pPr>
            <w:r>
              <w:rPr>
                <w:rFonts w:ascii="Calibri" w:eastAsia="Times New Roman" w:hAnsi="Calibri" w:cs="Calibri"/>
                <w:color w:val="000000"/>
              </w:rPr>
              <w:t>Proprietary</w:t>
            </w: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111E2415"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Less-than-2-year</w:t>
            </w:r>
          </w:p>
        </w:tc>
        <w:tc>
          <w:tcPr>
            <w:tcW w:w="1440" w:type="dxa"/>
            <w:tcBorders>
              <w:top w:val="nil"/>
              <w:left w:val="nil"/>
              <w:bottom w:val="single" w:sz="4" w:space="0" w:color="auto"/>
              <w:right w:val="single" w:sz="4" w:space="0" w:color="auto"/>
            </w:tcBorders>
            <w:shd w:val="clear" w:color="auto" w:fill="auto"/>
            <w:vAlign w:val="bottom"/>
            <w:hideMark/>
          </w:tcPr>
          <w:p w14:paraId="4C5AF545"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77.6</w:t>
            </w:r>
          </w:p>
        </w:tc>
      </w:tr>
      <w:tr w:rsidR="00ED38F6" w:rsidRPr="008C08B5" w14:paraId="2A8DC7CE" w14:textId="77777777" w:rsidTr="00B779B0">
        <w:trPr>
          <w:trHeight w:val="290"/>
          <w:jc w:val="center"/>
        </w:trPr>
        <w:tc>
          <w:tcPr>
            <w:tcW w:w="1795" w:type="dxa"/>
            <w:vMerge/>
            <w:tcBorders>
              <w:left w:val="single" w:sz="4" w:space="0" w:color="auto"/>
              <w:right w:val="single" w:sz="4" w:space="0" w:color="auto"/>
            </w:tcBorders>
          </w:tcPr>
          <w:p w14:paraId="4C65BC28"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75F01B3A"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2-year</w:t>
            </w:r>
          </w:p>
        </w:tc>
        <w:tc>
          <w:tcPr>
            <w:tcW w:w="1440" w:type="dxa"/>
            <w:tcBorders>
              <w:top w:val="nil"/>
              <w:left w:val="nil"/>
              <w:bottom w:val="single" w:sz="4" w:space="0" w:color="auto"/>
              <w:right w:val="single" w:sz="4" w:space="0" w:color="auto"/>
            </w:tcBorders>
            <w:shd w:val="clear" w:color="auto" w:fill="auto"/>
            <w:vAlign w:val="bottom"/>
            <w:hideMark/>
          </w:tcPr>
          <w:p w14:paraId="175171F7"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75.6</w:t>
            </w:r>
          </w:p>
        </w:tc>
      </w:tr>
      <w:tr w:rsidR="00ED38F6" w:rsidRPr="008C08B5" w14:paraId="3F4B32AF" w14:textId="77777777" w:rsidTr="00B779B0">
        <w:trPr>
          <w:trHeight w:val="290"/>
          <w:jc w:val="center"/>
        </w:trPr>
        <w:tc>
          <w:tcPr>
            <w:tcW w:w="1795" w:type="dxa"/>
            <w:vMerge/>
            <w:tcBorders>
              <w:left w:val="single" w:sz="4" w:space="0" w:color="auto"/>
              <w:bottom w:val="single" w:sz="4" w:space="0" w:color="auto"/>
              <w:right w:val="single" w:sz="4" w:space="0" w:color="auto"/>
            </w:tcBorders>
          </w:tcPr>
          <w:p w14:paraId="1C36F0B8" w14:textId="77777777" w:rsidR="00ED38F6" w:rsidRPr="008C08B5" w:rsidRDefault="00ED38F6" w:rsidP="002327F0">
            <w:pPr>
              <w:spacing w:after="0" w:line="240" w:lineRule="auto"/>
              <w:rPr>
                <w:rFonts w:ascii="Calibri" w:eastAsia="Times New Roman" w:hAnsi="Calibri" w:cs="Calibri"/>
                <w:color w:val="000000"/>
              </w:rPr>
            </w:pPr>
          </w:p>
        </w:tc>
        <w:tc>
          <w:tcPr>
            <w:tcW w:w="3330" w:type="dxa"/>
            <w:tcBorders>
              <w:top w:val="nil"/>
              <w:left w:val="single" w:sz="4" w:space="0" w:color="auto"/>
              <w:bottom w:val="single" w:sz="4" w:space="0" w:color="auto"/>
              <w:right w:val="single" w:sz="4" w:space="0" w:color="auto"/>
            </w:tcBorders>
            <w:shd w:val="clear" w:color="auto" w:fill="auto"/>
            <w:vAlign w:val="bottom"/>
            <w:hideMark/>
          </w:tcPr>
          <w:p w14:paraId="02BD963E" w14:textId="77777777" w:rsidR="00ED38F6" w:rsidRPr="008C08B5" w:rsidRDefault="00ED38F6" w:rsidP="002327F0">
            <w:pPr>
              <w:spacing w:after="0" w:line="240" w:lineRule="auto"/>
              <w:rPr>
                <w:rFonts w:ascii="Calibri" w:eastAsia="Times New Roman" w:hAnsi="Calibri" w:cs="Calibri"/>
                <w:color w:val="000000"/>
              </w:rPr>
            </w:pPr>
            <w:r w:rsidRPr="008C08B5">
              <w:rPr>
                <w:rFonts w:ascii="Calibri" w:eastAsia="Times New Roman" w:hAnsi="Calibri" w:cs="Calibri"/>
                <w:color w:val="000000"/>
              </w:rPr>
              <w:t>   4-year</w:t>
            </w:r>
          </w:p>
        </w:tc>
        <w:tc>
          <w:tcPr>
            <w:tcW w:w="1440" w:type="dxa"/>
            <w:tcBorders>
              <w:top w:val="nil"/>
              <w:left w:val="nil"/>
              <w:bottom w:val="single" w:sz="4" w:space="0" w:color="auto"/>
              <w:right w:val="single" w:sz="4" w:space="0" w:color="auto"/>
            </w:tcBorders>
            <w:shd w:val="clear" w:color="auto" w:fill="auto"/>
            <w:vAlign w:val="bottom"/>
            <w:hideMark/>
          </w:tcPr>
          <w:p w14:paraId="3E39825E" w14:textId="77777777" w:rsidR="00ED38F6" w:rsidRPr="008C08B5" w:rsidRDefault="00ED38F6" w:rsidP="002327F0">
            <w:pPr>
              <w:spacing w:after="0" w:line="240" w:lineRule="auto"/>
              <w:jc w:val="right"/>
              <w:rPr>
                <w:rFonts w:ascii="Calibri" w:eastAsia="Times New Roman" w:hAnsi="Calibri" w:cs="Calibri"/>
                <w:color w:val="000000"/>
              </w:rPr>
            </w:pPr>
            <w:r w:rsidRPr="008C08B5">
              <w:rPr>
                <w:rFonts w:ascii="Calibri" w:eastAsia="Times New Roman" w:hAnsi="Calibri" w:cs="Calibri"/>
                <w:color w:val="000000"/>
              </w:rPr>
              <w:t>76.7</w:t>
            </w:r>
          </w:p>
        </w:tc>
      </w:tr>
    </w:tbl>
    <w:p w14:paraId="30831B8D" w14:textId="47A5FBE6" w:rsidR="008C08B5" w:rsidRDefault="00D93C3A" w:rsidP="00631D96">
      <w:pPr>
        <w:spacing w:after="0" w:line="240" w:lineRule="auto"/>
        <w:jc w:val="center"/>
      </w:pPr>
      <w:r>
        <w:t>Source:</w:t>
      </w:r>
      <w:r w:rsidR="00897212">
        <w:t xml:space="preserve"> </w:t>
      </w:r>
      <w:hyperlink r:id="rId20" w:history="1">
        <w:r w:rsidR="00897212" w:rsidRPr="00573625">
          <w:rPr>
            <w:rStyle w:val="Hyperlink"/>
          </w:rPr>
          <w:t>https://nces.ed.gov/pubs2018/2018466.pdf</w:t>
        </w:r>
      </w:hyperlink>
    </w:p>
    <w:p w14:paraId="52420F74" w14:textId="4B57B067" w:rsidR="00080F87" w:rsidRDefault="00080F87" w:rsidP="005B08BD">
      <w:pPr>
        <w:spacing w:after="0" w:line="240" w:lineRule="auto"/>
      </w:pPr>
    </w:p>
    <w:p w14:paraId="6D5E88C4" w14:textId="5EB1BA84" w:rsidR="00FE3797" w:rsidRDefault="00FE3797" w:rsidP="00FE3797">
      <w:pPr>
        <w:spacing w:after="0" w:line="240" w:lineRule="auto"/>
      </w:pPr>
      <w:r>
        <w:t>The limitation of title IV recipients also may affect cohort construction. S</w:t>
      </w:r>
      <w:r w:rsidRPr="003365FC">
        <w:t>tudents are</w:t>
      </w:r>
      <w:r>
        <w:t xml:space="preserve"> excluded from the earnings measurement if they are subsequently enrolled in school during the earnings measurement year. For example, if a student who received a BA in 2015-16 and was subsequently enrolled in calendar year 2017 for an MA program, that student would be excluded from the earnings calculation.</w:t>
      </w:r>
      <w:r w:rsidRPr="003365FC">
        <w:t xml:space="preserve"> </w:t>
      </w:r>
      <w:r>
        <w:t xml:space="preserve">Scorecard will not be able to correctly capture the subsequent enrollment status for this type of student if he or she does not receive either title IV aid in the MA program or an in-school deferment for loans previously taken out. </w:t>
      </w:r>
    </w:p>
    <w:p w14:paraId="634D48C5" w14:textId="77777777" w:rsidR="00FE3797" w:rsidRDefault="00FE3797" w:rsidP="00FE3797">
      <w:pPr>
        <w:spacing w:after="0" w:line="240" w:lineRule="auto"/>
      </w:pPr>
    </w:p>
    <w:p w14:paraId="3682CA69" w14:textId="66754BFB" w:rsidR="00BF6D96" w:rsidRDefault="00B75EE8" w:rsidP="005B08BD">
      <w:pPr>
        <w:spacing w:after="0" w:line="240" w:lineRule="auto"/>
      </w:pPr>
      <w:r>
        <w:lastRenderedPageBreak/>
        <w:t xml:space="preserve">Scorecard earnings data were compared to publicly available data from the Postsecondary Employment Outcomes </w:t>
      </w:r>
      <w:r w:rsidR="00140440">
        <w:t xml:space="preserve">(PSEO) </w:t>
      </w:r>
      <w:r>
        <w:t xml:space="preserve">data from the U.S. Census Bureau. Institutions and fields of study were matched between the sources and the </w:t>
      </w:r>
      <w:proofErr w:type="gramStart"/>
      <w:r>
        <w:t>1 year</w:t>
      </w:r>
      <w:proofErr w:type="gramEnd"/>
      <w:r>
        <w:t xml:space="preserve"> post-completion earnings were analyzed to confirm general agreement between the data sources. Due to</w:t>
      </w:r>
      <w:r w:rsidR="00140440">
        <w:t xml:space="preserve"> methodological differences (e.g</w:t>
      </w:r>
      <w:r w:rsidR="00BF6D96">
        <w:t>.</w:t>
      </w:r>
      <w:r w:rsidR="00140440">
        <w:t xml:space="preserve">, the PSEO does not restrict the cohort to </w:t>
      </w:r>
      <w:proofErr w:type="gramStart"/>
      <w:r w:rsidR="00140440">
        <w:t>federally-aided</w:t>
      </w:r>
      <w:proofErr w:type="gramEnd"/>
      <w:r w:rsidR="00140440">
        <w:t xml:space="preserve"> students</w:t>
      </w:r>
      <w:r w:rsidR="00BF6D96">
        <w:t>; the PSEO uses unemployment insurance wage records rather than IRS tax records)</w:t>
      </w:r>
      <w:r>
        <w:t xml:space="preserve">, exact matching was not expected. </w:t>
      </w:r>
      <w:r w:rsidR="00BF6D96">
        <w:t xml:space="preserve">It is not clear if these differences would be expected to lead to higher or lower median earnings when comparing Scorecard to PSEO data. However, when examining the scatter plot provided in Figure X, the positive correlation between the </w:t>
      </w:r>
      <w:r w:rsidR="007C6D37">
        <w:t>Scorecard</w:t>
      </w:r>
      <w:r w:rsidR="00BF6D96">
        <w:t xml:space="preserve"> and PSEO data suggests that the two sources are generally in agreement.</w:t>
      </w:r>
    </w:p>
    <w:p w14:paraId="5EBF8AA6" w14:textId="31098868" w:rsidR="00287353" w:rsidRDefault="00EC429B" w:rsidP="00BF6D96">
      <w:pPr>
        <w:keepNext/>
        <w:spacing w:after="0" w:line="240" w:lineRule="auto"/>
      </w:pPr>
      <w:r>
        <w:t>Figure X. Scatterplot of Scorecard median earnings and median earnings from Census PSEO earnings data.</w:t>
      </w:r>
    </w:p>
    <w:p w14:paraId="5A3E9A6F" w14:textId="77777777" w:rsidR="0052226E" w:rsidRDefault="0052226E" w:rsidP="005B08BD">
      <w:pPr>
        <w:spacing w:after="0" w:line="240" w:lineRule="auto"/>
        <w:rPr>
          <w:highlight w:val="yellow"/>
        </w:rPr>
      </w:pPr>
      <w:r>
        <w:rPr>
          <w:noProof/>
        </w:rPr>
        <w:drawing>
          <wp:inline distT="0" distB="0" distL="0" distR="0" wp14:anchorId="38976C7A" wp14:editId="0F89859F">
            <wp:extent cx="5151976" cy="48932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157" cy="4902946"/>
                    </a:xfrm>
                    <a:prstGeom prst="rect">
                      <a:avLst/>
                    </a:prstGeom>
                  </pic:spPr>
                </pic:pic>
              </a:graphicData>
            </a:graphic>
          </wp:inline>
        </w:drawing>
      </w:r>
    </w:p>
    <w:p w14:paraId="4D521B35" w14:textId="2480B4D6" w:rsidR="0052226E" w:rsidRPr="00C70208" w:rsidRDefault="0052226E" w:rsidP="005B08BD">
      <w:pPr>
        <w:spacing w:after="0" w:line="240" w:lineRule="auto"/>
      </w:pPr>
    </w:p>
    <w:p w14:paraId="78A64251" w14:textId="6BA79D7D" w:rsidR="00C70208" w:rsidRDefault="00C70208" w:rsidP="005B08BD">
      <w:pPr>
        <w:spacing w:after="0" w:line="240" w:lineRule="auto"/>
        <w:rPr>
          <w:highlight w:val="yellow"/>
        </w:rPr>
      </w:pPr>
    </w:p>
    <w:p w14:paraId="1851BBEC" w14:textId="698A58E1" w:rsidR="00C70208" w:rsidRPr="00BF6D96" w:rsidRDefault="00BF6D96" w:rsidP="005B08BD">
      <w:pPr>
        <w:spacing w:after="0" w:line="240" w:lineRule="auto"/>
      </w:pPr>
      <w:r>
        <w:t>Despite the positive correlation, there is still considerable variation by field of study. In figure X below, the fields of study are grouped into their broad areas of study (2-digit CIP codes), though the differences shown are still comparisons at the field of study level. Some broad areas of study seem more variable than others, and it may be</w:t>
      </w:r>
      <w:r w:rsidR="00FE3797">
        <w:t xml:space="preserve">, for example, </w:t>
      </w:r>
      <w:r>
        <w:t>that th</w:t>
      </w:r>
      <w:r w:rsidR="00FE3797">
        <w:t xml:space="preserve">e fields of study contained in those areas show the greatest cohort characteristic differences between Scorecard and PSEO cohorts. Without the underlying data we cannot be certain. Other areas of study show very little difference between the PSEO and </w:t>
      </w:r>
      <w:r w:rsidR="00FE3797">
        <w:lastRenderedPageBreak/>
        <w:t>Scorecard earnings values for the associated fields of study. In all, consider all field of study differences regardless of the CIP code grouping, the median difference was $-1,983, with an interquartile range from $-11,805 to $4,695, which is not unreasonable given the methodological differences.</w:t>
      </w:r>
    </w:p>
    <w:p w14:paraId="6CB43758" w14:textId="1AC9D03A" w:rsidR="00C70208" w:rsidRPr="00C70208" w:rsidRDefault="00C70208" w:rsidP="006323AA">
      <w:pPr>
        <w:keepNext/>
        <w:spacing w:after="0" w:line="240" w:lineRule="auto"/>
      </w:pPr>
      <w:r w:rsidRPr="00C70208">
        <w:t>Figure X. Differences in median earnings comparing Scorecard to U.S. Census PSEO data</w:t>
      </w:r>
    </w:p>
    <w:p w14:paraId="20ABD79D" w14:textId="6D08095B" w:rsidR="00E65FBD" w:rsidRDefault="00E65FBD" w:rsidP="005B08BD">
      <w:pPr>
        <w:spacing w:after="0" w:line="240" w:lineRule="auto"/>
      </w:pPr>
      <w:r>
        <w:rPr>
          <w:noProof/>
        </w:rPr>
        <w:drawing>
          <wp:inline distT="0" distB="0" distL="0" distR="0" wp14:anchorId="685BCA96" wp14:editId="7C9F2C87">
            <wp:extent cx="5943600" cy="530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03520"/>
                    </a:xfrm>
                    <a:prstGeom prst="rect">
                      <a:avLst/>
                    </a:prstGeom>
                  </pic:spPr>
                </pic:pic>
              </a:graphicData>
            </a:graphic>
          </wp:inline>
        </w:drawing>
      </w:r>
    </w:p>
    <w:p w14:paraId="47D999C0" w14:textId="77777777" w:rsidR="00E65FBD" w:rsidRDefault="00E65FBD" w:rsidP="005B08BD">
      <w:pPr>
        <w:spacing w:after="0" w:line="240" w:lineRule="auto"/>
      </w:pPr>
    </w:p>
    <w:p w14:paraId="4EAF5119" w14:textId="77777777" w:rsidR="00287353" w:rsidRDefault="00287353" w:rsidP="005B08BD">
      <w:pPr>
        <w:spacing w:after="0" w:line="240" w:lineRule="auto"/>
      </w:pPr>
    </w:p>
    <w:p w14:paraId="11815131" w14:textId="77777777" w:rsidR="00F16429" w:rsidRDefault="00F16429" w:rsidP="005B08BD">
      <w:pPr>
        <w:spacing w:after="0" w:line="240" w:lineRule="auto"/>
      </w:pPr>
    </w:p>
    <w:p w14:paraId="6186F378" w14:textId="72FE70B9" w:rsidR="009F7B7F" w:rsidRDefault="009F7B7F" w:rsidP="005B08BD">
      <w:pPr>
        <w:pStyle w:val="Heading2"/>
        <w:spacing w:line="240" w:lineRule="auto"/>
      </w:pPr>
      <w:bookmarkStart w:id="18" w:name="_Toc16782817"/>
      <w:r>
        <w:t>Aggregation of Data</w:t>
      </w:r>
      <w:bookmarkEnd w:id="18"/>
      <w:r>
        <w:t xml:space="preserve">  </w:t>
      </w:r>
    </w:p>
    <w:p w14:paraId="07B865D3" w14:textId="57B052AA" w:rsidR="00603C13" w:rsidRPr="00DE7476" w:rsidRDefault="00603C13" w:rsidP="005B08BD">
      <w:pPr>
        <w:spacing w:after="0" w:line="240" w:lineRule="auto"/>
        <w:rPr>
          <w:i/>
          <w:iCs/>
        </w:rPr>
      </w:pPr>
      <w:r w:rsidRPr="00603C13">
        <w:t xml:space="preserve">CIP codes are a taxonomy of academic disciplines developed where academic disciplines are classified by a six-digit code with the first two digits representing the most broad category for a discipline, the first four digits representing a more granular category, and all six digits represent the most granular description of an academic discipline. </w:t>
      </w:r>
      <w:r w:rsidR="0061360A">
        <w:t xml:space="preserve">Even within the most granular category of </w:t>
      </w:r>
      <w:r w:rsidR="00055936">
        <w:t xml:space="preserve">discipline, institutions often provide different types of </w:t>
      </w:r>
      <w:r w:rsidR="00B17824">
        <w:t xml:space="preserve">program offerings with a different course catalog program name. </w:t>
      </w:r>
      <w:r w:rsidRPr="00603C13">
        <w:t>Scorecard uses the first four digits of the CIP code in its calculations.</w:t>
      </w:r>
      <w:r w:rsidR="008A70F9">
        <w:t xml:space="preserve"> In doing so,</w:t>
      </w:r>
      <w:r w:rsidR="00D373E0">
        <w:t xml:space="preserve"> Scorecard </w:t>
      </w:r>
      <w:r w:rsidR="002B0EA3">
        <w:t xml:space="preserve">can </w:t>
      </w:r>
      <w:r w:rsidR="00ED7E31">
        <w:t xml:space="preserve">provide information in categories that may be </w:t>
      </w:r>
      <w:r w:rsidR="00640776">
        <w:t xml:space="preserve">easier to understand for </w:t>
      </w:r>
      <w:r w:rsidR="00ED7E31">
        <w:t xml:space="preserve">prospective </w:t>
      </w:r>
      <w:r w:rsidR="00640776">
        <w:t>students</w:t>
      </w:r>
      <w:r w:rsidR="00A62E3F">
        <w:t xml:space="preserve">. In addition, Scorecard can provide more information that does not privacy suppressed </w:t>
      </w:r>
      <w:r w:rsidR="0003326D">
        <w:t xml:space="preserve">because combining numbers </w:t>
      </w:r>
      <w:r w:rsidR="0003326D">
        <w:lastRenderedPageBreak/>
        <w:t>across sub- categories increases cell sizes</w:t>
      </w:r>
      <w:r w:rsidR="00B92A45">
        <w:t>.</w:t>
      </w:r>
      <w:r w:rsidR="001A3518">
        <w:t xml:space="preserve"> The trade-off is lack of granularity in</w:t>
      </w:r>
      <w:r w:rsidR="00984018">
        <w:t xml:space="preserve"> describing individual program offerings by institutions.</w:t>
      </w:r>
      <w:r w:rsidR="00804466">
        <w:t xml:space="preserve"> For example, the following </w:t>
      </w:r>
      <w:proofErr w:type="gramStart"/>
      <w:r w:rsidR="00804466">
        <w:t>six digit</w:t>
      </w:r>
      <w:proofErr w:type="gramEnd"/>
      <w:r w:rsidR="00804466">
        <w:t xml:space="preserve"> CIP codes would all be aggregated into one calculation for CIP code 5004</w:t>
      </w:r>
      <w:r w:rsidR="00DE7476">
        <w:t xml:space="preserve">, </w:t>
      </w:r>
      <w:r w:rsidR="00DE7476" w:rsidRPr="00DE7476">
        <w:rPr>
          <w:i/>
          <w:iCs/>
        </w:rPr>
        <w:t>Design and Applied Arts</w:t>
      </w:r>
      <w:r w:rsidR="00DE7476">
        <w:rPr>
          <w:i/>
          <w:iCs/>
        </w:rPr>
        <w:t>.</w:t>
      </w:r>
    </w:p>
    <w:p w14:paraId="67699270" w14:textId="65885031" w:rsidR="00273B94" w:rsidRDefault="00273B94" w:rsidP="00273B94">
      <w:pPr>
        <w:pStyle w:val="ListParagraph"/>
        <w:numPr>
          <w:ilvl w:val="0"/>
          <w:numId w:val="12"/>
        </w:numPr>
      </w:pPr>
      <w:r>
        <w:t>500401: Design and Visual Communications, General</w:t>
      </w:r>
    </w:p>
    <w:p w14:paraId="5823B8E3" w14:textId="7D2E12DB" w:rsidR="00273B94" w:rsidRDefault="00273B94" w:rsidP="00273B94">
      <w:pPr>
        <w:pStyle w:val="ListParagraph"/>
        <w:numPr>
          <w:ilvl w:val="0"/>
          <w:numId w:val="12"/>
        </w:numPr>
      </w:pPr>
      <w:r>
        <w:t>500402: Commercial and Advertising Art</w:t>
      </w:r>
    </w:p>
    <w:p w14:paraId="6D78D360" w14:textId="0378EBF0" w:rsidR="00273B94" w:rsidRDefault="00273B94" w:rsidP="00273B94">
      <w:pPr>
        <w:pStyle w:val="ListParagraph"/>
        <w:numPr>
          <w:ilvl w:val="0"/>
          <w:numId w:val="12"/>
        </w:numPr>
      </w:pPr>
      <w:r>
        <w:t>500404: Industrial Design</w:t>
      </w:r>
    </w:p>
    <w:p w14:paraId="4F51EDD4" w14:textId="07D62393" w:rsidR="00273B94" w:rsidRDefault="00273B94" w:rsidP="00273B94">
      <w:pPr>
        <w:pStyle w:val="ListParagraph"/>
        <w:numPr>
          <w:ilvl w:val="0"/>
          <w:numId w:val="12"/>
        </w:numPr>
      </w:pPr>
      <w:r>
        <w:t>500406: Commercial Photography</w:t>
      </w:r>
    </w:p>
    <w:p w14:paraId="151DC3D9" w14:textId="79B9DDE8" w:rsidR="00273B94" w:rsidRDefault="00273B94" w:rsidP="00273B94">
      <w:pPr>
        <w:pStyle w:val="ListParagraph"/>
        <w:numPr>
          <w:ilvl w:val="0"/>
          <w:numId w:val="12"/>
        </w:numPr>
      </w:pPr>
      <w:r>
        <w:t>500407: Fashion/Apparel Design</w:t>
      </w:r>
    </w:p>
    <w:p w14:paraId="31EF098A" w14:textId="41EB114F" w:rsidR="00273B94" w:rsidRDefault="00273B94" w:rsidP="00273B94">
      <w:pPr>
        <w:pStyle w:val="ListParagraph"/>
        <w:numPr>
          <w:ilvl w:val="0"/>
          <w:numId w:val="12"/>
        </w:numPr>
      </w:pPr>
      <w:r>
        <w:t>500408: Interior Design</w:t>
      </w:r>
    </w:p>
    <w:p w14:paraId="3A4DC554" w14:textId="1A22DFA0" w:rsidR="00273B94" w:rsidRDefault="00273B94" w:rsidP="00273B94">
      <w:pPr>
        <w:pStyle w:val="ListParagraph"/>
        <w:numPr>
          <w:ilvl w:val="0"/>
          <w:numId w:val="12"/>
        </w:numPr>
      </w:pPr>
      <w:r>
        <w:t>500409: Graphic Design</w:t>
      </w:r>
    </w:p>
    <w:p w14:paraId="54980B52" w14:textId="103F7D91" w:rsidR="00273B94" w:rsidRDefault="00273B94" w:rsidP="00273B94">
      <w:pPr>
        <w:pStyle w:val="ListParagraph"/>
        <w:numPr>
          <w:ilvl w:val="0"/>
          <w:numId w:val="12"/>
        </w:numPr>
      </w:pPr>
      <w:r>
        <w:t>500410: Illustration</w:t>
      </w:r>
    </w:p>
    <w:p w14:paraId="67F72087" w14:textId="77164452" w:rsidR="00273B94" w:rsidRDefault="00273B94" w:rsidP="00273B94">
      <w:pPr>
        <w:pStyle w:val="ListParagraph"/>
        <w:numPr>
          <w:ilvl w:val="0"/>
          <w:numId w:val="12"/>
        </w:numPr>
      </w:pPr>
      <w:r>
        <w:t>500411: Game and Interactive Media Design</w:t>
      </w:r>
    </w:p>
    <w:p w14:paraId="6209331F" w14:textId="5E63E7FD" w:rsidR="00273B94" w:rsidRDefault="00273B94" w:rsidP="00273B94">
      <w:pPr>
        <w:pStyle w:val="ListParagraph"/>
        <w:numPr>
          <w:ilvl w:val="0"/>
          <w:numId w:val="12"/>
        </w:numPr>
      </w:pPr>
      <w:r>
        <w:t>500499: Design and Applied Arts, Other</w:t>
      </w:r>
    </w:p>
    <w:p w14:paraId="6BB3F058" w14:textId="613817DF" w:rsidR="00603C13" w:rsidRDefault="005814E5" w:rsidP="005B08BD">
      <w:pPr>
        <w:spacing w:after="0" w:line="240" w:lineRule="auto"/>
      </w:pPr>
      <w:r>
        <w:t xml:space="preserve">To </w:t>
      </w:r>
      <w:r w:rsidR="00157527">
        <w:t>the extent that</w:t>
      </w:r>
      <w:r>
        <w:t xml:space="preserve"> outcomes vary across these sub- categories, this variation</w:t>
      </w:r>
      <w:r w:rsidR="000A2D4E">
        <w:t xml:space="preserve"> would not be observed using</w:t>
      </w:r>
      <w:r w:rsidR="00BE68D2">
        <w:t xml:space="preserve"> the current methodology</w:t>
      </w:r>
      <w:r w:rsidR="00FC6B2D">
        <w:t>.</w:t>
      </w:r>
    </w:p>
    <w:p w14:paraId="04B0FE28" w14:textId="77777777" w:rsidR="00FC6B2D" w:rsidRDefault="00FC6B2D" w:rsidP="005B08BD">
      <w:pPr>
        <w:spacing w:after="0" w:line="240" w:lineRule="auto"/>
      </w:pPr>
    </w:p>
    <w:p w14:paraId="7ED04FFF" w14:textId="08BDA7B4" w:rsidR="00D904E0" w:rsidRDefault="00965E6C" w:rsidP="00656E94">
      <w:pPr>
        <w:spacing w:after="0" w:line="240" w:lineRule="auto"/>
      </w:pPr>
      <w:r>
        <w:t xml:space="preserve">The Department </w:t>
      </w:r>
      <w:r w:rsidRPr="00D904E0">
        <w:t xml:space="preserve">recognizes separate branch </w:t>
      </w:r>
      <w:r w:rsidR="00441C98">
        <w:t>“</w:t>
      </w:r>
      <w:r w:rsidRPr="00D904E0">
        <w:t>locations</w:t>
      </w:r>
      <w:r w:rsidR="00441C98">
        <w:t>”</w:t>
      </w:r>
      <w:r w:rsidRPr="00D904E0">
        <w:t xml:space="preserve"> for all Title IV-eligible institutions that have a Program Participation Agreement (PPA)</w:t>
      </w:r>
      <w:r w:rsidR="00D05420">
        <w:t xml:space="preserve">, </w:t>
      </w:r>
      <w:r w:rsidRPr="00D904E0">
        <w:t xml:space="preserve">the formal document establishing their eligibility to participate in Title IV </w:t>
      </w:r>
      <w:proofErr w:type="gramStart"/>
      <w:r w:rsidRPr="00D904E0">
        <w:t>programs</w:t>
      </w:r>
      <w:r w:rsidR="00D05420">
        <w:t>,</w:t>
      </w:r>
      <w:r w:rsidRPr="00D904E0">
        <w:t xml:space="preserve"> and</w:t>
      </w:r>
      <w:proofErr w:type="gramEnd"/>
      <w:r w:rsidRPr="00D904E0">
        <w:t xml:space="preserve"> assigns each location an 8-digit OPE identification number (OPEID).</w:t>
      </w:r>
      <w:r>
        <w:t xml:space="preserve"> </w:t>
      </w:r>
      <w:r w:rsidR="00272437">
        <w:t xml:space="preserve">Similar to CIP code construction, the </w:t>
      </w:r>
      <w:r w:rsidR="00272437" w:rsidRPr="00E156F2">
        <w:t>OPEID</w:t>
      </w:r>
      <w:r w:rsidR="00272437">
        <w:t xml:space="preserve"> that identifies individual institutions</w:t>
      </w:r>
      <w:r w:rsidR="00DE496D">
        <w:t xml:space="preserve"> and their branch locations</w:t>
      </w:r>
      <w:r w:rsidR="00272437">
        <w:t xml:space="preserve"> is hierarchal. </w:t>
      </w:r>
      <w:r w:rsidRPr="00D904E0">
        <w:t xml:space="preserve">Related institutions </w:t>
      </w:r>
      <w:r w:rsidR="004F26F9">
        <w:t xml:space="preserve">use the same first </w:t>
      </w:r>
      <w:r w:rsidR="00206D0A">
        <w:t>six digits</w:t>
      </w:r>
      <w:r w:rsidR="00BE2E5F">
        <w:t xml:space="preserve"> of an </w:t>
      </w:r>
      <w:r w:rsidR="00BE2E5F" w:rsidRPr="00BE2E5F">
        <w:t>OPEID</w:t>
      </w:r>
      <w:r w:rsidR="00206D0A">
        <w:t xml:space="preserve">, which is </w:t>
      </w:r>
      <w:r w:rsidRPr="00D904E0">
        <w:t>tied to the “main campus”</w:t>
      </w:r>
      <w:r w:rsidR="007275AE">
        <w:t xml:space="preserve">. </w:t>
      </w:r>
      <w:r w:rsidR="00B71CB7">
        <w:t xml:space="preserve">The last two digits identify specific branch locations </w:t>
      </w:r>
      <w:r w:rsidR="00A662BC">
        <w:t xml:space="preserve">in a larger family of campuses. </w:t>
      </w:r>
      <w:r w:rsidR="00206D0A" w:rsidRPr="00D904E0">
        <w:t>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w:t>
      </w:r>
      <w:r w:rsidR="00206D0A">
        <w:t xml:space="preserve"> </w:t>
      </w:r>
      <w:r w:rsidR="00BE68D2">
        <w:t xml:space="preserve">Given the lack of consistency </w:t>
      </w:r>
      <w:r w:rsidR="00346733">
        <w:t xml:space="preserve">with reporting </w:t>
      </w:r>
      <w:r w:rsidR="00D213DD">
        <w:t xml:space="preserve">to </w:t>
      </w:r>
      <w:r w:rsidR="00D213DD" w:rsidRPr="00D213DD">
        <w:t>NSLDS</w:t>
      </w:r>
      <w:r w:rsidR="00D213DD">
        <w:t xml:space="preserve"> </w:t>
      </w:r>
      <w:r w:rsidR="00346733">
        <w:t xml:space="preserve">at the more granular </w:t>
      </w:r>
      <w:r w:rsidR="00D213DD">
        <w:t>8</w:t>
      </w:r>
      <w:r w:rsidR="00346733">
        <w:t>-digit</w:t>
      </w:r>
      <w:r w:rsidR="00A02694">
        <w:t>-</w:t>
      </w:r>
      <w:r w:rsidR="00346733" w:rsidRPr="00346733">
        <w:t>OPEID</w:t>
      </w:r>
      <w:r w:rsidR="00A02694">
        <w:t>-level</w:t>
      </w:r>
      <w:r w:rsidR="00346733">
        <w:t xml:space="preserve">, Scorecard </w:t>
      </w:r>
      <w:r w:rsidR="005F21AF">
        <w:t xml:space="preserve">constructs cohorts and calculates data values </w:t>
      </w:r>
      <w:r w:rsidR="000900BF">
        <w:t xml:space="preserve">by field of study using the 6-digit </w:t>
      </w:r>
      <w:r w:rsidR="000900BF" w:rsidRPr="000900BF">
        <w:t>OPEID</w:t>
      </w:r>
      <w:r w:rsidR="000900BF">
        <w:t xml:space="preserve"> institutional identifier</w:t>
      </w:r>
      <w:r w:rsidR="00701AAC">
        <w:t xml:space="preserve">. </w:t>
      </w:r>
      <w:r w:rsidR="007275AE">
        <w:t>To the extent that outcomes vary</w:t>
      </w:r>
      <w:r w:rsidR="005A0E95">
        <w:t xml:space="preserve"> across</w:t>
      </w:r>
      <w:r w:rsidR="00AF103B">
        <w:t xml:space="preserve"> branch locations</w:t>
      </w:r>
      <w:r w:rsidR="00110241">
        <w:t>,</w:t>
      </w:r>
      <w:r w:rsidR="00AF103B">
        <w:t xml:space="preserve"> this variation would</w:t>
      </w:r>
      <w:r w:rsidR="00BE68D2">
        <w:t xml:space="preserve"> not be observed using the </w:t>
      </w:r>
      <w:r w:rsidR="00110241">
        <w:t xml:space="preserve">current </w:t>
      </w:r>
      <w:r w:rsidR="00BE68D2">
        <w:t>methodology.</w:t>
      </w:r>
    </w:p>
    <w:p w14:paraId="3C20E5D3" w14:textId="77777777" w:rsidR="00E40376" w:rsidRDefault="00E40376" w:rsidP="00E40376">
      <w:pPr>
        <w:spacing w:after="0" w:line="240" w:lineRule="auto"/>
      </w:pPr>
    </w:p>
    <w:p w14:paraId="044467D2" w14:textId="77777777" w:rsidR="00E40376" w:rsidRDefault="00E40376" w:rsidP="005B08BD">
      <w:pPr>
        <w:spacing w:after="0" w:line="240" w:lineRule="auto"/>
      </w:pPr>
    </w:p>
    <w:p w14:paraId="1A19D120" w14:textId="186511BE" w:rsidR="009A4390" w:rsidRDefault="006D16F8" w:rsidP="005B08BD">
      <w:pPr>
        <w:pStyle w:val="Heading2"/>
        <w:spacing w:line="240" w:lineRule="auto"/>
      </w:pPr>
      <w:bookmarkStart w:id="19" w:name="_Toc16782818"/>
      <w:r>
        <w:t>First-year e</w:t>
      </w:r>
      <w:r w:rsidR="0066066C">
        <w:t>arnings</w:t>
      </w:r>
      <w:bookmarkEnd w:id="19"/>
      <w:r w:rsidR="0066066C">
        <w:t xml:space="preserve"> </w:t>
      </w:r>
    </w:p>
    <w:p w14:paraId="13941ED2" w14:textId="51F19A16" w:rsidR="009D0CFC" w:rsidRDefault="00AB164F" w:rsidP="008966AC">
      <w:r>
        <w:t xml:space="preserve">Scorecard’s </w:t>
      </w:r>
      <w:r w:rsidR="00C41A61">
        <w:t>long</w:t>
      </w:r>
      <w:r w:rsidR="0023046B">
        <w:t>-</w:t>
      </w:r>
      <w:r w:rsidR="00C41A61">
        <w:t>term goal is to measure</w:t>
      </w:r>
      <w:r w:rsidR="0023046B">
        <w:t xml:space="preserve"> the</w:t>
      </w:r>
      <w:r w:rsidR="00856933">
        <w:t xml:space="preserve"> annual</w:t>
      </w:r>
      <w:r w:rsidR="00C41A61">
        <w:t xml:space="preserve"> earnings of former students</w:t>
      </w:r>
      <w:r w:rsidR="00856933">
        <w:t xml:space="preserve"> at multiple points in time</w:t>
      </w:r>
      <w:r w:rsidR="00C41A61">
        <w:t xml:space="preserve"> </w:t>
      </w:r>
      <w:r w:rsidR="00310B0C">
        <w:t>after graduation</w:t>
      </w:r>
      <w:r w:rsidR="00C41A61">
        <w:t xml:space="preserve"> </w:t>
      </w:r>
      <w:r w:rsidR="00310B0C">
        <w:t xml:space="preserve">up to </w:t>
      </w:r>
      <w:r w:rsidR="00402CE8">
        <w:t xml:space="preserve">10-years post-graduation. </w:t>
      </w:r>
      <w:r w:rsidR="00532495">
        <w:t xml:space="preserve">However, </w:t>
      </w:r>
      <w:r w:rsidR="007D6AD9" w:rsidRPr="007D6AD9">
        <w:t>NSLDS</w:t>
      </w:r>
      <w:r w:rsidR="00AE6B14">
        <w:t xml:space="preserve"> did not begin collecting data </w:t>
      </w:r>
      <w:r w:rsidR="0023046B">
        <w:t xml:space="preserve">at the program-level until the 2014-15 award year. </w:t>
      </w:r>
      <w:r w:rsidR="008048FB">
        <w:t xml:space="preserve">The lack of </w:t>
      </w:r>
      <w:r w:rsidR="007B6DAB">
        <w:t xml:space="preserve">program-level data prior to 2014-15 limits historical cohorts that can be derived from </w:t>
      </w:r>
      <w:r w:rsidR="00537A01" w:rsidRPr="00537A01">
        <w:t>NSLDS</w:t>
      </w:r>
      <w:r w:rsidR="00537A01">
        <w:t xml:space="preserve"> by field of study.  </w:t>
      </w:r>
      <w:r w:rsidR="00D40F43">
        <w:t xml:space="preserve"> </w:t>
      </w:r>
      <w:r w:rsidR="00442894">
        <w:t xml:space="preserve">Further, </w:t>
      </w:r>
      <w:r w:rsidR="001F7CDC">
        <w:t>Scorecard combines students into two-year cohorts to maximize</w:t>
      </w:r>
      <w:r w:rsidR="00F261EC">
        <w:t xml:space="preserve"> </w:t>
      </w:r>
      <w:r w:rsidR="00B16B97">
        <w:t xml:space="preserve">cohort </w:t>
      </w:r>
      <w:r w:rsidR="00F261EC">
        <w:t>cell size</w:t>
      </w:r>
      <w:r w:rsidR="00B16B97">
        <w:t>s in order to</w:t>
      </w:r>
      <w:r w:rsidR="00F261EC">
        <w:t xml:space="preserve"> minimize privacy suppressions.</w:t>
      </w:r>
      <w:r w:rsidR="00A07A2C">
        <w:t xml:space="preserve"> Therefore, </w:t>
      </w:r>
      <w:r w:rsidR="00F261EC">
        <w:t>first</w:t>
      </w:r>
      <w:r w:rsidR="00383A84">
        <w:t xml:space="preserve"> complete two-year cohort</w:t>
      </w:r>
      <w:r w:rsidR="00671E9D">
        <w:t xml:space="preserve"> that can be derived from </w:t>
      </w:r>
      <w:r w:rsidR="00671E9D" w:rsidRPr="00671E9D">
        <w:t>NSLDS</w:t>
      </w:r>
      <w:r w:rsidR="00671E9D">
        <w:t xml:space="preserve"> by field of study is the </w:t>
      </w:r>
      <w:r w:rsidR="00383A84">
        <w:t>2014-15 and 2015-16 award years.</w:t>
      </w:r>
      <w:r w:rsidR="00755F1C">
        <w:t xml:space="preserve"> With </w:t>
      </w:r>
      <w:r w:rsidR="004178BB">
        <w:t>2017 calendar year</w:t>
      </w:r>
      <w:r w:rsidR="00702F8A">
        <w:t xml:space="preserve"> (and prior)</w:t>
      </w:r>
      <w:r w:rsidR="004178BB">
        <w:t xml:space="preserve"> earnings</w:t>
      </w:r>
      <w:r w:rsidR="00702F8A">
        <w:t xml:space="preserve"> available</w:t>
      </w:r>
      <w:r w:rsidR="009011F6">
        <w:t xml:space="preserve">, Scorecard provides first-year earnings for </w:t>
      </w:r>
      <w:r w:rsidR="00AB2415">
        <w:t>those who graduate in 2014-15 and 2015-16 measured in calendar years 2016 and 2017 respectively.</w:t>
      </w:r>
      <w:r w:rsidR="007E137C">
        <w:t xml:space="preserve"> As more data become available</w:t>
      </w:r>
      <w:r w:rsidR="003B1EA2">
        <w:t>, Scorecard</w:t>
      </w:r>
      <w:r w:rsidR="007E137C">
        <w:t xml:space="preserve"> will calculate </w:t>
      </w:r>
      <w:r w:rsidR="00E921C5">
        <w:t xml:space="preserve">salary after graduation measured multiple years post-graduation. </w:t>
      </w:r>
      <w:r w:rsidR="00755F1C">
        <w:t>Data users should use caution in using these</w:t>
      </w:r>
      <w:r w:rsidR="00D439C0">
        <w:t xml:space="preserve"> first-year </w:t>
      </w:r>
      <w:r w:rsidR="004E02C7">
        <w:t>earnings</w:t>
      </w:r>
      <w:r w:rsidR="00321F6C">
        <w:t xml:space="preserve"> data </w:t>
      </w:r>
      <w:r w:rsidR="00755F1C">
        <w:t>to predict longer-term earnings</w:t>
      </w:r>
      <w:r w:rsidR="004E02C7">
        <w:t xml:space="preserve"> outcomes</w:t>
      </w:r>
      <w:r w:rsidR="009A4B9F">
        <w:t xml:space="preserve"> because research</w:t>
      </w:r>
      <w:r w:rsidR="00391611">
        <w:t xml:space="preserve"> suggests a week </w:t>
      </w:r>
      <w:r w:rsidR="00CF57C3">
        <w:t>association between</w:t>
      </w:r>
      <w:r w:rsidR="00391611">
        <w:t xml:space="preserve"> </w:t>
      </w:r>
      <w:r w:rsidR="00E1049E">
        <w:t>earnings measured soon after graduation versus earnings measured many years</w:t>
      </w:r>
      <w:r w:rsidR="00D17ED4">
        <w:t xml:space="preserve"> </w:t>
      </w:r>
      <w:r w:rsidR="00D836C5">
        <w:t>later</w:t>
      </w:r>
      <w:r w:rsidR="004E02C7">
        <w:t>.</w:t>
      </w:r>
      <w:r w:rsidR="00535FF1">
        <w:t xml:space="preserve"> </w:t>
      </w:r>
      <w:r w:rsidR="00211431">
        <w:t xml:space="preserve">For example, a </w:t>
      </w:r>
      <w:r w:rsidR="00535FF1">
        <w:t>recent</w:t>
      </w:r>
      <w:r w:rsidR="008366D7">
        <w:t xml:space="preserve"> </w:t>
      </w:r>
      <w:r w:rsidR="00535FF1">
        <w:t xml:space="preserve">publication </w:t>
      </w:r>
      <w:r w:rsidR="008366D7">
        <w:t xml:space="preserve">by the National Bureau of Economic Research </w:t>
      </w:r>
      <w:r w:rsidR="00D836C5">
        <w:t>indicated</w:t>
      </w:r>
      <w:r w:rsidR="00535FF1">
        <w:t xml:space="preserve"> that first year and </w:t>
      </w:r>
      <w:r w:rsidR="00535FF1">
        <w:lastRenderedPageBreak/>
        <w:t xml:space="preserve">seventh year </w:t>
      </w:r>
      <w:r w:rsidR="00535FF1" w:rsidRPr="00535FF1">
        <w:t xml:space="preserve">metrics are barely correlated, suggesting </w:t>
      </w:r>
      <w:r w:rsidR="00B81832">
        <w:t xml:space="preserve">labor outcome data </w:t>
      </w:r>
      <w:r w:rsidR="00535FF1" w:rsidRPr="00535FF1">
        <w:t>may be misleading if measured too soon after graduation</w:t>
      </w:r>
      <w:r w:rsidR="0048720E">
        <w:t>.</w:t>
      </w:r>
      <w:r w:rsidR="00AC2736">
        <w:rPr>
          <w:rStyle w:val="FootnoteReference"/>
        </w:rPr>
        <w:footnoteReference w:id="4"/>
      </w:r>
    </w:p>
    <w:p w14:paraId="27637CAF" w14:textId="77777777" w:rsidR="007F1DC5" w:rsidRDefault="007F1DC5" w:rsidP="007F1DC5">
      <w:pPr>
        <w:pStyle w:val="Heading2"/>
        <w:spacing w:line="240" w:lineRule="auto"/>
      </w:pPr>
      <w:bookmarkStart w:id="20" w:name="_Toc16782820"/>
      <w:r>
        <w:t>Nonemployment</w:t>
      </w:r>
    </w:p>
    <w:p w14:paraId="2EB311EE" w14:textId="77777777" w:rsidR="007F1DC5" w:rsidRDefault="007F1DC5" w:rsidP="007F1DC5">
      <w:pPr>
        <w:spacing w:after="0" w:line="240" w:lineRule="auto"/>
      </w:pPr>
      <w:r>
        <w:t xml:space="preserve">Earnings data include </w:t>
      </w:r>
      <w:r w:rsidRPr="0050567F">
        <w:t xml:space="preserve">information on the fraction of individuals who did not work for pay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t>In particular, data users should note that those who did not work may have chosen to be out of the labor market for a variety of reasons.</w:t>
      </w:r>
    </w:p>
    <w:p w14:paraId="3AC36534" w14:textId="77777777" w:rsidR="00712D89" w:rsidRDefault="00712D89" w:rsidP="005B08BD">
      <w:pPr>
        <w:pStyle w:val="Heading2"/>
        <w:spacing w:line="240" w:lineRule="auto"/>
      </w:pPr>
    </w:p>
    <w:p w14:paraId="13C11115" w14:textId="292ED7C9" w:rsidR="000E6180" w:rsidRDefault="002B4933" w:rsidP="005B08BD">
      <w:pPr>
        <w:pStyle w:val="Heading2"/>
        <w:spacing w:line="240" w:lineRule="auto"/>
      </w:pPr>
      <w:r>
        <w:t>D</w:t>
      </w:r>
      <w:r w:rsidR="000E6180">
        <w:t>ata quality</w:t>
      </w:r>
      <w:bookmarkEnd w:id="20"/>
      <w:r w:rsidR="000E6180">
        <w:t xml:space="preserve"> </w:t>
      </w:r>
    </w:p>
    <w:p w14:paraId="33598DA2" w14:textId="2C1BAA01" w:rsidR="005F649D" w:rsidRDefault="005F649D" w:rsidP="005B08BD">
      <w:pPr>
        <w:spacing w:after="0" w:line="240" w:lineRule="auto"/>
      </w:pPr>
      <w:r>
        <w:t xml:space="preserve">In 2014-15, FSA began requiring institutions to report program-level enrollment data to </w:t>
      </w:r>
      <w:r w:rsidRPr="00CD2DE9">
        <w:t>NSLDS</w:t>
      </w:r>
      <w:r>
        <w:t xml:space="preserve">. While data reporting seems to have stabilized over time, enrollment reporting in the earlier years was likely incomplete and potentially inaccurate. </w:t>
      </w:r>
      <w:r w:rsidR="002B3BD6">
        <w:t xml:space="preserve"> In order to address this, </w:t>
      </w:r>
      <w:r>
        <w:t xml:space="preserve">Scorecard published preliminary cumulative loan debt data in May 2019 and </w:t>
      </w:r>
      <w:r w:rsidR="002D75C0">
        <w:t xml:space="preserve">the Department </w:t>
      </w:r>
      <w:r>
        <w:t xml:space="preserve">asked institutions to make corrections to their own historical NSLDS program-level enrollment data by mid-July 2019. </w:t>
      </w:r>
      <w:r w:rsidR="00701016">
        <w:t>In order to examine the overall data quality of</w:t>
      </w:r>
      <w:r w:rsidR="009D2F98">
        <w:t xml:space="preserve"> program-level reporting to </w:t>
      </w:r>
      <w:r w:rsidR="009D2F98" w:rsidRPr="009D2F98">
        <w:t>NSLDS</w:t>
      </w:r>
      <w:r w:rsidR="00E226FB">
        <w:t xml:space="preserve"> after institutions were able to make historical updates and corrections</w:t>
      </w:r>
      <w:r w:rsidR="009D2F98">
        <w:t>, the Department</w:t>
      </w:r>
      <w:r w:rsidR="00893247">
        <w:t xml:space="preserve"> compared </w:t>
      </w:r>
      <w:r w:rsidR="000030A2" w:rsidRPr="000030A2">
        <w:t>NSLDS</w:t>
      </w:r>
      <w:r w:rsidR="000030A2">
        <w:t xml:space="preserve"> program-level </w:t>
      </w:r>
      <w:r w:rsidR="005F0E33">
        <w:t xml:space="preserve">data </w:t>
      </w:r>
      <w:r w:rsidR="009D2F98">
        <w:t>with other internal</w:t>
      </w:r>
      <w:r w:rsidR="00625C7D">
        <w:t xml:space="preserve"> </w:t>
      </w:r>
      <w:r w:rsidR="00BF3E61">
        <w:t>Federal Student Aid</w:t>
      </w:r>
      <w:r w:rsidR="00625C7D">
        <w:t xml:space="preserve"> (FSA</w:t>
      </w:r>
      <w:r w:rsidR="00BF3E61">
        <w:t>)</w:t>
      </w:r>
      <w:r w:rsidR="00625C7D">
        <w:t xml:space="preserve"> reporting and available samples from </w:t>
      </w:r>
      <w:r>
        <w:t>NCES statistical collections.</w:t>
      </w:r>
    </w:p>
    <w:p w14:paraId="0D9B59FE" w14:textId="77777777" w:rsidR="005F649D" w:rsidRDefault="005F649D" w:rsidP="005B08BD">
      <w:pPr>
        <w:spacing w:after="0" w:line="240" w:lineRule="auto"/>
      </w:pPr>
    </w:p>
    <w:p w14:paraId="1BD82C75" w14:textId="2EEAA920" w:rsidR="005F649D" w:rsidRDefault="00131466" w:rsidP="005B08BD">
      <w:pPr>
        <w:spacing w:after="0" w:line="240" w:lineRule="auto"/>
      </w:pPr>
      <w:r>
        <w:t>To</w:t>
      </w:r>
      <w:r w:rsidR="0048127E">
        <w:t xml:space="preserve"> assess consistency of reporting</w:t>
      </w:r>
      <w:r w:rsidR="005F0E33">
        <w:t xml:space="preserve"> by institutions</w:t>
      </w:r>
      <w:r w:rsidR="0048127E">
        <w:t>, the Department examined</w:t>
      </w:r>
      <w:r w:rsidR="00BE72EB">
        <w:t xml:space="preserve"> the process</w:t>
      </w:r>
      <w:r w:rsidR="00EA3A06">
        <w:t xml:space="preserve"> where institutions initially report </w:t>
      </w:r>
      <w:r w:rsidR="005F649D">
        <w:t xml:space="preserve">program-level CIP codes at the time of aid disbursement and </w:t>
      </w:r>
      <w:r w:rsidR="00EA3A06">
        <w:t xml:space="preserve">then </w:t>
      </w:r>
      <w:r w:rsidR="005F649D">
        <w:t>reconfirm or update those CIP codes for students via NSLDS program-level enrollment reporting; for the years in question, those CIP codes are almost always either confirmed or corrected during that secondary FSA process step, which was observed at 97% for the 2014-15 award year data.</w:t>
      </w:r>
    </w:p>
    <w:p w14:paraId="1DD93A7E" w14:textId="77777777" w:rsidR="00694DA4" w:rsidRDefault="00694DA4" w:rsidP="005B08BD">
      <w:pPr>
        <w:spacing w:after="0" w:line="240" w:lineRule="auto"/>
      </w:pPr>
    </w:p>
    <w:p w14:paraId="2505C97F" w14:textId="791F5246" w:rsidR="0006553D" w:rsidRDefault="000030A2" w:rsidP="0006553D">
      <w:pPr>
        <w:spacing w:after="0" w:line="240" w:lineRule="auto"/>
      </w:pPr>
      <w:r>
        <w:t>To assess the completeness of reporting by institutions,</w:t>
      </w:r>
      <w:r w:rsidR="00F419BD">
        <w:t xml:space="preserve"> i</w:t>
      </w:r>
      <w:r w:rsidR="001369F2" w:rsidRPr="001369F2">
        <w:t xml:space="preserve">nstitution-level graduation events in NSLDS can serve as </w:t>
      </w:r>
      <w:r w:rsidR="002B523D" w:rsidRPr="001369F2">
        <w:t xml:space="preserve">a </w:t>
      </w:r>
      <w:r w:rsidR="002B523D">
        <w:t>comparison</w:t>
      </w:r>
      <w:r w:rsidR="001369F2" w:rsidRPr="001369F2">
        <w:t xml:space="preserve">. </w:t>
      </w:r>
      <w:r w:rsidR="0006553D">
        <w:t xml:space="preserve">Institution-level graduation events serve as a trigger for a student entering repayment due to a graduation and should have a corresponding program-level graduation rate. Figure X provides aggregate ratios of program-level graduation events to institution-level graduation events if they occur within 180 days for an individual student at an individual institution (that is, for every institutional graduation event, how often is there a corresponding program-level graduation event). The table shows that the 2014-15 reporting was less complete than in subsequent years. </w:t>
      </w:r>
    </w:p>
    <w:p w14:paraId="6A0FC64E" w14:textId="77777777" w:rsidR="0006553D" w:rsidRDefault="0006553D" w:rsidP="0006553D">
      <w:pPr>
        <w:spacing w:after="0" w:line="240" w:lineRule="auto"/>
        <w:jc w:val="center"/>
        <w:rPr>
          <w:b/>
          <w:bCs/>
        </w:rPr>
      </w:pPr>
    </w:p>
    <w:tbl>
      <w:tblPr>
        <w:tblW w:w="7645" w:type="dxa"/>
        <w:jc w:val="center"/>
        <w:tblLook w:val="04A0" w:firstRow="1" w:lastRow="0" w:firstColumn="1" w:lastColumn="0" w:noHBand="0" w:noVBand="1"/>
      </w:tblPr>
      <w:tblGrid>
        <w:gridCol w:w="3775"/>
        <w:gridCol w:w="3870"/>
      </w:tblGrid>
      <w:tr w:rsidR="0006553D" w:rsidRPr="00C85B23" w14:paraId="407120D6" w14:textId="77777777" w:rsidTr="002327F0">
        <w:trPr>
          <w:trHeight w:val="290"/>
          <w:jc w:val="center"/>
        </w:trPr>
        <w:tc>
          <w:tcPr>
            <w:tcW w:w="76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A378EE0" w14:textId="5AC407C8" w:rsidR="0006553D" w:rsidRPr="00C85B23" w:rsidRDefault="0006553D" w:rsidP="002327F0">
            <w:pPr>
              <w:spacing w:after="0" w:line="240" w:lineRule="auto"/>
              <w:jc w:val="center"/>
              <w:rPr>
                <w:rFonts w:ascii="Calibri" w:eastAsia="Times New Roman" w:hAnsi="Calibri" w:cs="Calibri"/>
                <w:color w:val="000000"/>
              </w:rPr>
            </w:pPr>
            <w:r>
              <w:rPr>
                <w:rFonts w:ascii="Calibri" w:eastAsia="Times New Roman" w:hAnsi="Calibri" w:cs="Calibri"/>
                <w:b/>
                <w:bCs/>
                <w:color w:val="000000"/>
              </w:rPr>
              <w:t>Figure X. Percentage of IHE -level graduation events with corresponding program-level graduation events as of mid-July 2019</w:t>
            </w:r>
          </w:p>
        </w:tc>
      </w:tr>
      <w:tr w:rsidR="0006553D" w:rsidRPr="00C85B23" w14:paraId="53BCD922" w14:textId="77777777" w:rsidTr="002327F0">
        <w:trPr>
          <w:trHeight w:val="290"/>
          <w:jc w:val="center"/>
        </w:trPr>
        <w:tc>
          <w:tcPr>
            <w:tcW w:w="3775" w:type="dxa"/>
            <w:tcBorders>
              <w:top w:val="single" w:sz="4" w:space="0" w:color="auto"/>
              <w:left w:val="single" w:sz="4" w:space="0" w:color="auto"/>
              <w:bottom w:val="single" w:sz="4" w:space="0" w:color="auto"/>
              <w:right w:val="single" w:sz="4" w:space="0" w:color="auto"/>
            </w:tcBorders>
            <w:vAlign w:val="center"/>
          </w:tcPr>
          <w:p w14:paraId="4F057627" w14:textId="77777777" w:rsidR="0006553D" w:rsidRPr="00C85B23" w:rsidRDefault="0006553D" w:rsidP="002327F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Award year</w:t>
            </w:r>
          </w:p>
        </w:tc>
        <w:tc>
          <w:tcPr>
            <w:tcW w:w="3870" w:type="dxa"/>
            <w:tcBorders>
              <w:top w:val="nil"/>
              <w:left w:val="nil"/>
              <w:bottom w:val="single" w:sz="4" w:space="0" w:color="auto"/>
              <w:right w:val="single" w:sz="4" w:space="0" w:color="auto"/>
            </w:tcBorders>
            <w:shd w:val="clear" w:color="auto" w:fill="auto"/>
            <w:noWrap/>
            <w:vAlign w:val="bottom"/>
          </w:tcPr>
          <w:p w14:paraId="1F9289CA" w14:textId="77777777" w:rsidR="0006553D" w:rsidRPr="00C85B23" w:rsidRDefault="0006553D" w:rsidP="002327F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Percentage</w:t>
            </w:r>
          </w:p>
        </w:tc>
      </w:tr>
      <w:tr w:rsidR="0006553D" w:rsidRPr="00C85B23" w14:paraId="6A06DAB4" w14:textId="77777777" w:rsidTr="002327F0">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EE2C386"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2014</w:t>
            </w:r>
            <w:r>
              <w:rPr>
                <w:rFonts w:ascii="Calibri" w:eastAsia="Times New Roman" w:hAnsi="Calibri" w:cs="Calibri"/>
                <w:color w:val="000000"/>
              </w:rPr>
              <w:t>-15</w:t>
            </w:r>
          </w:p>
        </w:tc>
        <w:tc>
          <w:tcPr>
            <w:tcW w:w="3870" w:type="dxa"/>
            <w:tcBorders>
              <w:top w:val="nil"/>
              <w:left w:val="nil"/>
              <w:bottom w:val="single" w:sz="4" w:space="0" w:color="auto"/>
              <w:right w:val="single" w:sz="4" w:space="0" w:color="auto"/>
            </w:tcBorders>
            <w:shd w:val="clear" w:color="auto" w:fill="auto"/>
            <w:noWrap/>
            <w:vAlign w:val="bottom"/>
            <w:hideMark/>
          </w:tcPr>
          <w:p w14:paraId="2C739AD0"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73%</w:t>
            </w:r>
          </w:p>
        </w:tc>
      </w:tr>
      <w:tr w:rsidR="0006553D" w:rsidRPr="00C85B23" w14:paraId="28518AF4" w14:textId="77777777" w:rsidTr="002327F0">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24010DA0"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2015</w:t>
            </w:r>
            <w:r>
              <w:rPr>
                <w:rFonts w:ascii="Calibri" w:eastAsia="Times New Roman" w:hAnsi="Calibri" w:cs="Calibri"/>
                <w:color w:val="000000"/>
              </w:rPr>
              <w:t>-16</w:t>
            </w:r>
          </w:p>
        </w:tc>
        <w:tc>
          <w:tcPr>
            <w:tcW w:w="3870" w:type="dxa"/>
            <w:tcBorders>
              <w:top w:val="nil"/>
              <w:left w:val="nil"/>
              <w:bottom w:val="single" w:sz="4" w:space="0" w:color="auto"/>
              <w:right w:val="single" w:sz="4" w:space="0" w:color="auto"/>
            </w:tcBorders>
            <w:shd w:val="clear" w:color="auto" w:fill="auto"/>
            <w:noWrap/>
            <w:vAlign w:val="bottom"/>
            <w:hideMark/>
          </w:tcPr>
          <w:p w14:paraId="57746B9F"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90%</w:t>
            </w:r>
          </w:p>
        </w:tc>
      </w:tr>
      <w:tr w:rsidR="0006553D" w:rsidRPr="00C85B23" w14:paraId="27FC6626" w14:textId="77777777" w:rsidTr="002327F0">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B4C8476"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2016</w:t>
            </w:r>
            <w:r>
              <w:rPr>
                <w:rFonts w:ascii="Calibri" w:eastAsia="Times New Roman" w:hAnsi="Calibri" w:cs="Calibri"/>
                <w:color w:val="000000"/>
              </w:rPr>
              <w:t>-17</w:t>
            </w:r>
          </w:p>
        </w:tc>
        <w:tc>
          <w:tcPr>
            <w:tcW w:w="3870" w:type="dxa"/>
            <w:tcBorders>
              <w:top w:val="nil"/>
              <w:left w:val="nil"/>
              <w:bottom w:val="single" w:sz="4" w:space="0" w:color="auto"/>
              <w:right w:val="single" w:sz="4" w:space="0" w:color="auto"/>
            </w:tcBorders>
            <w:shd w:val="clear" w:color="auto" w:fill="auto"/>
            <w:noWrap/>
            <w:vAlign w:val="bottom"/>
            <w:hideMark/>
          </w:tcPr>
          <w:p w14:paraId="21828A32"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91%</w:t>
            </w:r>
          </w:p>
        </w:tc>
      </w:tr>
      <w:tr w:rsidR="0006553D" w:rsidRPr="00C85B23" w14:paraId="0E405FE4" w14:textId="77777777" w:rsidTr="002327F0">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8E78C4F"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2017</w:t>
            </w:r>
            <w:r>
              <w:rPr>
                <w:rFonts w:ascii="Calibri" w:eastAsia="Times New Roman" w:hAnsi="Calibri" w:cs="Calibri"/>
                <w:color w:val="000000"/>
              </w:rPr>
              <w:t>-18</w:t>
            </w:r>
          </w:p>
        </w:tc>
        <w:tc>
          <w:tcPr>
            <w:tcW w:w="3870" w:type="dxa"/>
            <w:tcBorders>
              <w:top w:val="nil"/>
              <w:left w:val="nil"/>
              <w:bottom w:val="single" w:sz="4" w:space="0" w:color="auto"/>
              <w:right w:val="single" w:sz="4" w:space="0" w:color="auto"/>
            </w:tcBorders>
            <w:shd w:val="clear" w:color="auto" w:fill="auto"/>
            <w:noWrap/>
            <w:vAlign w:val="bottom"/>
            <w:hideMark/>
          </w:tcPr>
          <w:p w14:paraId="05FE77A3" w14:textId="77777777" w:rsidR="0006553D" w:rsidRPr="00C85B23" w:rsidRDefault="0006553D" w:rsidP="002327F0">
            <w:pPr>
              <w:spacing w:after="0" w:line="240" w:lineRule="auto"/>
              <w:jc w:val="right"/>
              <w:rPr>
                <w:rFonts w:ascii="Calibri" w:eastAsia="Times New Roman" w:hAnsi="Calibri" w:cs="Calibri"/>
                <w:color w:val="000000"/>
              </w:rPr>
            </w:pPr>
            <w:r w:rsidRPr="00C85B23">
              <w:rPr>
                <w:rFonts w:ascii="Calibri" w:eastAsia="Times New Roman" w:hAnsi="Calibri" w:cs="Calibri"/>
                <w:color w:val="000000"/>
              </w:rPr>
              <w:t>92%</w:t>
            </w:r>
          </w:p>
        </w:tc>
      </w:tr>
    </w:tbl>
    <w:p w14:paraId="6C467478" w14:textId="26DCE920" w:rsidR="002B523D" w:rsidRDefault="002F3D0C" w:rsidP="002F3D0C">
      <w:pPr>
        <w:spacing w:after="0" w:line="240" w:lineRule="auto"/>
        <w:jc w:val="center"/>
      </w:pPr>
      <w:r>
        <w:t>Source:</w:t>
      </w:r>
      <w:r w:rsidRPr="002F3D0C">
        <w:t xml:space="preserve"> NSLDS</w:t>
      </w:r>
      <w:r>
        <w:t xml:space="preserve"> as of July 2019</w:t>
      </w:r>
    </w:p>
    <w:p w14:paraId="03E83736" w14:textId="77777777" w:rsidR="00D33139" w:rsidRDefault="00D33139" w:rsidP="002F3D0C">
      <w:pPr>
        <w:spacing w:after="0" w:line="240" w:lineRule="auto"/>
        <w:jc w:val="center"/>
      </w:pPr>
    </w:p>
    <w:p w14:paraId="3898761B" w14:textId="592FA86B" w:rsidR="00842639" w:rsidRDefault="00927D89" w:rsidP="005B08BD">
      <w:pPr>
        <w:spacing w:after="0" w:line="240" w:lineRule="auto"/>
      </w:pPr>
      <w:r>
        <w:lastRenderedPageBreak/>
        <w:t>Further analysis</w:t>
      </w:r>
      <w:r w:rsidR="00DD0F41">
        <w:t xml:space="preserve"> suggests </w:t>
      </w:r>
      <w:r w:rsidR="00FF58BD">
        <w:t>that these ratios are not substantially different</w:t>
      </w:r>
      <w:r w:rsidR="00FC4835">
        <w:t>, in the aggregate,</w:t>
      </w:r>
      <w:r w:rsidR="00FF58BD">
        <w:t xml:space="preserve"> across </w:t>
      </w:r>
      <w:r w:rsidR="006D5EE0">
        <w:t xml:space="preserve">institutional characteristics including </w:t>
      </w:r>
      <w:r>
        <w:t>institutional control (i.e. Public, Private, Proprietary) and institution size (i.e.</w:t>
      </w:r>
      <w:r w:rsidR="006026F0">
        <w:t xml:space="preserve"> number of completers)</w:t>
      </w:r>
      <w:r w:rsidR="00C63CAA">
        <w:t xml:space="preserve"> and </w:t>
      </w:r>
      <w:r w:rsidR="001F0932">
        <w:t xml:space="preserve">also </w:t>
      </w:r>
      <w:r w:rsidR="00C63CAA">
        <w:t xml:space="preserve">across </w:t>
      </w:r>
      <w:r w:rsidR="00C17580">
        <w:t>groups of students who received grants and loans versus those who received only grants.</w:t>
      </w:r>
      <w:r w:rsidR="006D5EE0">
        <w:rPr>
          <w:rStyle w:val="FootnoteReference"/>
        </w:rPr>
        <w:footnoteReference w:id="5"/>
      </w:r>
      <w:r w:rsidR="00E05BED">
        <w:t xml:space="preserve"> </w:t>
      </w:r>
    </w:p>
    <w:p w14:paraId="3548C2FC" w14:textId="01FCCC52" w:rsidR="00A148CD" w:rsidRDefault="00A148CD" w:rsidP="005B08BD">
      <w:pPr>
        <w:spacing w:after="0" w:line="240" w:lineRule="auto"/>
      </w:pPr>
    </w:p>
    <w:p w14:paraId="110FFD84" w14:textId="20F45F8C" w:rsidR="00A148CD" w:rsidRDefault="00A148CD" w:rsidP="00A148CD">
      <w:pPr>
        <w:spacing w:after="0" w:line="240" w:lineRule="auto"/>
      </w:pPr>
      <w:r>
        <w:t>Further</w:t>
      </w:r>
      <w:r w:rsidR="00E50017">
        <w:t xml:space="preserve"> examination </w:t>
      </w:r>
      <w:r>
        <w:t xml:space="preserve">of </w:t>
      </w:r>
      <w:r w:rsidRPr="00AA5DF2">
        <w:t>NSLDS</w:t>
      </w:r>
      <w:r>
        <w:t xml:space="preserve"> data (Figure 2)</w:t>
      </w:r>
      <w:r w:rsidR="00E50017">
        <w:t xml:space="preserve"> shows </w:t>
      </w:r>
      <w:r>
        <w:t xml:space="preserve">that in the initial year of reporting (2014-15) the typical institution reported 80 percent of institutional graduation events were also reported at the program-level, with 25 percent of institutions reporting less than </w:t>
      </w:r>
      <w:r w:rsidRPr="00F90433">
        <w:t>45</w:t>
      </w:r>
      <w:r>
        <w:t xml:space="preserve"> percent of institutional graduation events were also reported at the program-level. In the next three years of reporting, the typical institution reported at 93, 95, and 95 percent of institutional graduation events were also reported at the program-level, respectively.</w:t>
      </w:r>
    </w:p>
    <w:p w14:paraId="5A0239F3" w14:textId="77777777" w:rsidR="00E50017" w:rsidRPr="00E50017" w:rsidRDefault="00E50017" w:rsidP="00A148CD">
      <w:pPr>
        <w:spacing w:after="0" w:line="240" w:lineRule="auto"/>
        <w:rPr>
          <w:bCs/>
        </w:rPr>
      </w:pPr>
    </w:p>
    <w:p w14:paraId="2D7D6867" w14:textId="2D2A7379" w:rsidR="00A148CD" w:rsidRDefault="00A148CD" w:rsidP="005752C5">
      <w:pPr>
        <w:ind w:left="720" w:right="720"/>
        <w:jc w:val="center"/>
      </w:pPr>
      <w:r>
        <w:rPr>
          <w:b/>
          <w:bCs/>
        </w:rPr>
        <w:t xml:space="preserve">Figure 2. Distribution of </w:t>
      </w:r>
      <w:r w:rsidRPr="000321D4">
        <w:rPr>
          <w:b/>
          <w:bCs/>
        </w:rPr>
        <w:t>Ratio</w:t>
      </w:r>
      <w:r>
        <w:rPr>
          <w:b/>
          <w:bCs/>
        </w:rPr>
        <w:t>s</w:t>
      </w:r>
      <w:r w:rsidRPr="000321D4">
        <w:rPr>
          <w:b/>
          <w:bCs/>
        </w:rPr>
        <w:t xml:space="preserve"> </w:t>
      </w:r>
      <w:r>
        <w:rPr>
          <w:b/>
          <w:bCs/>
        </w:rPr>
        <w:t>for</w:t>
      </w:r>
      <w:r w:rsidRPr="000321D4">
        <w:rPr>
          <w:b/>
          <w:bCs/>
        </w:rPr>
        <w:t xml:space="preserve"> Institution-Level </w:t>
      </w:r>
      <w:r w:rsidR="005752C5">
        <w:rPr>
          <w:b/>
          <w:bCs/>
        </w:rPr>
        <w:t xml:space="preserve">Graduation Events </w:t>
      </w:r>
      <w:r>
        <w:rPr>
          <w:b/>
          <w:bCs/>
        </w:rPr>
        <w:t xml:space="preserve">vs </w:t>
      </w:r>
      <w:r w:rsidRPr="000321D4">
        <w:rPr>
          <w:b/>
          <w:bCs/>
        </w:rPr>
        <w:t>Program</w:t>
      </w:r>
      <w:r>
        <w:rPr>
          <w:b/>
          <w:bCs/>
        </w:rPr>
        <w:t>-Level</w:t>
      </w:r>
      <w:r w:rsidRPr="000321D4">
        <w:rPr>
          <w:b/>
          <w:bCs/>
        </w:rPr>
        <w:t xml:space="preserve"> </w:t>
      </w:r>
      <w:r w:rsidR="005752C5">
        <w:rPr>
          <w:b/>
          <w:bCs/>
        </w:rPr>
        <w:t>Graduation Events</w:t>
      </w:r>
    </w:p>
    <w:p w14:paraId="3F1AFAC7" w14:textId="302F9976" w:rsidR="00A148CD" w:rsidRDefault="00A148CD" w:rsidP="00A148CD">
      <w:pPr>
        <w:spacing w:after="0" w:line="240" w:lineRule="auto"/>
        <w:jc w:val="center"/>
      </w:pPr>
      <w:r w:rsidRPr="00D3031A">
        <w:rPr>
          <w:noProof/>
        </w:rPr>
        <w:drawing>
          <wp:inline distT="0" distB="0" distL="0" distR="0" wp14:anchorId="4D8CBC7F" wp14:editId="2B282510">
            <wp:extent cx="5111750" cy="3422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8644"/>
                    <a:stretch/>
                  </pic:blipFill>
                  <pic:spPr bwMode="auto">
                    <a:xfrm>
                      <a:off x="0" y="0"/>
                      <a:ext cx="5111750" cy="3422650"/>
                    </a:xfrm>
                    <a:prstGeom prst="rect">
                      <a:avLst/>
                    </a:prstGeom>
                    <a:noFill/>
                    <a:ln>
                      <a:noFill/>
                    </a:ln>
                    <a:extLst>
                      <a:ext uri="{53640926-AAD7-44D8-BBD7-CCE9431645EC}">
                        <a14:shadowObscured xmlns:a14="http://schemas.microsoft.com/office/drawing/2010/main"/>
                      </a:ext>
                    </a:extLst>
                  </pic:spPr>
                </pic:pic>
              </a:graphicData>
            </a:graphic>
          </wp:inline>
        </w:drawing>
      </w:r>
    </w:p>
    <w:p w14:paraId="2D1F0F06" w14:textId="78BFD064" w:rsidR="002F3D0C" w:rsidRDefault="002F3D0C" w:rsidP="00A148CD">
      <w:pPr>
        <w:spacing w:after="0" w:line="240" w:lineRule="auto"/>
        <w:jc w:val="center"/>
      </w:pPr>
      <w:r>
        <w:t>Source:</w:t>
      </w:r>
      <w:r w:rsidRPr="002F3D0C">
        <w:t xml:space="preserve"> NSLDS</w:t>
      </w:r>
      <w:r>
        <w:t xml:space="preserve"> as of July 2019</w:t>
      </w:r>
    </w:p>
    <w:p w14:paraId="09138973" w14:textId="77777777" w:rsidR="00A148CD" w:rsidRDefault="00A148CD" w:rsidP="00A148CD">
      <w:pPr>
        <w:spacing w:after="0" w:line="240" w:lineRule="auto"/>
      </w:pPr>
    </w:p>
    <w:p w14:paraId="5A372840" w14:textId="77777777" w:rsidR="00A148CD" w:rsidRDefault="00A148CD" w:rsidP="005B08BD">
      <w:pPr>
        <w:spacing w:after="0" w:line="240" w:lineRule="auto"/>
      </w:pPr>
    </w:p>
    <w:p w14:paraId="09B225B9" w14:textId="7E8FD559" w:rsidR="006C1DF6" w:rsidRDefault="007E4C3A" w:rsidP="00AB2DFD">
      <w:pPr>
        <w:spacing w:after="0" w:line="240" w:lineRule="auto"/>
        <w:jc w:val="center"/>
      </w:pPr>
      <w:commentRangeStart w:id="21"/>
      <w:r w:rsidRPr="00643109">
        <w:t>&lt;&lt;</w:t>
      </w:r>
      <w:r w:rsidR="00AB2DFD" w:rsidRPr="00643109">
        <w:t xml:space="preserve"> insert NCES sample comparison information /analysis here &gt;&gt;</w:t>
      </w:r>
      <w:commentRangeEnd w:id="21"/>
      <w:r w:rsidR="00643109">
        <w:rPr>
          <w:rStyle w:val="CommentReference"/>
        </w:rPr>
        <w:commentReference w:id="21"/>
      </w:r>
    </w:p>
    <w:p w14:paraId="75E4F149" w14:textId="77777777" w:rsidR="00B558C3" w:rsidRDefault="00B558C3" w:rsidP="005B08BD">
      <w:pPr>
        <w:spacing w:after="0" w:line="240" w:lineRule="auto"/>
      </w:pPr>
    </w:p>
    <w:p w14:paraId="66233AED" w14:textId="77777777" w:rsidR="00700727" w:rsidRDefault="00700727" w:rsidP="00700727">
      <w:pPr>
        <w:spacing w:after="0" w:line="240" w:lineRule="auto"/>
        <w:rPr>
          <w:rFonts w:cs="Times New Roman"/>
        </w:rPr>
      </w:pPr>
      <w:r>
        <w:t xml:space="preserve">Debt and earnings metrics can also be biased if institutions reported incorrect CIP codes to NSLDS (for example, incorrectly reporting nursing majors as business majors). </w:t>
      </w:r>
      <w:r w:rsidRPr="00BC6074">
        <w:t xml:space="preserve">NCES </w:t>
      </w:r>
      <w:r>
        <w:t>researched</w:t>
      </w:r>
      <w:r w:rsidRPr="00BC6074">
        <w:t xml:space="preserve"> program-level graduation event data in NSLDS for </w:t>
      </w:r>
      <w:r w:rsidRPr="00BC6074">
        <w:rPr>
          <w:rFonts w:cs="Times New Roman"/>
        </w:rPr>
        <w:t>respondents from the 2012/17 Beginning Postsecondary Students Longitudinal Study (BPS:12/17)</w:t>
      </w:r>
      <w:r>
        <w:rPr>
          <w:rFonts w:cs="Times New Roman"/>
        </w:rPr>
        <w:t xml:space="preserve">, </w:t>
      </w:r>
      <w:r w:rsidRPr="00BC6074">
        <w:rPr>
          <w:rFonts w:cs="Times New Roman"/>
        </w:rPr>
        <w:t>compar</w:t>
      </w:r>
      <w:r>
        <w:rPr>
          <w:rFonts w:cs="Times New Roman"/>
        </w:rPr>
        <w:t>ing</w:t>
      </w:r>
      <w:r w:rsidRPr="00BC6074">
        <w:rPr>
          <w:rFonts w:cs="Times New Roman"/>
        </w:rPr>
        <w:t xml:space="preserve"> their enrollment information in NSLDS to data from the National Student Clearinghouse (NSC) and the student survey component of BPS:12/17. BPS contains a </w:t>
      </w:r>
      <w:r w:rsidRPr="00BC6074">
        <w:rPr>
          <w:rFonts w:cs="Times New Roman"/>
        </w:rPr>
        <w:lastRenderedPageBreak/>
        <w:t>sample of first-time beginning students enrolled in multiple types of institutions and degree programs for six years (2012-2017).</w:t>
      </w:r>
      <w:r>
        <w:rPr>
          <w:rFonts w:cs="Times New Roman"/>
        </w:rPr>
        <w:t xml:space="preserve"> Figure 3 further limits the BPS sample members to federal aided students.</w:t>
      </w:r>
      <w:r w:rsidRPr="00BC6074">
        <w:rPr>
          <w:rFonts w:cs="Times New Roman"/>
        </w:rPr>
        <w:t xml:space="preserve"> </w:t>
      </w:r>
    </w:p>
    <w:p w14:paraId="7098849D" w14:textId="77777777" w:rsidR="00700727" w:rsidRDefault="00700727" w:rsidP="00700727">
      <w:pPr>
        <w:spacing w:after="0" w:line="240" w:lineRule="auto"/>
        <w:rPr>
          <w:rFonts w:cs="Times New Roman"/>
        </w:rPr>
      </w:pPr>
    </w:p>
    <w:p w14:paraId="2624782B" w14:textId="77777777" w:rsidR="00700727" w:rsidRDefault="00700727" w:rsidP="00700727">
      <w:pPr>
        <w:spacing w:after="0" w:line="240" w:lineRule="auto"/>
        <w:rPr>
          <w:rFonts w:cs="Times New Roman"/>
        </w:rPr>
      </w:pPr>
      <w:r>
        <w:rPr>
          <w:rFonts w:cs="Times New Roman"/>
        </w:rPr>
        <w:t xml:space="preserve">Figure 3 shows the percentage of cases that match out of all aided sample members that had a graduation event reported by either of the two comparison data sources. Matches represent an indication that graduation events were observed in both data sources; </w:t>
      </w:r>
      <w:r w:rsidRPr="004C13A5">
        <w:rPr>
          <w:rFonts w:cs="Times New Roman"/>
          <w:i/>
          <w:iCs/>
        </w:rPr>
        <w:t>‘un-matched’ events from either source could be due to a lack of record</w:t>
      </w:r>
      <w:r>
        <w:rPr>
          <w:rFonts w:cs="Times New Roman"/>
          <w:i/>
          <w:iCs/>
        </w:rPr>
        <w:t>s</w:t>
      </w:r>
      <w:r w:rsidRPr="004C13A5">
        <w:rPr>
          <w:rFonts w:cs="Times New Roman"/>
          <w:i/>
          <w:iCs/>
        </w:rPr>
        <w:t xml:space="preserve"> in the second </w:t>
      </w:r>
      <w:r>
        <w:rPr>
          <w:rFonts w:cs="Times New Roman"/>
          <w:i/>
          <w:iCs/>
        </w:rPr>
        <w:t xml:space="preserve">data </w:t>
      </w:r>
      <w:r w:rsidRPr="004C13A5">
        <w:rPr>
          <w:rFonts w:cs="Times New Roman"/>
          <w:i/>
          <w:iCs/>
        </w:rPr>
        <w:t>source OR a difference in records both present and observed</w:t>
      </w:r>
      <w:r>
        <w:rPr>
          <w:rFonts w:cs="Times New Roman"/>
          <w:i/>
          <w:iCs/>
        </w:rPr>
        <w:t xml:space="preserve"> in each of the two data sources</w:t>
      </w:r>
      <w:r>
        <w:rPr>
          <w:rFonts w:cs="Times New Roman"/>
        </w:rPr>
        <w:t xml:space="preserve">. </w:t>
      </w:r>
    </w:p>
    <w:p w14:paraId="6022CA48" w14:textId="77777777" w:rsidR="00700727" w:rsidRDefault="00700727" w:rsidP="00700727">
      <w:pPr>
        <w:spacing w:after="0" w:line="240" w:lineRule="auto"/>
        <w:rPr>
          <w:rFonts w:cs="Times New Roman"/>
        </w:rPr>
      </w:pPr>
    </w:p>
    <w:p w14:paraId="31B722FE" w14:textId="77777777" w:rsidR="00700727" w:rsidRDefault="00700727" w:rsidP="00700727">
      <w:pPr>
        <w:spacing w:after="0" w:line="240" w:lineRule="auto"/>
        <w:rPr>
          <w:rFonts w:cs="Times New Roman"/>
        </w:rPr>
      </w:pPr>
      <w:r>
        <w:rPr>
          <w:rFonts w:cs="Times New Roman"/>
        </w:rPr>
        <w:t xml:space="preserve">Figure 3 match rates are disaggregated by credential level. Given the sample is based on a 2011-12 beginning postsecondary sample and graduation events are evaluated beginning in 2014-15, undergraduate certificates and associate degree students have small sample sizes and their match rates should be interpreted with caution. </w:t>
      </w:r>
    </w:p>
    <w:p w14:paraId="22FE20B9" w14:textId="2CF9D00D" w:rsidR="00722B8F" w:rsidRDefault="00722B8F" w:rsidP="005F5129">
      <w:pPr>
        <w:pStyle w:val="Heading2"/>
        <w:spacing w:line="240" w:lineRule="auto"/>
      </w:pPr>
    </w:p>
    <w:tbl>
      <w:tblPr>
        <w:tblW w:w="5000" w:type="pct"/>
        <w:tblLayout w:type="fixed"/>
        <w:tblLook w:val="04A0" w:firstRow="1" w:lastRow="0" w:firstColumn="1" w:lastColumn="0" w:noHBand="0" w:noVBand="1"/>
      </w:tblPr>
      <w:tblGrid>
        <w:gridCol w:w="1980"/>
        <w:gridCol w:w="986"/>
        <w:gridCol w:w="1260"/>
        <w:gridCol w:w="270"/>
        <w:gridCol w:w="1080"/>
        <w:gridCol w:w="1260"/>
        <w:gridCol w:w="270"/>
        <w:gridCol w:w="1084"/>
        <w:gridCol w:w="1170"/>
      </w:tblGrid>
      <w:tr w:rsidR="00445CD2" w:rsidRPr="008525E0" w14:paraId="1AB2E696" w14:textId="77777777" w:rsidTr="002327F0">
        <w:trPr>
          <w:trHeight w:val="360"/>
        </w:trPr>
        <w:tc>
          <w:tcPr>
            <w:tcW w:w="5000" w:type="pct"/>
            <w:gridSpan w:val="9"/>
            <w:tcBorders>
              <w:top w:val="single" w:sz="4" w:space="0" w:color="auto"/>
              <w:left w:val="nil"/>
              <w:bottom w:val="single" w:sz="4" w:space="0" w:color="auto"/>
              <w:right w:val="nil"/>
            </w:tcBorders>
            <w:shd w:val="clear" w:color="auto" w:fill="auto"/>
            <w:noWrap/>
            <w:vAlign w:val="bottom"/>
            <w:hideMark/>
          </w:tcPr>
          <w:p w14:paraId="242BD104" w14:textId="77777777" w:rsidR="00445CD2" w:rsidRDefault="00445CD2" w:rsidP="002327F0">
            <w:pPr>
              <w:spacing w:after="0" w:line="240" w:lineRule="auto"/>
              <w:rPr>
                <w:rFonts w:eastAsia="Times New Roman" w:cs="Times New Roman"/>
                <w:b/>
                <w:bCs/>
              </w:rPr>
            </w:pPr>
            <w:r>
              <w:rPr>
                <w:rFonts w:eastAsia="Times New Roman" w:cs="Times New Roman"/>
                <w:b/>
                <w:bCs/>
              </w:rPr>
              <w:t>Figure 3</w:t>
            </w:r>
            <w:r w:rsidRPr="008525E0">
              <w:rPr>
                <w:rFonts w:eastAsia="Times New Roman" w:cs="Times New Roman"/>
                <w:b/>
                <w:bCs/>
              </w:rPr>
              <w:t xml:space="preserve">. </w:t>
            </w:r>
            <w:r>
              <w:rPr>
                <w:rFonts w:eastAsia="Times New Roman" w:cs="Times New Roman"/>
                <w:b/>
                <w:bCs/>
              </w:rPr>
              <w:t>BPS:12/17 Program-Level Completions</w:t>
            </w:r>
            <w:r w:rsidRPr="008525E0">
              <w:rPr>
                <w:rFonts w:eastAsia="Times New Roman" w:cs="Times New Roman"/>
                <w:b/>
                <w:bCs/>
              </w:rPr>
              <w:t xml:space="preserve"> </w:t>
            </w:r>
            <w:r>
              <w:rPr>
                <w:rFonts w:eastAsia="Times New Roman" w:cs="Times New Roman"/>
                <w:b/>
                <w:bCs/>
              </w:rPr>
              <w:t xml:space="preserve">Between 2015-2017: </w:t>
            </w:r>
            <w:r w:rsidRPr="008525E0">
              <w:rPr>
                <w:rFonts w:eastAsia="Times New Roman" w:cs="Times New Roman"/>
                <w:b/>
                <w:bCs/>
              </w:rPr>
              <w:t>Match Rates</w:t>
            </w:r>
            <w:r>
              <w:rPr>
                <w:rFonts w:eastAsia="Times New Roman" w:cs="Times New Roman"/>
                <w:b/>
                <w:bCs/>
              </w:rPr>
              <w:t xml:space="preserve"> Within Federally Aided</w:t>
            </w:r>
            <w:r w:rsidRPr="001B17F5">
              <w:rPr>
                <w:rFonts w:cs="Times New Roman"/>
                <w:b/>
                <w:vertAlign w:val="superscript"/>
              </w:rPr>
              <w:t>1</w:t>
            </w:r>
            <w:r w:rsidRPr="001B17F5">
              <w:rPr>
                <w:rFonts w:eastAsia="Times New Roman" w:cs="Times New Roman"/>
                <w:b/>
                <w:bCs/>
              </w:rPr>
              <w:t xml:space="preserve"> </w:t>
            </w:r>
            <w:r>
              <w:rPr>
                <w:rFonts w:eastAsia="Times New Roman" w:cs="Times New Roman"/>
                <w:b/>
                <w:bCs/>
              </w:rPr>
              <w:t>Students, Matched</w:t>
            </w:r>
            <w:r w:rsidRPr="008525E0">
              <w:rPr>
                <w:rFonts w:eastAsia="Times New Roman" w:cs="Times New Roman"/>
                <w:b/>
                <w:bCs/>
              </w:rPr>
              <w:t xml:space="preserve"> Student School Pairs</w:t>
            </w:r>
            <w:r>
              <w:rPr>
                <w:rFonts w:eastAsia="Times New Roman" w:cs="Times New Roman"/>
                <w:b/>
                <w:bCs/>
              </w:rPr>
              <w:t>, and Including 2-Digit General CIP Codes, by Academic Year and Credential Level</w:t>
            </w:r>
          </w:p>
          <w:p w14:paraId="3FFE5295" w14:textId="77777777" w:rsidR="00445CD2" w:rsidRPr="008525E0" w:rsidRDefault="00445CD2" w:rsidP="002327F0">
            <w:pPr>
              <w:spacing w:after="0" w:line="240" w:lineRule="auto"/>
              <w:rPr>
                <w:rFonts w:eastAsia="Times New Roman" w:cs="Times New Roman"/>
                <w:b/>
                <w:bCs/>
              </w:rPr>
            </w:pPr>
          </w:p>
        </w:tc>
      </w:tr>
      <w:tr w:rsidR="00445CD2" w:rsidRPr="008525E0" w14:paraId="62D9B64C" w14:textId="77777777" w:rsidTr="002327F0">
        <w:trPr>
          <w:trHeight w:val="692"/>
        </w:trPr>
        <w:tc>
          <w:tcPr>
            <w:tcW w:w="1058" w:type="pct"/>
            <w:tcBorders>
              <w:top w:val="single" w:sz="4" w:space="0" w:color="auto"/>
              <w:left w:val="nil"/>
              <w:bottom w:val="nil"/>
              <w:right w:val="nil"/>
            </w:tcBorders>
            <w:shd w:val="clear" w:color="auto" w:fill="auto"/>
            <w:noWrap/>
            <w:vAlign w:val="bottom"/>
            <w:hideMark/>
          </w:tcPr>
          <w:p w14:paraId="5C44D4C5" w14:textId="77777777" w:rsidR="00445CD2" w:rsidRPr="008525E0" w:rsidRDefault="00445CD2" w:rsidP="002327F0">
            <w:pPr>
              <w:spacing w:after="0" w:line="240" w:lineRule="auto"/>
              <w:rPr>
                <w:rFonts w:eastAsia="Times New Roman" w:cs="Times New Roman"/>
                <w:b/>
                <w:bCs/>
              </w:rPr>
            </w:pPr>
          </w:p>
        </w:tc>
        <w:tc>
          <w:tcPr>
            <w:tcW w:w="1200" w:type="pct"/>
            <w:gridSpan w:val="2"/>
            <w:tcBorders>
              <w:top w:val="single" w:sz="4" w:space="0" w:color="auto"/>
              <w:left w:val="nil"/>
              <w:bottom w:val="single" w:sz="4" w:space="0" w:color="auto"/>
              <w:right w:val="nil"/>
            </w:tcBorders>
            <w:shd w:val="clear" w:color="auto" w:fill="auto"/>
            <w:noWrap/>
            <w:vAlign w:val="center"/>
            <w:hideMark/>
          </w:tcPr>
          <w:p w14:paraId="57A35FF5" w14:textId="77777777" w:rsidR="00445CD2" w:rsidRDefault="00445CD2" w:rsidP="002327F0">
            <w:pPr>
              <w:spacing w:after="0" w:line="240" w:lineRule="auto"/>
              <w:jc w:val="center"/>
              <w:rPr>
                <w:rFonts w:eastAsia="Times New Roman" w:cs="Times New Roman"/>
              </w:rPr>
            </w:pPr>
            <w:r w:rsidRPr="008525E0">
              <w:rPr>
                <w:rFonts w:eastAsia="Times New Roman" w:cs="Times New Roman"/>
              </w:rPr>
              <w:t xml:space="preserve">NSC </w:t>
            </w:r>
            <w:r>
              <w:rPr>
                <w:rFonts w:eastAsia="Times New Roman" w:cs="Times New Roman"/>
              </w:rPr>
              <w:t>&amp; NSLDS</w:t>
            </w:r>
          </w:p>
          <w:p w14:paraId="31A52467" w14:textId="77777777" w:rsidR="00445CD2" w:rsidRPr="008525E0" w:rsidRDefault="00445CD2" w:rsidP="002327F0">
            <w:pPr>
              <w:spacing w:after="0" w:line="240" w:lineRule="auto"/>
              <w:jc w:val="center"/>
              <w:rPr>
                <w:rFonts w:eastAsia="Times New Roman" w:cs="Times New Roman"/>
              </w:rPr>
            </w:pPr>
            <w:r>
              <w:rPr>
                <w:rFonts w:eastAsia="Times New Roman" w:cs="Times New Roman"/>
              </w:rPr>
              <w:t>pooled completions/2-digit CIP codes</w:t>
            </w:r>
          </w:p>
        </w:tc>
        <w:tc>
          <w:tcPr>
            <w:tcW w:w="144" w:type="pct"/>
            <w:tcBorders>
              <w:top w:val="single" w:sz="4" w:space="0" w:color="auto"/>
              <w:left w:val="nil"/>
              <w:bottom w:val="nil"/>
              <w:right w:val="nil"/>
            </w:tcBorders>
            <w:shd w:val="clear" w:color="auto" w:fill="auto"/>
            <w:noWrap/>
            <w:vAlign w:val="center"/>
            <w:hideMark/>
          </w:tcPr>
          <w:p w14:paraId="27725A90" w14:textId="77777777" w:rsidR="00445CD2" w:rsidRPr="008525E0" w:rsidRDefault="00445CD2" w:rsidP="002327F0">
            <w:pPr>
              <w:spacing w:after="0" w:line="240" w:lineRule="auto"/>
              <w:jc w:val="center"/>
              <w:rPr>
                <w:rFonts w:eastAsia="Times New Roman" w:cs="Times New Roman"/>
              </w:rPr>
            </w:pPr>
          </w:p>
        </w:tc>
        <w:tc>
          <w:tcPr>
            <w:tcW w:w="1250" w:type="pct"/>
            <w:gridSpan w:val="2"/>
            <w:tcBorders>
              <w:top w:val="single" w:sz="4" w:space="0" w:color="auto"/>
              <w:left w:val="nil"/>
              <w:bottom w:val="single" w:sz="4" w:space="0" w:color="auto"/>
              <w:right w:val="nil"/>
            </w:tcBorders>
            <w:shd w:val="clear" w:color="auto" w:fill="auto"/>
            <w:noWrap/>
            <w:vAlign w:val="center"/>
            <w:hideMark/>
          </w:tcPr>
          <w:p w14:paraId="6909034D" w14:textId="77777777" w:rsidR="00445CD2" w:rsidRPr="008525E0" w:rsidRDefault="00445CD2" w:rsidP="002327F0">
            <w:pPr>
              <w:spacing w:after="0" w:line="240" w:lineRule="auto"/>
              <w:jc w:val="center"/>
              <w:rPr>
                <w:rFonts w:eastAsia="Times New Roman" w:cs="Times New Roman"/>
              </w:rPr>
            </w:pPr>
            <w:r>
              <w:rPr>
                <w:rFonts w:eastAsia="Times New Roman" w:cs="Times New Roman"/>
              </w:rPr>
              <w:t>BPS i</w:t>
            </w:r>
            <w:r w:rsidRPr="008525E0">
              <w:rPr>
                <w:rFonts w:eastAsia="Times New Roman" w:cs="Times New Roman"/>
              </w:rPr>
              <w:t xml:space="preserve">nterview </w:t>
            </w:r>
            <w:r>
              <w:rPr>
                <w:rFonts w:eastAsia="Times New Roman" w:cs="Times New Roman"/>
              </w:rPr>
              <w:t>&amp; NSLDS pooled completions/2-digit CIP codes</w:t>
            </w:r>
          </w:p>
        </w:tc>
        <w:tc>
          <w:tcPr>
            <w:tcW w:w="144" w:type="pct"/>
            <w:tcBorders>
              <w:top w:val="single" w:sz="4" w:space="0" w:color="auto"/>
              <w:left w:val="nil"/>
              <w:right w:val="nil"/>
            </w:tcBorders>
            <w:vAlign w:val="center"/>
          </w:tcPr>
          <w:p w14:paraId="19D09BA2" w14:textId="77777777" w:rsidR="00445CD2" w:rsidRDefault="00445CD2" w:rsidP="002327F0">
            <w:pPr>
              <w:spacing w:after="0" w:line="240" w:lineRule="auto"/>
              <w:jc w:val="center"/>
              <w:rPr>
                <w:rFonts w:eastAsia="Times New Roman" w:cs="Times New Roman"/>
              </w:rPr>
            </w:pPr>
          </w:p>
        </w:tc>
        <w:tc>
          <w:tcPr>
            <w:tcW w:w="1204" w:type="pct"/>
            <w:gridSpan w:val="2"/>
            <w:tcBorders>
              <w:top w:val="single" w:sz="4" w:space="0" w:color="auto"/>
              <w:left w:val="nil"/>
              <w:bottom w:val="single" w:sz="4" w:space="0" w:color="auto"/>
              <w:right w:val="nil"/>
            </w:tcBorders>
            <w:vAlign w:val="center"/>
          </w:tcPr>
          <w:p w14:paraId="72EF5696" w14:textId="77777777" w:rsidR="00445CD2" w:rsidRDefault="00445CD2" w:rsidP="002327F0">
            <w:pPr>
              <w:spacing w:after="0" w:line="240" w:lineRule="auto"/>
              <w:jc w:val="center"/>
              <w:rPr>
                <w:rFonts w:eastAsia="Times New Roman" w:cs="Times New Roman"/>
              </w:rPr>
            </w:pPr>
            <w:r>
              <w:rPr>
                <w:rFonts w:eastAsia="Times New Roman" w:cs="Times New Roman"/>
              </w:rPr>
              <w:t>NSC &amp; BPS interview pooled completions/2-digit CIP codes</w:t>
            </w:r>
          </w:p>
        </w:tc>
      </w:tr>
      <w:tr w:rsidR="00445CD2" w:rsidRPr="008525E0" w14:paraId="0EF9F15A" w14:textId="77777777" w:rsidTr="002327F0">
        <w:trPr>
          <w:trHeight w:val="300"/>
        </w:trPr>
        <w:tc>
          <w:tcPr>
            <w:tcW w:w="1058" w:type="pct"/>
            <w:tcBorders>
              <w:top w:val="nil"/>
              <w:left w:val="nil"/>
              <w:bottom w:val="single" w:sz="4" w:space="0" w:color="auto"/>
              <w:right w:val="nil"/>
            </w:tcBorders>
            <w:shd w:val="clear" w:color="auto" w:fill="auto"/>
            <w:noWrap/>
            <w:vAlign w:val="center"/>
            <w:hideMark/>
          </w:tcPr>
          <w:p w14:paraId="55335A8C" w14:textId="77777777" w:rsidR="00445CD2" w:rsidRPr="008525E0" w:rsidRDefault="00445CD2" w:rsidP="002327F0">
            <w:pPr>
              <w:spacing w:after="0" w:line="240" w:lineRule="auto"/>
              <w:rPr>
                <w:rFonts w:eastAsia="Times New Roman" w:cs="Times New Roman"/>
              </w:rPr>
            </w:pPr>
            <w:r>
              <w:rPr>
                <w:rFonts w:eastAsia="Times New Roman" w:cs="Times New Roman"/>
              </w:rPr>
              <w:t>Academic Year</w:t>
            </w:r>
          </w:p>
        </w:tc>
        <w:tc>
          <w:tcPr>
            <w:tcW w:w="527" w:type="pct"/>
            <w:tcBorders>
              <w:left w:val="nil"/>
              <w:bottom w:val="single" w:sz="4" w:space="0" w:color="auto"/>
              <w:right w:val="nil"/>
            </w:tcBorders>
            <w:shd w:val="clear" w:color="auto" w:fill="auto"/>
            <w:noWrap/>
            <w:vAlign w:val="center"/>
            <w:hideMark/>
          </w:tcPr>
          <w:p w14:paraId="2E259E01" w14:textId="77777777" w:rsidR="00445CD2" w:rsidRPr="008525E0" w:rsidRDefault="00445CD2" w:rsidP="002327F0">
            <w:pPr>
              <w:spacing w:after="0" w:line="240" w:lineRule="auto"/>
              <w:jc w:val="right"/>
              <w:rPr>
                <w:rFonts w:eastAsia="Times New Roman" w:cs="Times New Roman"/>
              </w:rPr>
            </w:pPr>
            <w:r w:rsidRPr="008525E0">
              <w:rPr>
                <w:rFonts w:eastAsia="Times New Roman" w:cs="Times New Roman"/>
              </w:rPr>
              <w:t>Number</w:t>
            </w:r>
          </w:p>
        </w:tc>
        <w:tc>
          <w:tcPr>
            <w:tcW w:w="673" w:type="pct"/>
            <w:tcBorders>
              <w:left w:val="nil"/>
              <w:bottom w:val="single" w:sz="4" w:space="0" w:color="auto"/>
              <w:right w:val="nil"/>
            </w:tcBorders>
            <w:shd w:val="clear" w:color="auto" w:fill="auto"/>
            <w:noWrap/>
            <w:vAlign w:val="center"/>
            <w:hideMark/>
          </w:tcPr>
          <w:p w14:paraId="742B4A7A" w14:textId="77777777" w:rsidR="00445CD2" w:rsidRPr="008525E0" w:rsidRDefault="00445CD2" w:rsidP="002327F0">
            <w:pPr>
              <w:spacing w:after="0" w:line="240" w:lineRule="auto"/>
              <w:jc w:val="right"/>
              <w:rPr>
                <w:rFonts w:eastAsia="Times New Roman" w:cs="Times New Roman"/>
              </w:rPr>
            </w:pPr>
            <w:r w:rsidRPr="008525E0">
              <w:rPr>
                <w:rFonts w:eastAsia="Times New Roman" w:cs="Times New Roman"/>
              </w:rPr>
              <w:t>Percent</w:t>
            </w:r>
            <w:r>
              <w:rPr>
                <w:rFonts w:eastAsia="Times New Roman" w:cs="Times New Roman"/>
              </w:rPr>
              <w:t xml:space="preserve"> Matched</w:t>
            </w:r>
          </w:p>
        </w:tc>
        <w:tc>
          <w:tcPr>
            <w:tcW w:w="144" w:type="pct"/>
            <w:tcBorders>
              <w:left w:val="nil"/>
              <w:bottom w:val="single" w:sz="4" w:space="0" w:color="auto"/>
              <w:right w:val="nil"/>
            </w:tcBorders>
            <w:shd w:val="clear" w:color="auto" w:fill="auto"/>
            <w:noWrap/>
            <w:vAlign w:val="center"/>
            <w:hideMark/>
          </w:tcPr>
          <w:p w14:paraId="3BD51A6A" w14:textId="77777777" w:rsidR="00445CD2" w:rsidRPr="008525E0" w:rsidRDefault="00445CD2" w:rsidP="002327F0">
            <w:pPr>
              <w:spacing w:after="0" w:line="240" w:lineRule="auto"/>
              <w:jc w:val="right"/>
              <w:rPr>
                <w:rFonts w:eastAsia="Times New Roman" w:cs="Times New Roman"/>
              </w:rPr>
            </w:pPr>
          </w:p>
        </w:tc>
        <w:tc>
          <w:tcPr>
            <w:tcW w:w="577" w:type="pct"/>
            <w:tcBorders>
              <w:left w:val="nil"/>
              <w:bottom w:val="single" w:sz="4" w:space="0" w:color="auto"/>
              <w:right w:val="nil"/>
            </w:tcBorders>
            <w:shd w:val="clear" w:color="auto" w:fill="auto"/>
            <w:noWrap/>
            <w:vAlign w:val="center"/>
            <w:hideMark/>
          </w:tcPr>
          <w:p w14:paraId="79632427" w14:textId="77777777" w:rsidR="00445CD2" w:rsidRPr="008525E0" w:rsidRDefault="00445CD2" w:rsidP="002327F0">
            <w:pPr>
              <w:spacing w:after="0" w:line="240" w:lineRule="auto"/>
              <w:jc w:val="right"/>
              <w:rPr>
                <w:rFonts w:eastAsia="Times New Roman" w:cs="Times New Roman"/>
              </w:rPr>
            </w:pPr>
            <w:r w:rsidRPr="008525E0">
              <w:rPr>
                <w:rFonts w:eastAsia="Times New Roman" w:cs="Times New Roman"/>
              </w:rPr>
              <w:t>Number</w:t>
            </w:r>
          </w:p>
        </w:tc>
        <w:tc>
          <w:tcPr>
            <w:tcW w:w="673" w:type="pct"/>
            <w:tcBorders>
              <w:left w:val="nil"/>
              <w:bottom w:val="single" w:sz="4" w:space="0" w:color="auto"/>
              <w:right w:val="nil"/>
            </w:tcBorders>
            <w:shd w:val="clear" w:color="auto" w:fill="auto"/>
            <w:noWrap/>
            <w:vAlign w:val="center"/>
            <w:hideMark/>
          </w:tcPr>
          <w:p w14:paraId="6B6EEF97" w14:textId="77777777" w:rsidR="00445CD2" w:rsidRDefault="00445CD2" w:rsidP="002327F0">
            <w:pPr>
              <w:spacing w:after="0" w:line="240" w:lineRule="auto"/>
              <w:jc w:val="right"/>
              <w:rPr>
                <w:rFonts w:eastAsia="Times New Roman" w:cs="Times New Roman"/>
              </w:rPr>
            </w:pPr>
            <w:r w:rsidRPr="008525E0">
              <w:rPr>
                <w:rFonts w:eastAsia="Times New Roman" w:cs="Times New Roman"/>
              </w:rPr>
              <w:t>Percent</w:t>
            </w:r>
          </w:p>
          <w:p w14:paraId="19EA64C6" w14:textId="77777777" w:rsidR="00445CD2" w:rsidRPr="008525E0" w:rsidRDefault="00445CD2" w:rsidP="002327F0">
            <w:pPr>
              <w:spacing w:after="0" w:line="240" w:lineRule="auto"/>
              <w:jc w:val="right"/>
              <w:rPr>
                <w:rFonts w:eastAsia="Times New Roman" w:cs="Times New Roman"/>
              </w:rPr>
            </w:pPr>
            <w:r>
              <w:rPr>
                <w:rFonts w:eastAsia="Times New Roman" w:cs="Times New Roman"/>
              </w:rPr>
              <w:t>Matched</w:t>
            </w:r>
          </w:p>
        </w:tc>
        <w:tc>
          <w:tcPr>
            <w:tcW w:w="144" w:type="pct"/>
            <w:tcBorders>
              <w:left w:val="nil"/>
              <w:bottom w:val="single" w:sz="4" w:space="0" w:color="auto"/>
              <w:right w:val="nil"/>
            </w:tcBorders>
            <w:vAlign w:val="center"/>
          </w:tcPr>
          <w:p w14:paraId="5028CF94" w14:textId="77777777" w:rsidR="00445CD2" w:rsidRPr="008525E0" w:rsidRDefault="00445CD2" w:rsidP="002327F0">
            <w:pPr>
              <w:spacing w:after="0" w:line="240" w:lineRule="auto"/>
              <w:jc w:val="right"/>
              <w:rPr>
                <w:rFonts w:eastAsia="Times New Roman" w:cs="Times New Roman"/>
              </w:rPr>
            </w:pPr>
          </w:p>
        </w:tc>
        <w:tc>
          <w:tcPr>
            <w:tcW w:w="579" w:type="pct"/>
            <w:tcBorders>
              <w:top w:val="single" w:sz="4" w:space="0" w:color="auto"/>
              <w:left w:val="nil"/>
              <w:bottom w:val="single" w:sz="4" w:space="0" w:color="auto"/>
              <w:right w:val="nil"/>
            </w:tcBorders>
            <w:vAlign w:val="center"/>
          </w:tcPr>
          <w:p w14:paraId="48B03DD4" w14:textId="77777777" w:rsidR="00445CD2" w:rsidRPr="008525E0" w:rsidRDefault="00445CD2" w:rsidP="002327F0">
            <w:pPr>
              <w:spacing w:after="0" w:line="240" w:lineRule="auto"/>
              <w:jc w:val="right"/>
              <w:rPr>
                <w:rFonts w:eastAsia="Times New Roman" w:cs="Times New Roman"/>
              </w:rPr>
            </w:pPr>
            <w:r>
              <w:rPr>
                <w:rFonts w:eastAsia="Times New Roman" w:cs="Times New Roman"/>
              </w:rPr>
              <w:t>Number</w:t>
            </w:r>
          </w:p>
        </w:tc>
        <w:tc>
          <w:tcPr>
            <w:tcW w:w="625" w:type="pct"/>
            <w:tcBorders>
              <w:top w:val="single" w:sz="4" w:space="0" w:color="auto"/>
              <w:left w:val="nil"/>
              <w:bottom w:val="single" w:sz="4" w:space="0" w:color="auto"/>
              <w:right w:val="nil"/>
            </w:tcBorders>
            <w:vAlign w:val="center"/>
          </w:tcPr>
          <w:p w14:paraId="2C40B86C" w14:textId="77777777" w:rsidR="00445CD2" w:rsidRDefault="00445CD2" w:rsidP="002327F0">
            <w:pPr>
              <w:spacing w:after="0" w:line="240" w:lineRule="auto"/>
              <w:jc w:val="right"/>
              <w:rPr>
                <w:rFonts w:eastAsia="Times New Roman" w:cs="Times New Roman"/>
              </w:rPr>
            </w:pPr>
            <w:r>
              <w:rPr>
                <w:rFonts w:eastAsia="Times New Roman" w:cs="Times New Roman"/>
              </w:rPr>
              <w:t>Percent</w:t>
            </w:r>
          </w:p>
          <w:p w14:paraId="49EFC8DF" w14:textId="77777777" w:rsidR="00445CD2" w:rsidRPr="008525E0" w:rsidRDefault="00445CD2" w:rsidP="002327F0">
            <w:pPr>
              <w:spacing w:after="0" w:line="240" w:lineRule="auto"/>
              <w:jc w:val="right"/>
              <w:rPr>
                <w:rFonts w:eastAsia="Times New Roman" w:cs="Times New Roman"/>
              </w:rPr>
            </w:pPr>
            <w:r>
              <w:rPr>
                <w:rFonts w:eastAsia="Times New Roman" w:cs="Times New Roman"/>
              </w:rPr>
              <w:t>Matched</w:t>
            </w:r>
          </w:p>
        </w:tc>
      </w:tr>
      <w:tr w:rsidR="00445CD2" w:rsidRPr="008525E0" w14:paraId="71B2E95B" w14:textId="77777777" w:rsidTr="002327F0">
        <w:trPr>
          <w:trHeight w:val="300"/>
        </w:trPr>
        <w:tc>
          <w:tcPr>
            <w:tcW w:w="1058" w:type="pct"/>
            <w:tcBorders>
              <w:top w:val="single" w:sz="4" w:space="0" w:color="auto"/>
              <w:left w:val="nil"/>
              <w:right w:val="nil"/>
            </w:tcBorders>
            <w:shd w:val="clear" w:color="auto" w:fill="auto"/>
            <w:noWrap/>
            <w:vAlign w:val="center"/>
          </w:tcPr>
          <w:p w14:paraId="25ACB11C" w14:textId="77777777" w:rsidR="00445CD2" w:rsidRDefault="00445CD2" w:rsidP="002327F0">
            <w:pPr>
              <w:spacing w:after="0" w:line="240" w:lineRule="auto"/>
              <w:rPr>
                <w:rFonts w:eastAsia="Times New Roman" w:cs="Times New Roman"/>
              </w:rPr>
            </w:pPr>
            <w:r>
              <w:rPr>
                <w:rFonts w:eastAsia="Times New Roman" w:cs="Times New Roman"/>
                <w:b/>
                <w:color w:val="000000"/>
              </w:rPr>
              <w:t>Overall</w:t>
            </w:r>
          </w:p>
        </w:tc>
        <w:tc>
          <w:tcPr>
            <w:tcW w:w="527" w:type="pct"/>
            <w:tcBorders>
              <w:top w:val="single" w:sz="4" w:space="0" w:color="auto"/>
              <w:left w:val="nil"/>
              <w:right w:val="nil"/>
            </w:tcBorders>
            <w:shd w:val="clear" w:color="auto" w:fill="auto"/>
            <w:noWrap/>
            <w:vAlign w:val="center"/>
          </w:tcPr>
          <w:p w14:paraId="6D13477A" w14:textId="77777777" w:rsidR="00445CD2" w:rsidRPr="008525E0" w:rsidRDefault="00445CD2" w:rsidP="002327F0">
            <w:pPr>
              <w:spacing w:after="0" w:line="240" w:lineRule="auto"/>
              <w:jc w:val="right"/>
              <w:rPr>
                <w:rFonts w:eastAsia="Times New Roman" w:cs="Times New Roman"/>
              </w:rPr>
            </w:pPr>
          </w:p>
        </w:tc>
        <w:tc>
          <w:tcPr>
            <w:tcW w:w="673" w:type="pct"/>
            <w:tcBorders>
              <w:top w:val="single" w:sz="4" w:space="0" w:color="auto"/>
              <w:left w:val="nil"/>
              <w:right w:val="nil"/>
            </w:tcBorders>
            <w:shd w:val="clear" w:color="auto" w:fill="auto"/>
            <w:noWrap/>
            <w:vAlign w:val="center"/>
          </w:tcPr>
          <w:p w14:paraId="17A9F807" w14:textId="77777777" w:rsidR="00445CD2" w:rsidRPr="008525E0" w:rsidRDefault="00445CD2" w:rsidP="002327F0">
            <w:pPr>
              <w:spacing w:after="0" w:line="240" w:lineRule="auto"/>
              <w:jc w:val="right"/>
              <w:rPr>
                <w:rFonts w:eastAsia="Times New Roman" w:cs="Times New Roman"/>
              </w:rPr>
            </w:pPr>
          </w:p>
        </w:tc>
        <w:tc>
          <w:tcPr>
            <w:tcW w:w="144" w:type="pct"/>
            <w:tcBorders>
              <w:top w:val="single" w:sz="4" w:space="0" w:color="auto"/>
              <w:left w:val="nil"/>
              <w:right w:val="nil"/>
            </w:tcBorders>
            <w:shd w:val="clear" w:color="auto" w:fill="auto"/>
            <w:noWrap/>
            <w:vAlign w:val="center"/>
          </w:tcPr>
          <w:p w14:paraId="6E9CDCD0" w14:textId="77777777" w:rsidR="00445CD2" w:rsidRPr="008525E0" w:rsidRDefault="00445CD2" w:rsidP="002327F0">
            <w:pPr>
              <w:spacing w:after="0" w:line="240" w:lineRule="auto"/>
              <w:jc w:val="right"/>
              <w:rPr>
                <w:rFonts w:eastAsia="Times New Roman" w:cs="Times New Roman"/>
              </w:rPr>
            </w:pPr>
          </w:p>
        </w:tc>
        <w:tc>
          <w:tcPr>
            <w:tcW w:w="577" w:type="pct"/>
            <w:tcBorders>
              <w:top w:val="single" w:sz="4" w:space="0" w:color="auto"/>
              <w:left w:val="nil"/>
              <w:right w:val="nil"/>
            </w:tcBorders>
            <w:shd w:val="clear" w:color="auto" w:fill="auto"/>
            <w:noWrap/>
            <w:vAlign w:val="center"/>
          </w:tcPr>
          <w:p w14:paraId="12D00137" w14:textId="77777777" w:rsidR="00445CD2" w:rsidRPr="008525E0" w:rsidRDefault="00445CD2" w:rsidP="002327F0">
            <w:pPr>
              <w:spacing w:after="0" w:line="240" w:lineRule="auto"/>
              <w:jc w:val="right"/>
              <w:rPr>
                <w:rFonts w:eastAsia="Times New Roman" w:cs="Times New Roman"/>
              </w:rPr>
            </w:pPr>
          </w:p>
        </w:tc>
        <w:tc>
          <w:tcPr>
            <w:tcW w:w="673" w:type="pct"/>
            <w:tcBorders>
              <w:top w:val="single" w:sz="4" w:space="0" w:color="auto"/>
              <w:left w:val="nil"/>
              <w:right w:val="nil"/>
            </w:tcBorders>
            <w:shd w:val="clear" w:color="auto" w:fill="auto"/>
            <w:noWrap/>
            <w:vAlign w:val="center"/>
          </w:tcPr>
          <w:p w14:paraId="50CB52F4" w14:textId="77777777" w:rsidR="00445CD2" w:rsidRPr="008525E0" w:rsidRDefault="00445CD2" w:rsidP="002327F0">
            <w:pPr>
              <w:spacing w:after="0" w:line="240" w:lineRule="auto"/>
              <w:jc w:val="right"/>
              <w:rPr>
                <w:rFonts w:eastAsia="Times New Roman" w:cs="Times New Roman"/>
              </w:rPr>
            </w:pPr>
          </w:p>
        </w:tc>
        <w:tc>
          <w:tcPr>
            <w:tcW w:w="144" w:type="pct"/>
            <w:tcBorders>
              <w:top w:val="single" w:sz="4" w:space="0" w:color="auto"/>
              <w:left w:val="nil"/>
              <w:right w:val="nil"/>
            </w:tcBorders>
            <w:vAlign w:val="center"/>
          </w:tcPr>
          <w:p w14:paraId="233A286B" w14:textId="77777777" w:rsidR="00445CD2" w:rsidRPr="008525E0" w:rsidRDefault="00445CD2" w:rsidP="002327F0">
            <w:pPr>
              <w:spacing w:after="0" w:line="240" w:lineRule="auto"/>
              <w:jc w:val="right"/>
              <w:rPr>
                <w:rFonts w:eastAsia="Times New Roman" w:cs="Times New Roman"/>
              </w:rPr>
            </w:pPr>
          </w:p>
        </w:tc>
        <w:tc>
          <w:tcPr>
            <w:tcW w:w="579" w:type="pct"/>
            <w:tcBorders>
              <w:top w:val="single" w:sz="4" w:space="0" w:color="auto"/>
              <w:left w:val="nil"/>
              <w:right w:val="nil"/>
            </w:tcBorders>
            <w:vAlign w:val="center"/>
          </w:tcPr>
          <w:p w14:paraId="092D592E" w14:textId="77777777" w:rsidR="00445CD2" w:rsidRDefault="00445CD2" w:rsidP="002327F0">
            <w:pPr>
              <w:spacing w:after="0" w:line="240" w:lineRule="auto"/>
              <w:jc w:val="right"/>
              <w:rPr>
                <w:rFonts w:eastAsia="Times New Roman" w:cs="Times New Roman"/>
              </w:rPr>
            </w:pPr>
          </w:p>
        </w:tc>
        <w:tc>
          <w:tcPr>
            <w:tcW w:w="625" w:type="pct"/>
            <w:tcBorders>
              <w:top w:val="single" w:sz="4" w:space="0" w:color="auto"/>
              <w:left w:val="nil"/>
              <w:right w:val="nil"/>
            </w:tcBorders>
            <w:vAlign w:val="center"/>
          </w:tcPr>
          <w:p w14:paraId="2BC2F80E" w14:textId="77777777" w:rsidR="00445CD2" w:rsidRDefault="00445CD2" w:rsidP="002327F0">
            <w:pPr>
              <w:spacing w:after="0" w:line="240" w:lineRule="auto"/>
              <w:jc w:val="right"/>
              <w:rPr>
                <w:rFonts w:eastAsia="Times New Roman" w:cs="Times New Roman"/>
              </w:rPr>
            </w:pPr>
          </w:p>
        </w:tc>
      </w:tr>
      <w:tr w:rsidR="00445CD2" w:rsidRPr="008525E0" w14:paraId="2A5DDCB4" w14:textId="77777777" w:rsidTr="002327F0">
        <w:trPr>
          <w:trHeight w:val="300"/>
        </w:trPr>
        <w:tc>
          <w:tcPr>
            <w:tcW w:w="1058" w:type="pct"/>
            <w:tcBorders>
              <w:top w:val="nil"/>
              <w:left w:val="nil"/>
              <w:bottom w:val="nil"/>
              <w:right w:val="nil"/>
            </w:tcBorders>
            <w:shd w:val="clear" w:color="auto" w:fill="auto"/>
            <w:noWrap/>
            <w:vAlign w:val="center"/>
          </w:tcPr>
          <w:p w14:paraId="77AF31B4"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2014-15</w:t>
            </w:r>
          </w:p>
        </w:tc>
        <w:tc>
          <w:tcPr>
            <w:tcW w:w="527" w:type="pct"/>
            <w:tcBorders>
              <w:top w:val="nil"/>
              <w:left w:val="nil"/>
              <w:bottom w:val="nil"/>
              <w:right w:val="nil"/>
            </w:tcBorders>
            <w:shd w:val="clear" w:color="auto" w:fill="auto"/>
            <w:noWrap/>
            <w:vAlign w:val="center"/>
          </w:tcPr>
          <w:p w14:paraId="1712CB17" w14:textId="77777777" w:rsidR="00445CD2" w:rsidRDefault="00445CD2" w:rsidP="002327F0">
            <w:pPr>
              <w:spacing w:after="0" w:line="240" w:lineRule="auto"/>
              <w:jc w:val="right"/>
              <w:rPr>
                <w:rFonts w:eastAsia="Times New Roman" w:cs="Times New Roman"/>
                <w:color w:val="000000"/>
              </w:rPr>
            </w:pPr>
            <w:r w:rsidRPr="007C3A52">
              <w:t xml:space="preserve"> 3,270 </w:t>
            </w:r>
          </w:p>
        </w:tc>
        <w:tc>
          <w:tcPr>
            <w:tcW w:w="673" w:type="pct"/>
            <w:tcBorders>
              <w:top w:val="nil"/>
              <w:left w:val="nil"/>
              <w:bottom w:val="nil"/>
              <w:right w:val="nil"/>
            </w:tcBorders>
            <w:shd w:val="clear" w:color="auto" w:fill="auto"/>
            <w:noWrap/>
            <w:vAlign w:val="center"/>
          </w:tcPr>
          <w:p w14:paraId="4705FF35" w14:textId="77777777" w:rsidR="00445CD2" w:rsidRDefault="00445CD2" w:rsidP="002327F0">
            <w:pPr>
              <w:spacing w:after="0" w:line="240" w:lineRule="auto"/>
              <w:jc w:val="right"/>
              <w:rPr>
                <w:rFonts w:eastAsia="Times New Roman" w:cs="Times New Roman"/>
                <w:color w:val="000000"/>
              </w:rPr>
            </w:pPr>
            <w:r>
              <w:rPr>
                <w:color w:val="000000"/>
              </w:rPr>
              <w:t>59.9</w:t>
            </w:r>
          </w:p>
        </w:tc>
        <w:tc>
          <w:tcPr>
            <w:tcW w:w="144" w:type="pct"/>
            <w:tcBorders>
              <w:top w:val="nil"/>
              <w:left w:val="nil"/>
              <w:bottom w:val="nil"/>
              <w:right w:val="nil"/>
            </w:tcBorders>
            <w:shd w:val="clear" w:color="auto" w:fill="auto"/>
            <w:noWrap/>
            <w:vAlign w:val="center"/>
          </w:tcPr>
          <w:p w14:paraId="4C1C6387"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7823129F" w14:textId="77777777" w:rsidR="00445CD2" w:rsidRDefault="00445CD2" w:rsidP="002327F0">
            <w:pPr>
              <w:spacing w:after="0" w:line="240" w:lineRule="auto"/>
              <w:jc w:val="right"/>
              <w:rPr>
                <w:rFonts w:eastAsia="Times New Roman" w:cs="Times New Roman"/>
                <w:color w:val="000000"/>
              </w:rPr>
            </w:pPr>
            <w:r>
              <w:rPr>
                <w:color w:val="000000"/>
              </w:rPr>
              <w:t xml:space="preserve">      3,370 </w:t>
            </w:r>
          </w:p>
        </w:tc>
        <w:tc>
          <w:tcPr>
            <w:tcW w:w="673" w:type="pct"/>
            <w:tcBorders>
              <w:top w:val="nil"/>
              <w:left w:val="nil"/>
              <w:bottom w:val="nil"/>
              <w:right w:val="nil"/>
            </w:tcBorders>
            <w:shd w:val="clear" w:color="auto" w:fill="auto"/>
            <w:noWrap/>
            <w:vAlign w:val="center"/>
          </w:tcPr>
          <w:p w14:paraId="748E6322" w14:textId="77777777" w:rsidR="00445CD2" w:rsidRDefault="00445CD2" w:rsidP="002327F0">
            <w:pPr>
              <w:spacing w:after="0" w:line="240" w:lineRule="auto"/>
              <w:jc w:val="right"/>
              <w:rPr>
                <w:rFonts w:eastAsia="Times New Roman" w:cs="Times New Roman"/>
                <w:color w:val="000000"/>
              </w:rPr>
            </w:pPr>
            <w:r>
              <w:rPr>
                <w:color w:val="000000"/>
              </w:rPr>
              <w:t>18.5</w:t>
            </w:r>
          </w:p>
        </w:tc>
        <w:tc>
          <w:tcPr>
            <w:tcW w:w="144" w:type="pct"/>
            <w:tcBorders>
              <w:top w:val="nil"/>
              <w:left w:val="nil"/>
              <w:bottom w:val="nil"/>
              <w:right w:val="nil"/>
            </w:tcBorders>
            <w:vAlign w:val="center"/>
          </w:tcPr>
          <w:p w14:paraId="157DF57B"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1C3F3957" w14:textId="77777777" w:rsidR="00445CD2" w:rsidRDefault="00445CD2" w:rsidP="002327F0">
            <w:pPr>
              <w:spacing w:after="0" w:line="240" w:lineRule="auto"/>
              <w:jc w:val="right"/>
              <w:rPr>
                <w:rFonts w:eastAsia="Times New Roman" w:cs="Times New Roman"/>
                <w:color w:val="000000"/>
              </w:rPr>
            </w:pPr>
            <w:r>
              <w:rPr>
                <w:color w:val="000000"/>
              </w:rPr>
              <w:t xml:space="preserve">      3,320 </w:t>
            </w:r>
          </w:p>
        </w:tc>
        <w:tc>
          <w:tcPr>
            <w:tcW w:w="625" w:type="pct"/>
            <w:tcBorders>
              <w:left w:val="nil"/>
              <w:right w:val="nil"/>
            </w:tcBorders>
            <w:vAlign w:val="center"/>
          </w:tcPr>
          <w:p w14:paraId="40878749" w14:textId="77777777" w:rsidR="00445CD2" w:rsidRDefault="00445CD2" w:rsidP="002327F0">
            <w:pPr>
              <w:spacing w:after="0" w:line="240" w:lineRule="auto"/>
              <w:jc w:val="right"/>
              <w:rPr>
                <w:rFonts w:eastAsia="Times New Roman" w:cs="Times New Roman"/>
                <w:color w:val="000000"/>
              </w:rPr>
            </w:pPr>
            <w:r>
              <w:rPr>
                <w:color w:val="000000"/>
              </w:rPr>
              <w:t>19.2</w:t>
            </w:r>
          </w:p>
        </w:tc>
      </w:tr>
      <w:tr w:rsidR="00445CD2" w:rsidRPr="008525E0" w14:paraId="14A19857" w14:textId="77777777" w:rsidTr="002327F0">
        <w:trPr>
          <w:trHeight w:val="300"/>
        </w:trPr>
        <w:tc>
          <w:tcPr>
            <w:tcW w:w="1058" w:type="pct"/>
            <w:tcBorders>
              <w:top w:val="nil"/>
              <w:left w:val="nil"/>
              <w:bottom w:val="nil"/>
              <w:right w:val="nil"/>
            </w:tcBorders>
            <w:shd w:val="clear" w:color="auto" w:fill="auto"/>
            <w:noWrap/>
            <w:vAlign w:val="center"/>
          </w:tcPr>
          <w:p w14:paraId="6DE8AF6B"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2015-16</w:t>
            </w:r>
          </w:p>
        </w:tc>
        <w:tc>
          <w:tcPr>
            <w:tcW w:w="527" w:type="pct"/>
            <w:tcBorders>
              <w:top w:val="nil"/>
              <w:left w:val="nil"/>
              <w:bottom w:val="nil"/>
              <w:right w:val="nil"/>
            </w:tcBorders>
            <w:shd w:val="clear" w:color="auto" w:fill="auto"/>
            <w:noWrap/>
            <w:vAlign w:val="center"/>
          </w:tcPr>
          <w:p w14:paraId="129E8765" w14:textId="77777777" w:rsidR="00445CD2" w:rsidRDefault="00445CD2" w:rsidP="002327F0">
            <w:pPr>
              <w:spacing w:after="0" w:line="240" w:lineRule="auto"/>
              <w:jc w:val="right"/>
              <w:rPr>
                <w:rFonts w:eastAsia="Times New Roman" w:cs="Times New Roman"/>
                <w:color w:val="000000"/>
              </w:rPr>
            </w:pPr>
            <w:r w:rsidRPr="007C3A52">
              <w:t xml:space="preserve"> 2,410 </w:t>
            </w:r>
          </w:p>
        </w:tc>
        <w:tc>
          <w:tcPr>
            <w:tcW w:w="673" w:type="pct"/>
            <w:tcBorders>
              <w:top w:val="nil"/>
              <w:left w:val="nil"/>
              <w:bottom w:val="nil"/>
              <w:right w:val="nil"/>
            </w:tcBorders>
            <w:shd w:val="clear" w:color="auto" w:fill="auto"/>
            <w:noWrap/>
            <w:vAlign w:val="center"/>
          </w:tcPr>
          <w:p w14:paraId="66BCFA57" w14:textId="77777777" w:rsidR="00445CD2" w:rsidRDefault="00445CD2" w:rsidP="002327F0">
            <w:pPr>
              <w:spacing w:after="0" w:line="240" w:lineRule="auto"/>
              <w:jc w:val="right"/>
              <w:rPr>
                <w:rFonts w:eastAsia="Times New Roman" w:cs="Times New Roman"/>
                <w:color w:val="000000"/>
              </w:rPr>
            </w:pPr>
            <w:r>
              <w:rPr>
                <w:color w:val="000000"/>
              </w:rPr>
              <w:t>55.1</w:t>
            </w:r>
          </w:p>
        </w:tc>
        <w:tc>
          <w:tcPr>
            <w:tcW w:w="144" w:type="pct"/>
            <w:tcBorders>
              <w:top w:val="nil"/>
              <w:left w:val="nil"/>
              <w:bottom w:val="nil"/>
              <w:right w:val="nil"/>
            </w:tcBorders>
            <w:shd w:val="clear" w:color="auto" w:fill="auto"/>
            <w:noWrap/>
            <w:vAlign w:val="center"/>
          </w:tcPr>
          <w:p w14:paraId="7ADCD4D6"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04DE11E7" w14:textId="77777777" w:rsidR="00445CD2" w:rsidRDefault="00445CD2" w:rsidP="002327F0">
            <w:pPr>
              <w:spacing w:after="0" w:line="240" w:lineRule="auto"/>
              <w:jc w:val="right"/>
              <w:rPr>
                <w:rFonts w:eastAsia="Times New Roman" w:cs="Times New Roman"/>
                <w:color w:val="000000"/>
              </w:rPr>
            </w:pPr>
            <w:r>
              <w:rPr>
                <w:color w:val="000000"/>
              </w:rPr>
              <w:t xml:space="preserve">      2,470 </w:t>
            </w:r>
          </w:p>
        </w:tc>
        <w:tc>
          <w:tcPr>
            <w:tcW w:w="673" w:type="pct"/>
            <w:tcBorders>
              <w:top w:val="nil"/>
              <w:left w:val="nil"/>
              <w:bottom w:val="nil"/>
              <w:right w:val="nil"/>
            </w:tcBorders>
            <w:shd w:val="clear" w:color="auto" w:fill="auto"/>
            <w:noWrap/>
            <w:vAlign w:val="center"/>
          </w:tcPr>
          <w:p w14:paraId="56617DA5" w14:textId="77777777" w:rsidR="00445CD2" w:rsidRDefault="00445CD2" w:rsidP="002327F0">
            <w:pPr>
              <w:spacing w:after="0" w:line="240" w:lineRule="auto"/>
              <w:jc w:val="right"/>
              <w:rPr>
                <w:rFonts w:eastAsia="Times New Roman" w:cs="Times New Roman"/>
                <w:color w:val="000000"/>
              </w:rPr>
            </w:pPr>
            <w:r>
              <w:rPr>
                <w:color w:val="000000"/>
              </w:rPr>
              <w:t>26.5</w:t>
            </w:r>
          </w:p>
        </w:tc>
        <w:tc>
          <w:tcPr>
            <w:tcW w:w="144" w:type="pct"/>
            <w:tcBorders>
              <w:top w:val="nil"/>
              <w:left w:val="nil"/>
              <w:bottom w:val="nil"/>
              <w:right w:val="nil"/>
            </w:tcBorders>
            <w:vAlign w:val="center"/>
          </w:tcPr>
          <w:p w14:paraId="751DFBA7"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1A4C3845" w14:textId="77777777" w:rsidR="00445CD2" w:rsidRDefault="00445CD2" w:rsidP="002327F0">
            <w:pPr>
              <w:spacing w:after="0" w:line="240" w:lineRule="auto"/>
              <w:jc w:val="right"/>
              <w:rPr>
                <w:rFonts w:eastAsia="Times New Roman" w:cs="Times New Roman"/>
                <w:color w:val="000000"/>
              </w:rPr>
            </w:pPr>
            <w:r>
              <w:rPr>
                <w:color w:val="000000"/>
              </w:rPr>
              <w:t xml:space="preserve">      2,330 </w:t>
            </w:r>
          </w:p>
        </w:tc>
        <w:tc>
          <w:tcPr>
            <w:tcW w:w="625" w:type="pct"/>
            <w:tcBorders>
              <w:left w:val="nil"/>
              <w:right w:val="nil"/>
            </w:tcBorders>
            <w:vAlign w:val="center"/>
          </w:tcPr>
          <w:p w14:paraId="7917799E" w14:textId="77777777" w:rsidR="00445CD2" w:rsidRDefault="00445CD2" w:rsidP="002327F0">
            <w:pPr>
              <w:spacing w:after="0" w:line="240" w:lineRule="auto"/>
              <w:jc w:val="right"/>
              <w:rPr>
                <w:rFonts w:eastAsia="Times New Roman" w:cs="Times New Roman"/>
                <w:color w:val="000000"/>
              </w:rPr>
            </w:pPr>
            <w:r>
              <w:rPr>
                <w:color w:val="000000"/>
              </w:rPr>
              <w:t>26.6</w:t>
            </w:r>
          </w:p>
        </w:tc>
      </w:tr>
      <w:tr w:rsidR="00445CD2" w:rsidRPr="008525E0" w14:paraId="2EF4211D" w14:textId="77777777" w:rsidTr="002327F0">
        <w:trPr>
          <w:trHeight w:val="300"/>
        </w:trPr>
        <w:tc>
          <w:tcPr>
            <w:tcW w:w="1058" w:type="pct"/>
            <w:tcBorders>
              <w:top w:val="nil"/>
              <w:left w:val="nil"/>
              <w:bottom w:val="nil"/>
              <w:right w:val="nil"/>
            </w:tcBorders>
            <w:shd w:val="clear" w:color="auto" w:fill="auto"/>
            <w:noWrap/>
            <w:vAlign w:val="center"/>
          </w:tcPr>
          <w:p w14:paraId="165DF17D"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2016-17</w:t>
            </w:r>
          </w:p>
        </w:tc>
        <w:tc>
          <w:tcPr>
            <w:tcW w:w="527" w:type="pct"/>
            <w:tcBorders>
              <w:top w:val="nil"/>
              <w:left w:val="nil"/>
              <w:bottom w:val="nil"/>
              <w:right w:val="nil"/>
            </w:tcBorders>
            <w:shd w:val="clear" w:color="auto" w:fill="auto"/>
            <w:noWrap/>
            <w:vAlign w:val="center"/>
          </w:tcPr>
          <w:p w14:paraId="2D05FE83" w14:textId="77777777" w:rsidR="00445CD2" w:rsidRDefault="00445CD2" w:rsidP="002327F0">
            <w:pPr>
              <w:spacing w:after="0" w:line="240" w:lineRule="auto"/>
              <w:jc w:val="right"/>
              <w:rPr>
                <w:rFonts w:eastAsia="Times New Roman" w:cs="Times New Roman"/>
                <w:color w:val="000000"/>
              </w:rPr>
            </w:pPr>
            <w:r w:rsidRPr="007C3A52">
              <w:t xml:space="preserve"> 1,160 </w:t>
            </w:r>
          </w:p>
        </w:tc>
        <w:tc>
          <w:tcPr>
            <w:tcW w:w="673" w:type="pct"/>
            <w:tcBorders>
              <w:top w:val="nil"/>
              <w:left w:val="nil"/>
              <w:bottom w:val="nil"/>
              <w:right w:val="nil"/>
            </w:tcBorders>
            <w:shd w:val="clear" w:color="auto" w:fill="auto"/>
            <w:noWrap/>
            <w:vAlign w:val="center"/>
          </w:tcPr>
          <w:p w14:paraId="5A01A09C" w14:textId="77777777" w:rsidR="00445CD2" w:rsidRDefault="00445CD2" w:rsidP="002327F0">
            <w:pPr>
              <w:spacing w:after="0" w:line="240" w:lineRule="auto"/>
              <w:jc w:val="right"/>
              <w:rPr>
                <w:rFonts w:eastAsia="Times New Roman" w:cs="Times New Roman"/>
                <w:color w:val="000000"/>
              </w:rPr>
            </w:pPr>
            <w:r>
              <w:rPr>
                <w:color w:val="000000"/>
              </w:rPr>
              <w:t>56.6</w:t>
            </w:r>
          </w:p>
        </w:tc>
        <w:tc>
          <w:tcPr>
            <w:tcW w:w="144" w:type="pct"/>
            <w:tcBorders>
              <w:top w:val="nil"/>
              <w:left w:val="nil"/>
              <w:bottom w:val="nil"/>
              <w:right w:val="nil"/>
            </w:tcBorders>
            <w:shd w:val="clear" w:color="auto" w:fill="auto"/>
            <w:noWrap/>
            <w:vAlign w:val="center"/>
          </w:tcPr>
          <w:p w14:paraId="0B7B6348"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179C7622" w14:textId="77777777" w:rsidR="00445CD2" w:rsidRDefault="00445CD2" w:rsidP="002327F0">
            <w:pPr>
              <w:spacing w:after="0" w:line="240" w:lineRule="auto"/>
              <w:jc w:val="right"/>
              <w:rPr>
                <w:rFonts w:eastAsia="Times New Roman" w:cs="Times New Roman"/>
                <w:color w:val="000000"/>
              </w:rPr>
            </w:pPr>
            <w:r>
              <w:rPr>
                <w:color w:val="000000"/>
              </w:rPr>
              <w:t xml:space="preserve">      1,210 </w:t>
            </w:r>
          </w:p>
        </w:tc>
        <w:tc>
          <w:tcPr>
            <w:tcW w:w="673" w:type="pct"/>
            <w:tcBorders>
              <w:top w:val="nil"/>
              <w:left w:val="nil"/>
              <w:bottom w:val="nil"/>
              <w:right w:val="nil"/>
            </w:tcBorders>
            <w:shd w:val="clear" w:color="auto" w:fill="auto"/>
            <w:noWrap/>
            <w:vAlign w:val="center"/>
          </w:tcPr>
          <w:p w14:paraId="686CB9EF" w14:textId="77777777" w:rsidR="00445CD2" w:rsidRDefault="00445CD2" w:rsidP="002327F0">
            <w:pPr>
              <w:spacing w:after="0" w:line="240" w:lineRule="auto"/>
              <w:jc w:val="right"/>
              <w:rPr>
                <w:rFonts w:eastAsia="Times New Roman" w:cs="Times New Roman"/>
                <w:color w:val="000000"/>
              </w:rPr>
            </w:pPr>
            <w:r>
              <w:rPr>
                <w:color w:val="000000"/>
              </w:rPr>
              <w:t>22.1</w:t>
            </w:r>
          </w:p>
        </w:tc>
        <w:tc>
          <w:tcPr>
            <w:tcW w:w="144" w:type="pct"/>
            <w:tcBorders>
              <w:top w:val="nil"/>
              <w:left w:val="nil"/>
              <w:bottom w:val="nil"/>
              <w:right w:val="nil"/>
            </w:tcBorders>
            <w:vAlign w:val="center"/>
          </w:tcPr>
          <w:p w14:paraId="2E25FFE2"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02D656D3" w14:textId="77777777" w:rsidR="00445CD2" w:rsidRDefault="00445CD2" w:rsidP="002327F0">
            <w:pPr>
              <w:spacing w:after="0" w:line="240" w:lineRule="auto"/>
              <w:jc w:val="right"/>
              <w:rPr>
                <w:rFonts w:eastAsia="Times New Roman" w:cs="Times New Roman"/>
                <w:color w:val="000000"/>
              </w:rPr>
            </w:pPr>
            <w:r>
              <w:rPr>
                <w:color w:val="000000"/>
              </w:rPr>
              <w:t xml:space="preserve">      1,180 </w:t>
            </w:r>
          </w:p>
        </w:tc>
        <w:tc>
          <w:tcPr>
            <w:tcW w:w="625" w:type="pct"/>
            <w:tcBorders>
              <w:left w:val="nil"/>
              <w:right w:val="nil"/>
            </w:tcBorders>
            <w:vAlign w:val="center"/>
          </w:tcPr>
          <w:p w14:paraId="73CD8855" w14:textId="77777777" w:rsidR="00445CD2" w:rsidRDefault="00445CD2" w:rsidP="002327F0">
            <w:pPr>
              <w:spacing w:after="0" w:line="240" w:lineRule="auto"/>
              <w:jc w:val="right"/>
              <w:rPr>
                <w:rFonts w:eastAsia="Times New Roman" w:cs="Times New Roman"/>
                <w:color w:val="000000"/>
              </w:rPr>
            </w:pPr>
            <w:r>
              <w:rPr>
                <w:color w:val="000000"/>
              </w:rPr>
              <w:t>21.3</w:t>
            </w:r>
          </w:p>
        </w:tc>
      </w:tr>
      <w:tr w:rsidR="00445CD2" w:rsidRPr="008525E0" w14:paraId="72E5BBCA" w14:textId="77777777" w:rsidTr="002327F0">
        <w:trPr>
          <w:trHeight w:val="300"/>
        </w:trPr>
        <w:tc>
          <w:tcPr>
            <w:tcW w:w="1058" w:type="pct"/>
            <w:tcBorders>
              <w:top w:val="nil"/>
              <w:left w:val="nil"/>
              <w:bottom w:val="nil"/>
              <w:right w:val="nil"/>
            </w:tcBorders>
            <w:shd w:val="clear" w:color="auto" w:fill="auto"/>
            <w:noWrap/>
            <w:vAlign w:val="bottom"/>
          </w:tcPr>
          <w:p w14:paraId="66A7263B" w14:textId="77777777" w:rsidR="00445CD2" w:rsidRDefault="00445CD2" w:rsidP="002327F0">
            <w:pPr>
              <w:spacing w:after="0" w:line="240" w:lineRule="auto"/>
              <w:rPr>
                <w:rFonts w:eastAsia="Times New Roman" w:cs="Times New Roman"/>
                <w:color w:val="000000"/>
              </w:rPr>
            </w:pPr>
            <w:r>
              <w:rPr>
                <w:rFonts w:eastAsia="Times New Roman" w:cs="Times New Roman"/>
                <w:b/>
              </w:rPr>
              <w:t>UG</w:t>
            </w:r>
            <w:r>
              <w:rPr>
                <w:rFonts w:ascii="Times New Roman Bold" w:eastAsia="Times New Roman" w:hAnsi="Times New Roman Bold" w:cs="Times New Roman"/>
                <w:b/>
                <w:vertAlign w:val="superscript"/>
              </w:rPr>
              <w:t>2</w:t>
            </w:r>
            <w:r>
              <w:rPr>
                <w:rFonts w:eastAsia="Times New Roman" w:cs="Times New Roman"/>
                <w:b/>
              </w:rPr>
              <w:t xml:space="preserve"> Certificate</w:t>
            </w:r>
          </w:p>
        </w:tc>
        <w:tc>
          <w:tcPr>
            <w:tcW w:w="527" w:type="pct"/>
            <w:tcBorders>
              <w:top w:val="nil"/>
              <w:left w:val="nil"/>
              <w:bottom w:val="nil"/>
              <w:right w:val="nil"/>
            </w:tcBorders>
            <w:shd w:val="clear" w:color="auto" w:fill="auto"/>
            <w:noWrap/>
            <w:vAlign w:val="center"/>
          </w:tcPr>
          <w:p w14:paraId="35729753"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08242897"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shd w:val="clear" w:color="auto" w:fill="auto"/>
            <w:noWrap/>
            <w:vAlign w:val="center"/>
          </w:tcPr>
          <w:p w14:paraId="6E35EFBC"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63AF90F"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3F716E5F"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vAlign w:val="center"/>
          </w:tcPr>
          <w:p w14:paraId="7DA3F5A5"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1613B18E" w14:textId="77777777" w:rsidR="00445CD2" w:rsidRDefault="00445CD2" w:rsidP="002327F0">
            <w:pPr>
              <w:spacing w:after="0" w:line="240" w:lineRule="auto"/>
              <w:jc w:val="right"/>
              <w:rPr>
                <w:rFonts w:eastAsia="Times New Roman" w:cs="Times New Roman"/>
                <w:color w:val="000000"/>
              </w:rPr>
            </w:pPr>
          </w:p>
        </w:tc>
        <w:tc>
          <w:tcPr>
            <w:tcW w:w="625" w:type="pct"/>
            <w:tcBorders>
              <w:left w:val="nil"/>
              <w:right w:val="nil"/>
            </w:tcBorders>
            <w:vAlign w:val="center"/>
          </w:tcPr>
          <w:p w14:paraId="0C8F5CBF" w14:textId="77777777" w:rsidR="00445CD2" w:rsidRDefault="00445CD2" w:rsidP="002327F0">
            <w:pPr>
              <w:spacing w:after="0" w:line="240" w:lineRule="auto"/>
              <w:jc w:val="right"/>
              <w:rPr>
                <w:rFonts w:eastAsia="Times New Roman" w:cs="Times New Roman"/>
                <w:color w:val="000000"/>
              </w:rPr>
            </w:pPr>
          </w:p>
        </w:tc>
      </w:tr>
      <w:tr w:rsidR="00445CD2" w:rsidRPr="008525E0" w14:paraId="7B75ABF2" w14:textId="77777777" w:rsidTr="002327F0">
        <w:trPr>
          <w:trHeight w:val="300"/>
        </w:trPr>
        <w:tc>
          <w:tcPr>
            <w:tcW w:w="1058" w:type="pct"/>
            <w:tcBorders>
              <w:top w:val="nil"/>
              <w:left w:val="nil"/>
              <w:bottom w:val="nil"/>
              <w:right w:val="nil"/>
            </w:tcBorders>
            <w:shd w:val="clear" w:color="auto" w:fill="auto"/>
            <w:noWrap/>
            <w:vAlign w:val="center"/>
          </w:tcPr>
          <w:p w14:paraId="72621B42"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2014-15</w:t>
            </w:r>
          </w:p>
        </w:tc>
        <w:tc>
          <w:tcPr>
            <w:tcW w:w="527" w:type="pct"/>
            <w:tcBorders>
              <w:top w:val="nil"/>
              <w:left w:val="nil"/>
              <w:bottom w:val="nil"/>
              <w:right w:val="nil"/>
            </w:tcBorders>
            <w:shd w:val="clear" w:color="auto" w:fill="auto"/>
            <w:noWrap/>
            <w:vAlign w:val="center"/>
          </w:tcPr>
          <w:p w14:paraId="38BC9BF4" w14:textId="77777777" w:rsidR="00445CD2" w:rsidRDefault="00445CD2" w:rsidP="002327F0">
            <w:pPr>
              <w:spacing w:after="0" w:line="240" w:lineRule="auto"/>
              <w:jc w:val="right"/>
              <w:rPr>
                <w:rFonts w:eastAsia="Times New Roman" w:cs="Times New Roman"/>
                <w:color w:val="000000"/>
              </w:rPr>
            </w:pPr>
            <w:r>
              <w:rPr>
                <w:color w:val="000000"/>
              </w:rPr>
              <w:t xml:space="preserve">        180 </w:t>
            </w:r>
          </w:p>
        </w:tc>
        <w:tc>
          <w:tcPr>
            <w:tcW w:w="673" w:type="pct"/>
            <w:tcBorders>
              <w:top w:val="nil"/>
              <w:left w:val="nil"/>
              <w:bottom w:val="nil"/>
              <w:right w:val="nil"/>
            </w:tcBorders>
            <w:shd w:val="clear" w:color="auto" w:fill="auto"/>
            <w:noWrap/>
            <w:vAlign w:val="center"/>
          </w:tcPr>
          <w:p w14:paraId="36B7A58D" w14:textId="77777777" w:rsidR="00445CD2" w:rsidRDefault="00445CD2" w:rsidP="002327F0">
            <w:pPr>
              <w:spacing w:after="0" w:line="240" w:lineRule="auto"/>
              <w:jc w:val="right"/>
              <w:rPr>
                <w:rFonts w:eastAsia="Times New Roman" w:cs="Times New Roman"/>
                <w:color w:val="000000"/>
              </w:rPr>
            </w:pPr>
            <w:r>
              <w:rPr>
                <w:color w:val="000000"/>
              </w:rPr>
              <w:t>13.6</w:t>
            </w:r>
          </w:p>
        </w:tc>
        <w:tc>
          <w:tcPr>
            <w:tcW w:w="144" w:type="pct"/>
            <w:tcBorders>
              <w:top w:val="nil"/>
              <w:left w:val="nil"/>
              <w:bottom w:val="nil"/>
              <w:right w:val="nil"/>
            </w:tcBorders>
            <w:shd w:val="clear" w:color="auto" w:fill="auto"/>
            <w:noWrap/>
            <w:vAlign w:val="center"/>
          </w:tcPr>
          <w:p w14:paraId="3E56D7C2"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49FF689" w14:textId="77777777" w:rsidR="00445CD2" w:rsidRDefault="00445CD2" w:rsidP="002327F0">
            <w:pPr>
              <w:spacing w:after="0" w:line="240" w:lineRule="auto"/>
              <w:jc w:val="right"/>
              <w:rPr>
                <w:rFonts w:eastAsia="Times New Roman" w:cs="Times New Roman"/>
                <w:color w:val="000000"/>
              </w:rPr>
            </w:pPr>
            <w:r>
              <w:rPr>
                <w:color w:val="000000"/>
              </w:rPr>
              <w:t xml:space="preserve">        220 </w:t>
            </w:r>
          </w:p>
        </w:tc>
        <w:tc>
          <w:tcPr>
            <w:tcW w:w="673" w:type="pct"/>
            <w:tcBorders>
              <w:top w:val="nil"/>
              <w:left w:val="nil"/>
              <w:bottom w:val="nil"/>
              <w:right w:val="nil"/>
            </w:tcBorders>
            <w:shd w:val="clear" w:color="auto" w:fill="auto"/>
            <w:noWrap/>
            <w:vAlign w:val="center"/>
          </w:tcPr>
          <w:p w14:paraId="27C19D12" w14:textId="77777777" w:rsidR="00445CD2" w:rsidRDefault="00445CD2" w:rsidP="002327F0">
            <w:pPr>
              <w:spacing w:after="0" w:line="240" w:lineRule="auto"/>
              <w:jc w:val="right"/>
              <w:rPr>
                <w:rFonts w:eastAsia="Times New Roman" w:cs="Times New Roman"/>
                <w:color w:val="000000"/>
              </w:rPr>
            </w:pPr>
            <w:r>
              <w:rPr>
                <w:color w:val="000000"/>
              </w:rPr>
              <w:t>10.0</w:t>
            </w:r>
          </w:p>
        </w:tc>
        <w:tc>
          <w:tcPr>
            <w:tcW w:w="144" w:type="pct"/>
            <w:tcBorders>
              <w:top w:val="nil"/>
              <w:left w:val="nil"/>
              <w:bottom w:val="nil"/>
              <w:right w:val="nil"/>
            </w:tcBorders>
            <w:vAlign w:val="center"/>
          </w:tcPr>
          <w:p w14:paraId="49B370F6"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04017AC4" w14:textId="77777777" w:rsidR="00445CD2" w:rsidRDefault="00445CD2" w:rsidP="002327F0">
            <w:pPr>
              <w:spacing w:after="0" w:line="240" w:lineRule="auto"/>
              <w:jc w:val="right"/>
              <w:rPr>
                <w:rFonts w:eastAsia="Times New Roman" w:cs="Times New Roman"/>
                <w:color w:val="000000"/>
              </w:rPr>
            </w:pPr>
            <w:r>
              <w:rPr>
                <w:color w:val="000000"/>
              </w:rPr>
              <w:t xml:space="preserve">        230 </w:t>
            </w:r>
          </w:p>
        </w:tc>
        <w:tc>
          <w:tcPr>
            <w:tcW w:w="625" w:type="pct"/>
            <w:tcBorders>
              <w:left w:val="nil"/>
              <w:right w:val="nil"/>
            </w:tcBorders>
            <w:vAlign w:val="center"/>
          </w:tcPr>
          <w:p w14:paraId="47CF6C2C" w14:textId="77777777" w:rsidR="00445CD2" w:rsidRDefault="00445CD2" w:rsidP="002327F0">
            <w:pPr>
              <w:spacing w:after="0" w:line="240" w:lineRule="auto"/>
              <w:jc w:val="right"/>
              <w:rPr>
                <w:rFonts w:eastAsia="Times New Roman" w:cs="Times New Roman"/>
                <w:color w:val="000000"/>
              </w:rPr>
            </w:pPr>
            <w:r>
              <w:rPr>
                <w:color w:val="000000"/>
              </w:rPr>
              <w:t>2.7</w:t>
            </w:r>
          </w:p>
        </w:tc>
      </w:tr>
      <w:tr w:rsidR="00445CD2" w:rsidRPr="008525E0" w14:paraId="543B7830" w14:textId="77777777" w:rsidTr="002327F0">
        <w:trPr>
          <w:trHeight w:val="300"/>
        </w:trPr>
        <w:tc>
          <w:tcPr>
            <w:tcW w:w="1058" w:type="pct"/>
            <w:tcBorders>
              <w:top w:val="nil"/>
              <w:left w:val="nil"/>
              <w:bottom w:val="nil"/>
              <w:right w:val="nil"/>
            </w:tcBorders>
            <w:shd w:val="clear" w:color="auto" w:fill="auto"/>
            <w:noWrap/>
            <w:vAlign w:val="center"/>
          </w:tcPr>
          <w:p w14:paraId="6C526C8E"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2015-16</w:t>
            </w:r>
          </w:p>
        </w:tc>
        <w:tc>
          <w:tcPr>
            <w:tcW w:w="527" w:type="pct"/>
            <w:tcBorders>
              <w:top w:val="nil"/>
              <w:left w:val="nil"/>
              <w:bottom w:val="nil"/>
              <w:right w:val="nil"/>
            </w:tcBorders>
            <w:shd w:val="clear" w:color="auto" w:fill="auto"/>
            <w:noWrap/>
            <w:vAlign w:val="center"/>
          </w:tcPr>
          <w:p w14:paraId="311B775A" w14:textId="77777777" w:rsidR="00445CD2" w:rsidRDefault="00445CD2" w:rsidP="002327F0">
            <w:pPr>
              <w:spacing w:after="0" w:line="240" w:lineRule="auto"/>
              <w:jc w:val="right"/>
              <w:rPr>
                <w:rFonts w:eastAsia="Times New Roman" w:cs="Times New Roman"/>
                <w:color w:val="000000"/>
              </w:rPr>
            </w:pPr>
            <w:r>
              <w:rPr>
                <w:color w:val="000000"/>
              </w:rPr>
              <w:t xml:space="preserve">        150 </w:t>
            </w:r>
          </w:p>
        </w:tc>
        <w:tc>
          <w:tcPr>
            <w:tcW w:w="673" w:type="pct"/>
            <w:tcBorders>
              <w:top w:val="nil"/>
              <w:left w:val="nil"/>
              <w:bottom w:val="nil"/>
              <w:right w:val="nil"/>
            </w:tcBorders>
            <w:shd w:val="clear" w:color="auto" w:fill="auto"/>
            <w:noWrap/>
            <w:vAlign w:val="center"/>
          </w:tcPr>
          <w:p w14:paraId="05BE839A" w14:textId="77777777" w:rsidR="00445CD2" w:rsidRDefault="00445CD2" w:rsidP="002327F0">
            <w:pPr>
              <w:spacing w:after="0" w:line="240" w:lineRule="auto"/>
              <w:jc w:val="right"/>
              <w:rPr>
                <w:rFonts w:eastAsia="Times New Roman" w:cs="Times New Roman"/>
                <w:color w:val="000000"/>
              </w:rPr>
            </w:pPr>
            <w:r>
              <w:rPr>
                <w:color w:val="000000"/>
              </w:rPr>
              <w:t>19.9</w:t>
            </w:r>
          </w:p>
        </w:tc>
        <w:tc>
          <w:tcPr>
            <w:tcW w:w="144" w:type="pct"/>
            <w:tcBorders>
              <w:top w:val="nil"/>
              <w:left w:val="nil"/>
              <w:bottom w:val="nil"/>
              <w:right w:val="nil"/>
            </w:tcBorders>
            <w:shd w:val="clear" w:color="auto" w:fill="auto"/>
            <w:noWrap/>
            <w:vAlign w:val="center"/>
          </w:tcPr>
          <w:p w14:paraId="78CB5E7E"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CF506C7" w14:textId="77777777" w:rsidR="00445CD2" w:rsidRDefault="00445CD2" w:rsidP="002327F0">
            <w:pPr>
              <w:spacing w:after="0" w:line="240" w:lineRule="auto"/>
              <w:jc w:val="right"/>
              <w:rPr>
                <w:rFonts w:eastAsia="Times New Roman" w:cs="Times New Roman"/>
                <w:color w:val="000000"/>
              </w:rPr>
            </w:pPr>
            <w:r>
              <w:rPr>
                <w:color w:val="000000"/>
              </w:rPr>
              <w:t xml:space="preserve">        220 </w:t>
            </w:r>
          </w:p>
        </w:tc>
        <w:tc>
          <w:tcPr>
            <w:tcW w:w="673" w:type="pct"/>
            <w:tcBorders>
              <w:top w:val="nil"/>
              <w:left w:val="nil"/>
              <w:bottom w:val="nil"/>
              <w:right w:val="nil"/>
            </w:tcBorders>
            <w:shd w:val="clear" w:color="auto" w:fill="auto"/>
            <w:noWrap/>
            <w:vAlign w:val="center"/>
          </w:tcPr>
          <w:p w14:paraId="4F11D5A3" w14:textId="77777777" w:rsidR="00445CD2" w:rsidRDefault="00445CD2" w:rsidP="002327F0">
            <w:pPr>
              <w:spacing w:after="0" w:line="240" w:lineRule="auto"/>
              <w:jc w:val="right"/>
              <w:rPr>
                <w:rFonts w:eastAsia="Times New Roman" w:cs="Times New Roman"/>
                <w:color w:val="000000"/>
              </w:rPr>
            </w:pPr>
            <w:r>
              <w:rPr>
                <w:color w:val="000000"/>
              </w:rPr>
              <w:t>12.6</w:t>
            </w:r>
          </w:p>
        </w:tc>
        <w:tc>
          <w:tcPr>
            <w:tcW w:w="144" w:type="pct"/>
            <w:tcBorders>
              <w:top w:val="nil"/>
              <w:left w:val="nil"/>
              <w:bottom w:val="nil"/>
              <w:right w:val="nil"/>
            </w:tcBorders>
            <w:vAlign w:val="center"/>
          </w:tcPr>
          <w:p w14:paraId="7A3DA3C8"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29C11A22" w14:textId="77777777" w:rsidR="00445CD2" w:rsidRDefault="00445CD2" w:rsidP="002327F0">
            <w:pPr>
              <w:spacing w:after="0" w:line="240" w:lineRule="auto"/>
              <w:jc w:val="right"/>
              <w:rPr>
                <w:rFonts w:eastAsia="Times New Roman" w:cs="Times New Roman"/>
                <w:color w:val="000000"/>
              </w:rPr>
            </w:pPr>
            <w:r>
              <w:rPr>
                <w:color w:val="000000"/>
              </w:rPr>
              <w:t xml:space="preserve">        190 </w:t>
            </w:r>
          </w:p>
        </w:tc>
        <w:tc>
          <w:tcPr>
            <w:tcW w:w="625" w:type="pct"/>
            <w:tcBorders>
              <w:left w:val="nil"/>
              <w:right w:val="nil"/>
            </w:tcBorders>
            <w:vAlign w:val="center"/>
          </w:tcPr>
          <w:p w14:paraId="7014422C" w14:textId="77777777" w:rsidR="00445CD2" w:rsidRDefault="00445CD2" w:rsidP="002327F0">
            <w:pPr>
              <w:spacing w:after="0" w:line="240" w:lineRule="auto"/>
              <w:jc w:val="right"/>
              <w:rPr>
                <w:rFonts w:eastAsia="Times New Roman" w:cs="Times New Roman"/>
                <w:color w:val="000000"/>
              </w:rPr>
            </w:pPr>
            <w:r>
              <w:rPr>
                <w:color w:val="000000"/>
              </w:rPr>
              <w:t>6.4</w:t>
            </w:r>
          </w:p>
        </w:tc>
      </w:tr>
      <w:tr w:rsidR="00445CD2" w:rsidRPr="008525E0" w14:paraId="2841E7FC" w14:textId="77777777" w:rsidTr="002327F0">
        <w:trPr>
          <w:trHeight w:val="300"/>
        </w:trPr>
        <w:tc>
          <w:tcPr>
            <w:tcW w:w="1058" w:type="pct"/>
            <w:tcBorders>
              <w:top w:val="nil"/>
              <w:left w:val="nil"/>
              <w:bottom w:val="nil"/>
              <w:right w:val="nil"/>
            </w:tcBorders>
            <w:shd w:val="clear" w:color="auto" w:fill="auto"/>
            <w:noWrap/>
            <w:vAlign w:val="center"/>
          </w:tcPr>
          <w:p w14:paraId="087E99FD"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2016-17</w:t>
            </w:r>
          </w:p>
        </w:tc>
        <w:tc>
          <w:tcPr>
            <w:tcW w:w="527" w:type="pct"/>
            <w:tcBorders>
              <w:top w:val="nil"/>
              <w:left w:val="nil"/>
              <w:bottom w:val="nil"/>
              <w:right w:val="nil"/>
            </w:tcBorders>
            <w:shd w:val="clear" w:color="auto" w:fill="auto"/>
            <w:noWrap/>
            <w:vAlign w:val="center"/>
          </w:tcPr>
          <w:p w14:paraId="7BE63C7F" w14:textId="77777777" w:rsidR="00445CD2" w:rsidRDefault="00445CD2" w:rsidP="002327F0">
            <w:pPr>
              <w:spacing w:after="0" w:line="240" w:lineRule="auto"/>
              <w:jc w:val="right"/>
              <w:rPr>
                <w:rFonts w:eastAsia="Times New Roman" w:cs="Times New Roman"/>
                <w:color w:val="000000"/>
              </w:rPr>
            </w:pPr>
            <w:r>
              <w:rPr>
                <w:color w:val="000000"/>
              </w:rPr>
              <w:t xml:space="preserve">        100 </w:t>
            </w:r>
          </w:p>
        </w:tc>
        <w:tc>
          <w:tcPr>
            <w:tcW w:w="673" w:type="pct"/>
            <w:tcBorders>
              <w:top w:val="nil"/>
              <w:left w:val="nil"/>
              <w:bottom w:val="nil"/>
              <w:right w:val="nil"/>
            </w:tcBorders>
            <w:shd w:val="clear" w:color="auto" w:fill="auto"/>
            <w:noWrap/>
            <w:vAlign w:val="center"/>
          </w:tcPr>
          <w:p w14:paraId="4AABE02D" w14:textId="77777777" w:rsidR="00445CD2" w:rsidRDefault="00445CD2" w:rsidP="002327F0">
            <w:pPr>
              <w:spacing w:after="0" w:line="240" w:lineRule="auto"/>
              <w:jc w:val="right"/>
              <w:rPr>
                <w:rFonts w:eastAsia="Times New Roman" w:cs="Times New Roman"/>
                <w:color w:val="000000"/>
              </w:rPr>
            </w:pPr>
            <w:r>
              <w:rPr>
                <w:color w:val="000000"/>
              </w:rPr>
              <w:t>22.8</w:t>
            </w:r>
          </w:p>
        </w:tc>
        <w:tc>
          <w:tcPr>
            <w:tcW w:w="144" w:type="pct"/>
            <w:tcBorders>
              <w:top w:val="nil"/>
              <w:left w:val="nil"/>
              <w:bottom w:val="nil"/>
              <w:right w:val="nil"/>
            </w:tcBorders>
            <w:shd w:val="clear" w:color="auto" w:fill="auto"/>
            <w:noWrap/>
            <w:vAlign w:val="center"/>
          </w:tcPr>
          <w:p w14:paraId="3EC40AEB"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01E3BAC8" w14:textId="77777777" w:rsidR="00445CD2" w:rsidRDefault="00445CD2" w:rsidP="002327F0">
            <w:pPr>
              <w:spacing w:after="0" w:line="240" w:lineRule="auto"/>
              <w:jc w:val="right"/>
              <w:rPr>
                <w:rFonts w:eastAsia="Times New Roman" w:cs="Times New Roman"/>
                <w:color w:val="000000"/>
              </w:rPr>
            </w:pPr>
            <w:r>
              <w:rPr>
                <w:color w:val="000000"/>
              </w:rPr>
              <w:t xml:space="preserve">        130 </w:t>
            </w:r>
          </w:p>
        </w:tc>
        <w:tc>
          <w:tcPr>
            <w:tcW w:w="673" w:type="pct"/>
            <w:tcBorders>
              <w:top w:val="nil"/>
              <w:left w:val="nil"/>
              <w:bottom w:val="nil"/>
              <w:right w:val="nil"/>
            </w:tcBorders>
            <w:shd w:val="clear" w:color="auto" w:fill="auto"/>
            <w:noWrap/>
            <w:vAlign w:val="center"/>
          </w:tcPr>
          <w:p w14:paraId="1881433B" w14:textId="77777777" w:rsidR="00445CD2" w:rsidRDefault="00445CD2" w:rsidP="002327F0">
            <w:pPr>
              <w:spacing w:after="0" w:line="240" w:lineRule="auto"/>
              <w:jc w:val="right"/>
              <w:rPr>
                <w:rFonts w:eastAsia="Times New Roman" w:cs="Times New Roman"/>
                <w:color w:val="000000"/>
              </w:rPr>
            </w:pPr>
            <w:r>
              <w:rPr>
                <w:color w:val="000000"/>
              </w:rPr>
              <w:t>20.3</w:t>
            </w:r>
          </w:p>
        </w:tc>
        <w:tc>
          <w:tcPr>
            <w:tcW w:w="144" w:type="pct"/>
            <w:tcBorders>
              <w:top w:val="nil"/>
              <w:left w:val="nil"/>
              <w:bottom w:val="nil"/>
              <w:right w:val="nil"/>
            </w:tcBorders>
            <w:vAlign w:val="center"/>
          </w:tcPr>
          <w:p w14:paraId="31FCE73C"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4E3FA723" w14:textId="77777777" w:rsidR="00445CD2" w:rsidRDefault="00445CD2" w:rsidP="002327F0">
            <w:pPr>
              <w:spacing w:after="0" w:line="240" w:lineRule="auto"/>
              <w:jc w:val="right"/>
              <w:rPr>
                <w:rFonts w:eastAsia="Times New Roman" w:cs="Times New Roman"/>
                <w:color w:val="000000"/>
              </w:rPr>
            </w:pPr>
            <w:r>
              <w:rPr>
                <w:color w:val="000000"/>
              </w:rPr>
              <w:t xml:space="preserve">        130 </w:t>
            </w:r>
          </w:p>
        </w:tc>
        <w:tc>
          <w:tcPr>
            <w:tcW w:w="625" w:type="pct"/>
            <w:tcBorders>
              <w:left w:val="nil"/>
              <w:right w:val="nil"/>
            </w:tcBorders>
            <w:vAlign w:val="center"/>
          </w:tcPr>
          <w:p w14:paraId="7AFBC859" w14:textId="77777777" w:rsidR="00445CD2" w:rsidRDefault="00445CD2" w:rsidP="002327F0">
            <w:pPr>
              <w:spacing w:after="0" w:line="240" w:lineRule="auto"/>
              <w:jc w:val="right"/>
              <w:rPr>
                <w:rFonts w:eastAsia="Times New Roman" w:cs="Times New Roman"/>
                <w:color w:val="000000"/>
              </w:rPr>
            </w:pPr>
            <w:r>
              <w:rPr>
                <w:color w:val="000000"/>
              </w:rPr>
              <w:t>4.8</w:t>
            </w:r>
          </w:p>
        </w:tc>
      </w:tr>
      <w:tr w:rsidR="00445CD2" w:rsidRPr="008525E0" w14:paraId="3349F7F8" w14:textId="77777777" w:rsidTr="002327F0">
        <w:trPr>
          <w:trHeight w:val="300"/>
        </w:trPr>
        <w:tc>
          <w:tcPr>
            <w:tcW w:w="1058" w:type="pct"/>
            <w:tcBorders>
              <w:top w:val="nil"/>
              <w:left w:val="nil"/>
              <w:bottom w:val="nil"/>
              <w:right w:val="nil"/>
            </w:tcBorders>
            <w:shd w:val="clear" w:color="auto" w:fill="auto"/>
            <w:noWrap/>
            <w:vAlign w:val="bottom"/>
          </w:tcPr>
          <w:p w14:paraId="036D6686" w14:textId="77777777" w:rsidR="00445CD2" w:rsidRDefault="00445CD2" w:rsidP="002327F0">
            <w:pPr>
              <w:spacing w:after="0" w:line="240" w:lineRule="auto"/>
              <w:rPr>
                <w:rFonts w:eastAsia="Times New Roman" w:cs="Times New Roman"/>
                <w:color w:val="000000"/>
              </w:rPr>
            </w:pPr>
            <w:proofErr w:type="gramStart"/>
            <w:r>
              <w:rPr>
                <w:rFonts w:eastAsia="Times New Roman" w:cs="Times New Roman"/>
                <w:b/>
              </w:rPr>
              <w:t>Associate’s Degree</w:t>
            </w:r>
            <w:proofErr w:type="gramEnd"/>
          </w:p>
        </w:tc>
        <w:tc>
          <w:tcPr>
            <w:tcW w:w="527" w:type="pct"/>
            <w:tcBorders>
              <w:top w:val="nil"/>
              <w:left w:val="nil"/>
              <w:bottom w:val="nil"/>
              <w:right w:val="nil"/>
            </w:tcBorders>
            <w:shd w:val="clear" w:color="auto" w:fill="auto"/>
            <w:noWrap/>
            <w:vAlign w:val="center"/>
          </w:tcPr>
          <w:p w14:paraId="1702CA18"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610FC306"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shd w:val="clear" w:color="auto" w:fill="auto"/>
            <w:noWrap/>
            <w:vAlign w:val="center"/>
          </w:tcPr>
          <w:p w14:paraId="34B9A1E2"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508439BC"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7BA7CAF1"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vAlign w:val="center"/>
          </w:tcPr>
          <w:p w14:paraId="6F218419"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73D5995B" w14:textId="77777777" w:rsidR="00445CD2" w:rsidRDefault="00445CD2" w:rsidP="002327F0">
            <w:pPr>
              <w:spacing w:after="0" w:line="240" w:lineRule="auto"/>
              <w:jc w:val="right"/>
              <w:rPr>
                <w:rFonts w:eastAsia="Times New Roman" w:cs="Times New Roman"/>
                <w:color w:val="000000"/>
              </w:rPr>
            </w:pPr>
          </w:p>
        </w:tc>
        <w:tc>
          <w:tcPr>
            <w:tcW w:w="625" w:type="pct"/>
            <w:tcBorders>
              <w:left w:val="nil"/>
              <w:right w:val="nil"/>
            </w:tcBorders>
            <w:vAlign w:val="center"/>
          </w:tcPr>
          <w:p w14:paraId="64693603" w14:textId="77777777" w:rsidR="00445CD2" w:rsidRDefault="00445CD2" w:rsidP="002327F0">
            <w:pPr>
              <w:spacing w:after="0" w:line="240" w:lineRule="auto"/>
              <w:jc w:val="right"/>
              <w:rPr>
                <w:rFonts w:eastAsia="Times New Roman" w:cs="Times New Roman"/>
                <w:color w:val="000000"/>
              </w:rPr>
            </w:pPr>
          </w:p>
        </w:tc>
      </w:tr>
      <w:tr w:rsidR="00445CD2" w:rsidRPr="008525E0" w14:paraId="577D1F77" w14:textId="77777777" w:rsidTr="002327F0">
        <w:trPr>
          <w:trHeight w:val="300"/>
        </w:trPr>
        <w:tc>
          <w:tcPr>
            <w:tcW w:w="1058" w:type="pct"/>
            <w:tcBorders>
              <w:top w:val="nil"/>
              <w:left w:val="nil"/>
              <w:bottom w:val="nil"/>
              <w:right w:val="nil"/>
            </w:tcBorders>
            <w:shd w:val="clear" w:color="auto" w:fill="auto"/>
            <w:noWrap/>
            <w:vAlign w:val="center"/>
          </w:tcPr>
          <w:p w14:paraId="37BAA7A2"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2014-15</w:t>
            </w:r>
          </w:p>
        </w:tc>
        <w:tc>
          <w:tcPr>
            <w:tcW w:w="527" w:type="pct"/>
            <w:tcBorders>
              <w:top w:val="nil"/>
              <w:left w:val="nil"/>
              <w:bottom w:val="nil"/>
              <w:right w:val="nil"/>
            </w:tcBorders>
            <w:shd w:val="clear" w:color="auto" w:fill="auto"/>
            <w:noWrap/>
            <w:vAlign w:val="center"/>
          </w:tcPr>
          <w:p w14:paraId="0EBDB0B8" w14:textId="77777777" w:rsidR="00445CD2" w:rsidRDefault="00445CD2" w:rsidP="002327F0">
            <w:pPr>
              <w:spacing w:after="0" w:line="240" w:lineRule="auto"/>
              <w:jc w:val="right"/>
              <w:rPr>
                <w:rFonts w:eastAsia="Times New Roman" w:cs="Times New Roman"/>
                <w:color w:val="000000"/>
              </w:rPr>
            </w:pPr>
            <w:r w:rsidRPr="00ED756B">
              <w:t xml:space="preserve"> 410 </w:t>
            </w:r>
          </w:p>
        </w:tc>
        <w:tc>
          <w:tcPr>
            <w:tcW w:w="673" w:type="pct"/>
            <w:tcBorders>
              <w:top w:val="nil"/>
              <w:left w:val="nil"/>
              <w:bottom w:val="nil"/>
              <w:right w:val="nil"/>
            </w:tcBorders>
            <w:shd w:val="clear" w:color="auto" w:fill="auto"/>
            <w:noWrap/>
            <w:vAlign w:val="center"/>
          </w:tcPr>
          <w:p w14:paraId="1E314588" w14:textId="77777777" w:rsidR="00445CD2" w:rsidRDefault="00445CD2" w:rsidP="002327F0">
            <w:pPr>
              <w:spacing w:after="0" w:line="240" w:lineRule="auto"/>
              <w:jc w:val="right"/>
              <w:rPr>
                <w:rFonts w:eastAsia="Times New Roman" w:cs="Times New Roman"/>
                <w:color w:val="000000"/>
              </w:rPr>
            </w:pPr>
            <w:r>
              <w:rPr>
                <w:color w:val="000000"/>
              </w:rPr>
              <w:t>39.4</w:t>
            </w:r>
          </w:p>
        </w:tc>
        <w:tc>
          <w:tcPr>
            <w:tcW w:w="144" w:type="pct"/>
            <w:tcBorders>
              <w:top w:val="nil"/>
              <w:left w:val="nil"/>
              <w:bottom w:val="nil"/>
              <w:right w:val="nil"/>
            </w:tcBorders>
            <w:shd w:val="clear" w:color="auto" w:fill="auto"/>
            <w:noWrap/>
            <w:vAlign w:val="center"/>
          </w:tcPr>
          <w:p w14:paraId="63453F35"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7296B50F" w14:textId="77777777" w:rsidR="00445CD2" w:rsidRDefault="00445CD2" w:rsidP="002327F0">
            <w:pPr>
              <w:spacing w:after="0" w:line="240" w:lineRule="auto"/>
              <w:jc w:val="right"/>
              <w:rPr>
                <w:rFonts w:eastAsia="Times New Roman" w:cs="Times New Roman"/>
                <w:color w:val="000000"/>
              </w:rPr>
            </w:pPr>
            <w:r>
              <w:rPr>
                <w:color w:val="000000"/>
              </w:rPr>
              <w:t xml:space="preserve">         440 </w:t>
            </w:r>
          </w:p>
        </w:tc>
        <w:tc>
          <w:tcPr>
            <w:tcW w:w="673" w:type="pct"/>
            <w:tcBorders>
              <w:top w:val="nil"/>
              <w:left w:val="nil"/>
              <w:bottom w:val="nil"/>
              <w:right w:val="nil"/>
            </w:tcBorders>
            <w:shd w:val="clear" w:color="auto" w:fill="auto"/>
            <w:noWrap/>
            <w:vAlign w:val="center"/>
          </w:tcPr>
          <w:p w14:paraId="1AACF45E" w14:textId="77777777" w:rsidR="00445CD2" w:rsidRDefault="00445CD2" w:rsidP="002327F0">
            <w:pPr>
              <w:spacing w:after="0" w:line="240" w:lineRule="auto"/>
              <w:jc w:val="right"/>
              <w:rPr>
                <w:rFonts w:eastAsia="Times New Roman" w:cs="Times New Roman"/>
                <w:color w:val="000000"/>
              </w:rPr>
            </w:pPr>
            <w:r>
              <w:rPr>
                <w:color w:val="000000"/>
              </w:rPr>
              <w:t>10.8</w:t>
            </w:r>
          </w:p>
        </w:tc>
        <w:tc>
          <w:tcPr>
            <w:tcW w:w="144" w:type="pct"/>
            <w:tcBorders>
              <w:top w:val="nil"/>
              <w:left w:val="nil"/>
              <w:bottom w:val="nil"/>
              <w:right w:val="nil"/>
            </w:tcBorders>
            <w:vAlign w:val="center"/>
          </w:tcPr>
          <w:p w14:paraId="78276D9F"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1BA564CD" w14:textId="77777777" w:rsidR="00445CD2" w:rsidRDefault="00445CD2" w:rsidP="002327F0">
            <w:pPr>
              <w:spacing w:after="0" w:line="240" w:lineRule="auto"/>
              <w:jc w:val="right"/>
              <w:rPr>
                <w:rFonts w:eastAsia="Times New Roman" w:cs="Times New Roman"/>
                <w:color w:val="000000"/>
              </w:rPr>
            </w:pPr>
            <w:r>
              <w:rPr>
                <w:color w:val="000000"/>
              </w:rPr>
              <w:t xml:space="preserve">         530 </w:t>
            </w:r>
          </w:p>
        </w:tc>
        <w:tc>
          <w:tcPr>
            <w:tcW w:w="625" w:type="pct"/>
            <w:tcBorders>
              <w:left w:val="nil"/>
              <w:right w:val="nil"/>
            </w:tcBorders>
            <w:vAlign w:val="center"/>
          </w:tcPr>
          <w:p w14:paraId="3318BFA6" w14:textId="77777777" w:rsidR="00445CD2" w:rsidRDefault="00445CD2" w:rsidP="002327F0">
            <w:pPr>
              <w:spacing w:after="0" w:line="240" w:lineRule="auto"/>
              <w:jc w:val="right"/>
              <w:rPr>
                <w:rFonts w:eastAsia="Times New Roman" w:cs="Times New Roman"/>
                <w:color w:val="000000"/>
              </w:rPr>
            </w:pPr>
            <w:r>
              <w:rPr>
                <w:color w:val="000000"/>
              </w:rPr>
              <w:t>10.1</w:t>
            </w:r>
          </w:p>
        </w:tc>
      </w:tr>
      <w:tr w:rsidR="00445CD2" w:rsidRPr="008525E0" w14:paraId="129AAB05" w14:textId="77777777" w:rsidTr="002327F0">
        <w:trPr>
          <w:trHeight w:val="300"/>
        </w:trPr>
        <w:tc>
          <w:tcPr>
            <w:tcW w:w="1058" w:type="pct"/>
            <w:tcBorders>
              <w:top w:val="nil"/>
              <w:left w:val="nil"/>
              <w:bottom w:val="nil"/>
              <w:right w:val="nil"/>
            </w:tcBorders>
            <w:shd w:val="clear" w:color="auto" w:fill="auto"/>
            <w:noWrap/>
            <w:vAlign w:val="center"/>
          </w:tcPr>
          <w:p w14:paraId="762D021A"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2015-16</w:t>
            </w:r>
          </w:p>
        </w:tc>
        <w:tc>
          <w:tcPr>
            <w:tcW w:w="527" w:type="pct"/>
            <w:tcBorders>
              <w:top w:val="nil"/>
              <w:left w:val="nil"/>
              <w:bottom w:val="nil"/>
              <w:right w:val="nil"/>
            </w:tcBorders>
            <w:shd w:val="clear" w:color="auto" w:fill="auto"/>
            <w:noWrap/>
            <w:vAlign w:val="center"/>
          </w:tcPr>
          <w:p w14:paraId="37B69289" w14:textId="77777777" w:rsidR="00445CD2" w:rsidRDefault="00445CD2" w:rsidP="002327F0">
            <w:pPr>
              <w:spacing w:after="0" w:line="240" w:lineRule="auto"/>
              <w:jc w:val="right"/>
              <w:rPr>
                <w:rFonts w:eastAsia="Times New Roman" w:cs="Times New Roman"/>
                <w:color w:val="000000"/>
              </w:rPr>
            </w:pPr>
            <w:r w:rsidRPr="00ED756B">
              <w:t xml:space="preserve"> 420 </w:t>
            </w:r>
          </w:p>
        </w:tc>
        <w:tc>
          <w:tcPr>
            <w:tcW w:w="673" w:type="pct"/>
            <w:tcBorders>
              <w:top w:val="nil"/>
              <w:left w:val="nil"/>
              <w:bottom w:val="nil"/>
              <w:right w:val="nil"/>
            </w:tcBorders>
            <w:shd w:val="clear" w:color="auto" w:fill="auto"/>
            <w:noWrap/>
            <w:vAlign w:val="center"/>
          </w:tcPr>
          <w:p w14:paraId="72206B9B" w14:textId="77777777" w:rsidR="00445CD2" w:rsidRDefault="00445CD2" w:rsidP="002327F0">
            <w:pPr>
              <w:spacing w:after="0" w:line="240" w:lineRule="auto"/>
              <w:jc w:val="right"/>
              <w:rPr>
                <w:rFonts w:eastAsia="Times New Roman" w:cs="Times New Roman"/>
                <w:color w:val="000000"/>
              </w:rPr>
            </w:pPr>
            <w:r>
              <w:rPr>
                <w:color w:val="000000"/>
              </w:rPr>
              <w:t>42.4</w:t>
            </w:r>
          </w:p>
        </w:tc>
        <w:tc>
          <w:tcPr>
            <w:tcW w:w="144" w:type="pct"/>
            <w:tcBorders>
              <w:top w:val="nil"/>
              <w:left w:val="nil"/>
              <w:bottom w:val="nil"/>
              <w:right w:val="nil"/>
            </w:tcBorders>
            <w:shd w:val="clear" w:color="auto" w:fill="auto"/>
            <w:noWrap/>
            <w:vAlign w:val="center"/>
          </w:tcPr>
          <w:p w14:paraId="60CD1158"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361F3682" w14:textId="77777777" w:rsidR="00445CD2" w:rsidRDefault="00445CD2" w:rsidP="002327F0">
            <w:pPr>
              <w:spacing w:after="0" w:line="240" w:lineRule="auto"/>
              <w:jc w:val="right"/>
              <w:rPr>
                <w:rFonts w:eastAsia="Times New Roman" w:cs="Times New Roman"/>
                <w:color w:val="000000"/>
              </w:rPr>
            </w:pPr>
            <w:r>
              <w:rPr>
                <w:color w:val="000000"/>
              </w:rPr>
              <w:t xml:space="preserve">         420 </w:t>
            </w:r>
          </w:p>
        </w:tc>
        <w:tc>
          <w:tcPr>
            <w:tcW w:w="673" w:type="pct"/>
            <w:tcBorders>
              <w:top w:val="nil"/>
              <w:left w:val="nil"/>
              <w:bottom w:val="nil"/>
              <w:right w:val="nil"/>
            </w:tcBorders>
            <w:shd w:val="clear" w:color="auto" w:fill="auto"/>
            <w:noWrap/>
            <w:vAlign w:val="center"/>
          </w:tcPr>
          <w:p w14:paraId="667AF563" w14:textId="77777777" w:rsidR="00445CD2" w:rsidRDefault="00445CD2" w:rsidP="002327F0">
            <w:pPr>
              <w:spacing w:after="0" w:line="240" w:lineRule="auto"/>
              <w:jc w:val="right"/>
              <w:rPr>
                <w:rFonts w:eastAsia="Times New Roman" w:cs="Times New Roman"/>
                <w:color w:val="000000"/>
              </w:rPr>
            </w:pPr>
            <w:r>
              <w:rPr>
                <w:color w:val="000000"/>
              </w:rPr>
              <w:t>16.1</w:t>
            </w:r>
          </w:p>
        </w:tc>
        <w:tc>
          <w:tcPr>
            <w:tcW w:w="144" w:type="pct"/>
            <w:tcBorders>
              <w:top w:val="nil"/>
              <w:left w:val="nil"/>
              <w:bottom w:val="nil"/>
              <w:right w:val="nil"/>
            </w:tcBorders>
            <w:vAlign w:val="center"/>
          </w:tcPr>
          <w:p w14:paraId="1624C0D7"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1B06C4D6" w14:textId="77777777" w:rsidR="00445CD2" w:rsidRDefault="00445CD2" w:rsidP="002327F0">
            <w:pPr>
              <w:spacing w:after="0" w:line="240" w:lineRule="auto"/>
              <w:jc w:val="right"/>
              <w:rPr>
                <w:rFonts w:eastAsia="Times New Roman" w:cs="Times New Roman"/>
                <w:color w:val="000000"/>
              </w:rPr>
            </w:pPr>
            <w:r>
              <w:rPr>
                <w:color w:val="000000"/>
              </w:rPr>
              <w:t xml:space="preserve">         420 </w:t>
            </w:r>
          </w:p>
        </w:tc>
        <w:tc>
          <w:tcPr>
            <w:tcW w:w="625" w:type="pct"/>
            <w:tcBorders>
              <w:left w:val="nil"/>
              <w:right w:val="nil"/>
            </w:tcBorders>
            <w:vAlign w:val="center"/>
          </w:tcPr>
          <w:p w14:paraId="6DB9F937" w14:textId="77777777" w:rsidR="00445CD2" w:rsidRDefault="00445CD2" w:rsidP="002327F0">
            <w:pPr>
              <w:spacing w:after="0" w:line="240" w:lineRule="auto"/>
              <w:jc w:val="right"/>
              <w:rPr>
                <w:rFonts w:eastAsia="Times New Roman" w:cs="Times New Roman"/>
                <w:color w:val="000000"/>
              </w:rPr>
            </w:pPr>
            <w:r>
              <w:rPr>
                <w:color w:val="000000"/>
              </w:rPr>
              <w:t>18.5</w:t>
            </w:r>
          </w:p>
        </w:tc>
      </w:tr>
      <w:tr w:rsidR="00445CD2" w:rsidRPr="008525E0" w14:paraId="69EF1965" w14:textId="77777777" w:rsidTr="002327F0">
        <w:trPr>
          <w:trHeight w:val="300"/>
        </w:trPr>
        <w:tc>
          <w:tcPr>
            <w:tcW w:w="1058" w:type="pct"/>
            <w:tcBorders>
              <w:top w:val="nil"/>
              <w:left w:val="nil"/>
              <w:bottom w:val="nil"/>
              <w:right w:val="nil"/>
            </w:tcBorders>
            <w:shd w:val="clear" w:color="auto" w:fill="auto"/>
            <w:noWrap/>
            <w:vAlign w:val="center"/>
          </w:tcPr>
          <w:p w14:paraId="529F91FE"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2016-17</w:t>
            </w:r>
          </w:p>
        </w:tc>
        <w:tc>
          <w:tcPr>
            <w:tcW w:w="527" w:type="pct"/>
            <w:tcBorders>
              <w:top w:val="nil"/>
              <w:left w:val="nil"/>
              <w:bottom w:val="nil"/>
              <w:right w:val="nil"/>
            </w:tcBorders>
            <w:shd w:val="clear" w:color="auto" w:fill="auto"/>
            <w:noWrap/>
            <w:vAlign w:val="center"/>
          </w:tcPr>
          <w:p w14:paraId="4EB0996F" w14:textId="77777777" w:rsidR="00445CD2" w:rsidRDefault="00445CD2" w:rsidP="002327F0">
            <w:pPr>
              <w:spacing w:after="0" w:line="240" w:lineRule="auto"/>
              <w:jc w:val="right"/>
              <w:rPr>
                <w:rFonts w:eastAsia="Times New Roman" w:cs="Times New Roman"/>
                <w:color w:val="000000"/>
              </w:rPr>
            </w:pPr>
            <w:r w:rsidRPr="00ED756B">
              <w:t xml:space="preserve"> 270 </w:t>
            </w:r>
          </w:p>
        </w:tc>
        <w:tc>
          <w:tcPr>
            <w:tcW w:w="673" w:type="pct"/>
            <w:tcBorders>
              <w:top w:val="nil"/>
              <w:left w:val="nil"/>
              <w:bottom w:val="nil"/>
              <w:right w:val="nil"/>
            </w:tcBorders>
            <w:shd w:val="clear" w:color="auto" w:fill="auto"/>
            <w:noWrap/>
            <w:vAlign w:val="center"/>
          </w:tcPr>
          <w:p w14:paraId="67FB2132" w14:textId="77777777" w:rsidR="00445CD2" w:rsidRDefault="00445CD2" w:rsidP="002327F0">
            <w:pPr>
              <w:spacing w:after="0" w:line="240" w:lineRule="auto"/>
              <w:jc w:val="right"/>
              <w:rPr>
                <w:rFonts w:eastAsia="Times New Roman" w:cs="Times New Roman"/>
                <w:color w:val="000000"/>
              </w:rPr>
            </w:pPr>
            <w:r>
              <w:rPr>
                <w:color w:val="000000"/>
              </w:rPr>
              <w:t>48.4</w:t>
            </w:r>
          </w:p>
        </w:tc>
        <w:tc>
          <w:tcPr>
            <w:tcW w:w="144" w:type="pct"/>
            <w:tcBorders>
              <w:top w:val="nil"/>
              <w:left w:val="nil"/>
              <w:bottom w:val="nil"/>
              <w:right w:val="nil"/>
            </w:tcBorders>
            <w:shd w:val="clear" w:color="auto" w:fill="auto"/>
            <w:noWrap/>
            <w:vAlign w:val="center"/>
          </w:tcPr>
          <w:p w14:paraId="28356E41"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4D38D74" w14:textId="77777777" w:rsidR="00445CD2" w:rsidRDefault="00445CD2" w:rsidP="002327F0">
            <w:pPr>
              <w:spacing w:after="0" w:line="240" w:lineRule="auto"/>
              <w:jc w:val="right"/>
              <w:rPr>
                <w:rFonts w:eastAsia="Times New Roman" w:cs="Times New Roman"/>
                <w:color w:val="000000"/>
              </w:rPr>
            </w:pPr>
            <w:r>
              <w:rPr>
                <w:color w:val="000000"/>
              </w:rPr>
              <w:t xml:space="preserve">         280 </w:t>
            </w:r>
          </w:p>
        </w:tc>
        <w:tc>
          <w:tcPr>
            <w:tcW w:w="673" w:type="pct"/>
            <w:tcBorders>
              <w:top w:val="nil"/>
              <w:left w:val="nil"/>
              <w:bottom w:val="nil"/>
              <w:right w:val="nil"/>
            </w:tcBorders>
            <w:shd w:val="clear" w:color="auto" w:fill="auto"/>
            <w:noWrap/>
            <w:vAlign w:val="center"/>
          </w:tcPr>
          <w:p w14:paraId="62E66CD0" w14:textId="77777777" w:rsidR="00445CD2" w:rsidRDefault="00445CD2" w:rsidP="002327F0">
            <w:pPr>
              <w:spacing w:after="0" w:line="240" w:lineRule="auto"/>
              <w:jc w:val="right"/>
              <w:rPr>
                <w:rFonts w:eastAsia="Times New Roman" w:cs="Times New Roman"/>
                <w:color w:val="000000"/>
              </w:rPr>
            </w:pPr>
            <w:r>
              <w:rPr>
                <w:color w:val="000000"/>
              </w:rPr>
              <w:t>12.0</w:t>
            </w:r>
          </w:p>
        </w:tc>
        <w:tc>
          <w:tcPr>
            <w:tcW w:w="144" w:type="pct"/>
            <w:tcBorders>
              <w:top w:val="nil"/>
              <w:left w:val="nil"/>
              <w:bottom w:val="nil"/>
              <w:right w:val="nil"/>
            </w:tcBorders>
            <w:vAlign w:val="center"/>
          </w:tcPr>
          <w:p w14:paraId="3CE940F4"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5B6D9EDD" w14:textId="77777777" w:rsidR="00445CD2" w:rsidRDefault="00445CD2" w:rsidP="002327F0">
            <w:pPr>
              <w:spacing w:after="0" w:line="240" w:lineRule="auto"/>
              <w:jc w:val="right"/>
              <w:rPr>
                <w:rFonts w:eastAsia="Times New Roman" w:cs="Times New Roman"/>
                <w:color w:val="000000"/>
              </w:rPr>
            </w:pPr>
            <w:r>
              <w:rPr>
                <w:color w:val="000000"/>
              </w:rPr>
              <w:t xml:space="preserve">         280 </w:t>
            </w:r>
          </w:p>
        </w:tc>
        <w:tc>
          <w:tcPr>
            <w:tcW w:w="625" w:type="pct"/>
            <w:tcBorders>
              <w:left w:val="nil"/>
              <w:right w:val="nil"/>
            </w:tcBorders>
            <w:vAlign w:val="center"/>
          </w:tcPr>
          <w:p w14:paraId="17747667" w14:textId="77777777" w:rsidR="00445CD2" w:rsidRDefault="00445CD2" w:rsidP="002327F0">
            <w:pPr>
              <w:spacing w:after="0" w:line="240" w:lineRule="auto"/>
              <w:jc w:val="right"/>
              <w:rPr>
                <w:rFonts w:eastAsia="Times New Roman" w:cs="Times New Roman"/>
                <w:color w:val="000000"/>
              </w:rPr>
            </w:pPr>
            <w:r>
              <w:rPr>
                <w:color w:val="000000"/>
              </w:rPr>
              <w:t>12.8</w:t>
            </w:r>
          </w:p>
        </w:tc>
      </w:tr>
      <w:tr w:rsidR="00445CD2" w:rsidRPr="008525E0" w14:paraId="762778EC" w14:textId="77777777" w:rsidTr="002327F0">
        <w:trPr>
          <w:trHeight w:val="300"/>
        </w:trPr>
        <w:tc>
          <w:tcPr>
            <w:tcW w:w="1058" w:type="pct"/>
            <w:tcBorders>
              <w:top w:val="nil"/>
              <w:left w:val="nil"/>
              <w:bottom w:val="nil"/>
              <w:right w:val="nil"/>
            </w:tcBorders>
            <w:shd w:val="clear" w:color="auto" w:fill="auto"/>
            <w:noWrap/>
            <w:vAlign w:val="bottom"/>
          </w:tcPr>
          <w:p w14:paraId="14AE1894" w14:textId="77777777" w:rsidR="00445CD2" w:rsidRDefault="00445CD2" w:rsidP="002327F0">
            <w:pPr>
              <w:spacing w:after="0" w:line="240" w:lineRule="auto"/>
              <w:rPr>
                <w:rFonts w:eastAsia="Times New Roman" w:cs="Times New Roman"/>
                <w:color w:val="000000"/>
              </w:rPr>
            </w:pPr>
            <w:r>
              <w:rPr>
                <w:rFonts w:eastAsia="Times New Roman" w:cs="Times New Roman"/>
                <w:b/>
              </w:rPr>
              <w:t>Bachelor’s Degree</w:t>
            </w:r>
          </w:p>
        </w:tc>
        <w:tc>
          <w:tcPr>
            <w:tcW w:w="527" w:type="pct"/>
            <w:tcBorders>
              <w:top w:val="nil"/>
              <w:left w:val="nil"/>
              <w:bottom w:val="nil"/>
              <w:right w:val="nil"/>
            </w:tcBorders>
            <w:shd w:val="clear" w:color="auto" w:fill="auto"/>
            <w:noWrap/>
            <w:vAlign w:val="center"/>
          </w:tcPr>
          <w:p w14:paraId="75F193EB"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4FC49A60"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shd w:val="clear" w:color="auto" w:fill="auto"/>
            <w:noWrap/>
            <w:vAlign w:val="center"/>
          </w:tcPr>
          <w:p w14:paraId="44634664"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F904B49" w14:textId="77777777" w:rsidR="00445CD2" w:rsidRDefault="00445CD2" w:rsidP="002327F0">
            <w:pPr>
              <w:spacing w:after="0" w:line="240" w:lineRule="auto"/>
              <w:jc w:val="right"/>
              <w:rPr>
                <w:rFonts w:eastAsia="Times New Roman" w:cs="Times New Roman"/>
                <w:color w:val="000000"/>
              </w:rPr>
            </w:pPr>
          </w:p>
        </w:tc>
        <w:tc>
          <w:tcPr>
            <w:tcW w:w="673" w:type="pct"/>
            <w:tcBorders>
              <w:top w:val="nil"/>
              <w:left w:val="nil"/>
              <w:bottom w:val="nil"/>
              <w:right w:val="nil"/>
            </w:tcBorders>
            <w:shd w:val="clear" w:color="auto" w:fill="auto"/>
            <w:noWrap/>
            <w:vAlign w:val="center"/>
          </w:tcPr>
          <w:p w14:paraId="4DA50B02" w14:textId="77777777" w:rsidR="00445CD2" w:rsidRDefault="00445CD2" w:rsidP="002327F0">
            <w:pPr>
              <w:spacing w:after="0" w:line="240" w:lineRule="auto"/>
              <w:jc w:val="right"/>
              <w:rPr>
                <w:rFonts w:eastAsia="Times New Roman" w:cs="Times New Roman"/>
                <w:color w:val="000000"/>
              </w:rPr>
            </w:pPr>
          </w:p>
        </w:tc>
        <w:tc>
          <w:tcPr>
            <w:tcW w:w="144" w:type="pct"/>
            <w:tcBorders>
              <w:top w:val="nil"/>
              <w:left w:val="nil"/>
              <w:bottom w:val="nil"/>
              <w:right w:val="nil"/>
            </w:tcBorders>
            <w:vAlign w:val="center"/>
          </w:tcPr>
          <w:p w14:paraId="4FA41D3F"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6602EBB3" w14:textId="77777777" w:rsidR="00445CD2" w:rsidRDefault="00445CD2" w:rsidP="002327F0">
            <w:pPr>
              <w:spacing w:after="0" w:line="240" w:lineRule="auto"/>
              <w:jc w:val="right"/>
              <w:rPr>
                <w:rFonts w:eastAsia="Times New Roman" w:cs="Times New Roman"/>
                <w:color w:val="000000"/>
              </w:rPr>
            </w:pPr>
          </w:p>
        </w:tc>
        <w:tc>
          <w:tcPr>
            <w:tcW w:w="625" w:type="pct"/>
            <w:tcBorders>
              <w:left w:val="nil"/>
              <w:right w:val="nil"/>
            </w:tcBorders>
            <w:vAlign w:val="center"/>
          </w:tcPr>
          <w:p w14:paraId="19192EDC" w14:textId="77777777" w:rsidR="00445CD2" w:rsidRDefault="00445CD2" w:rsidP="002327F0">
            <w:pPr>
              <w:spacing w:after="0" w:line="240" w:lineRule="auto"/>
              <w:jc w:val="right"/>
              <w:rPr>
                <w:rFonts w:eastAsia="Times New Roman" w:cs="Times New Roman"/>
                <w:color w:val="000000"/>
              </w:rPr>
            </w:pPr>
          </w:p>
        </w:tc>
      </w:tr>
      <w:tr w:rsidR="00445CD2" w:rsidRPr="008525E0" w14:paraId="07C93B9B" w14:textId="77777777" w:rsidTr="002327F0">
        <w:trPr>
          <w:trHeight w:val="300"/>
        </w:trPr>
        <w:tc>
          <w:tcPr>
            <w:tcW w:w="1058" w:type="pct"/>
            <w:tcBorders>
              <w:top w:val="nil"/>
              <w:left w:val="nil"/>
              <w:bottom w:val="nil"/>
              <w:right w:val="nil"/>
            </w:tcBorders>
            <w:shd w:val="clear" w:color="auto" w:fill="auto"/>
            <w:noWrap/>
            <w:vAlign w:val="center"/>
          </w:tcPr>
          <w:p w14:paraId="6356EF1E"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2014-15</w:t>
            </w:r>
          </w:p>
        </w:tc>
        <w:tc>
          <w:tcPr>
            <w:tcW w:w="527" w:type="pct"/>
            <w:tcBorders>
              <w:top w:val="nil"/>
              <w:left w:val="nil"/>
              <w:bottom w:val="nil"/>
              <w:right w:val="nil"/>
            </w:tcBorders>
            <w:shd w:val="clear" w:color="auto" w:fill="auto"/>
            <w:noWrap/>
            <w:vAlign w:val="center"/>
          </w:tcPr>
          <w:p w14:paraId="192035A1" w14:textId="77777777" w:rsidR="00445CD2" w:rsidRDefault="00445CD2" w:rsidP="002327F0">
            <w:pPr>
              <w:spacing w:after="0" w:line="240" w:lineRule="auto"/>
              <w:jc w:val="right"/>
              <w:rPr>
                <w:rFonts w:eastAsia="Times New Roman" w:cs="Times New Roman"/>
                <w:color w:val="000000"/>
              </w:rPr>
            </w:pPr>
            <w:r w:rsidRPr="00474F4B">
              <w:t xml:space="preserve"> 2,680 </w:t>
            </w:r>
          </w:p>
        </w:tc>
        <w:tc>
          <w:tcPr>
            <w:tcW w:w="673" w:type="pct"/>
            <w:tcBorders>
              <w:top w:val="nil"/>
              <w:left w:val="nil"/>
              <w:bottom w:val="nil"/>
              <w:right w:val="nil"/>
            </w:tcBorders>
            <w:shd w:val="clear" w:color="auto" w:fill="auto"/>
            <w:noWrap/>
            <w:vAlign w:val="center"/>
          </w:tcPr>
          <w:p w14:paraId="03B63244" w14:textId="77777777" w:rsidR="00445CD2" w:rsidRDefault="00445CD2" w:rsidP="002327F0">
            <w:pPr>
              <w:spacing w:after="0" w:line="240" w:lineRule="auto"/>
              <w:jc w:val="right"/>
              <w:rPr>
                <w:rFonts w:eastAsia="Times New Roman" w:cs="Times New Roman"/>
                <w:color w:val="000000"/>
              </w:rPr>
            </w:pPr>
            <w:r>
              <w:rPr>
                <w:color w:val="000000"/>
              </w:rPr>
              <w:t>66.1</w:t>
            </w:r>
          </w:p>
        </w:tc>
        <w:tc>
          <w:tcPr>
            <w:tcW w:w="144" w:type="pct"/>
            <w:tcBorders>
              <w:top w:val="nil"/>
              <w:left w:val="nil"/>
              <w:bottom w:val="nil"/>
              <w:right w:val="nil"/>
            </w:tcBorders>
            <w:shd w:val="clear" w:color="auto" w:fill="auto"/>
            <w:noWrap/>
            <w:vAlign w:val="center"/>
          </w:tcPr>
          <w:p w14:paraId="7FB306D5"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121A190F" w14:textId="77777777" w:rsidR="00445CD2" w:rsidRDefault="00445CD2" w:rsidP="002327F0">
            <w:pPr>
              <w:spacing w:after="0" w:line="240" w:lineRule="auto"/>
              <w:jc w:val="right"/>
              <w:rPr>
                <w:rFonts w:eastAsia="Times New Roman" w:cs="Times New Roman"/>
                <w:color w:val="000000"/>
              </w:rPr>
            </w:pPr>
            <w:r>
              <w:rPr>
                <w:color w:val="000000"/>
              </w:rPr>
              <w:t xml:space="preserve">      2,720 </w:t>
            </w:r>
          </w:p>
        </w:tc>
        <w:tc>
          <w:tcPr>
            <w:tcW w:w="673" w:type="pct"/>
            <w:tcBorders>
              <w:top w:val="nil"/>
              <w:left w:val="nil"/>
              <w:bottom w:val="nil"/>
              <w:right w:val="nil"/>
            </w:tcBorders>
            <w:shd w:val="clear" w:color="auto" w:fill="auto"/>
            <w:noWrap/>
            <w:vAlign w:val="center"/>
          </w:tcPr>
          <w:p w14:paraId="0E401BB6" w14:textId="77777777" w:rsidR="00445CD2" w:rsidRDefault="00445CD2" w:rsidP="002327F0">
            <w:pPr>
              <w:spacing w:after="0" w:line="240" w:lineRule="auto"/>
              <w:jc w:val="right"/>
              <w:rPr>
                <w:rFonts w:eastAsia="Times New Roman" w:cs="Times New Roman"/>
                <w:color w:val="000000"/>
              </w:rPr>
            </w:pPr>
            <w:r>
              <w:rPr>
                <w:color w:val="000000"/>
              </w:rPr>
              <w:t>20.4</w:t>
            </w:r>
          </w:p>
        </w:tc>
        <w:tc>
          <w:tcPr>
            <w:tcW w:w="144" w:type="pct"/>
            <w:tcBorders>
              <w:top w:val="nil"/>
              <w:left w:val="nil"/>
              <w:bottom w:val="nil"/>
              <w:right w:val="nil"/>
            </w:tcBorders>
            <w:vAlign w:val="center"/>
          </w:tcPr>
          <w:p w14:paraId="4C73BEA1"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0F64F218" w14:textId="77777777" w:rsidR="00445CD2" w:rsidRDefault="00445CD2" w:rsidP="002327F0">
            <w:pPr>
              <w:spacing w:after="0" w:line="240" w:lineRule="auto"/>
              <w:jc w:val="right"/>
              <w:rPr>
                <w:rFonts w:eastAsia="Times New Roman" w:cs="Times New Roman"/>
                <w:color w:val="000000"/>
              </w:rPr>
            </w:pPr>
            <w:r>
              <w:rPr>
                <w:color w:val="000000"/>
              </w:rPr>
              <w:t xml:space="preserve">      2,570 </w:t>
            </w:r>
          </w:p>
        </w:tc>
        <w:tc>
          <w:tcPr>
            <w:tcW w:w="625" w:type="pct"/>
            <w:tcBorders>
              <w:left w:val="nil"/>
              <w:right w:val="nil"/>
            </w:tcBorders>
            <w:vAlign w:val="center"/>
          </w:tcPr>
          <w:p w14:paraId="2EA840C3" w14:textId="77777777" w:rsidR="00445CD2" w:rsidRDefault="00445CD2" w:rsidP="002327F0">
            <w:pPr>
              <w:spacing w:after="0" w:line="240" w:lineRule="auto"/>
              <w:jc w:val="right"/>
              <w:rPr>
                <w:rFonts w:eastAsia="Times New Roman" w:cs="Times New Roman"/>
                <w:color w:val="000000"/>
              </w:rPr>
            </w:pPr>
            <w:r>
              <w:rPr>
                <w:color w:val="000000"/>
              </w:rPr>
              <w:t>22.5</w:t>
            </w:r>
          </w:p>
        </w:tc>
      </w:tr>
      <w:tr w:rsidR="00445CD2" w:rsidRPr="008525E0" w14:paraId="047BF70E" w14:textId="77777777" w:rsidTr="002327F0">
        <w:trPr>
          <w:trHeight w:val="300"/>
        </w:trPr>
        <w:tc>
          <w:tcPr>
            <w:tcW w:w="1058" w:type="pct"/>
            <w:tcBorders>
              <w:top w:val="nil"/>
              <w:left w:val="nil"/>
              <w:bottom w:val="nil"/>
              <w:right w:val="nil"/>
            </w:tcBorders>
            <w:shd w:val="clear" w:color="auto" w:fill="auto"/>
            <w:noWrap/>
            <w:vAlign w:val="center"/>
          </w:tcPr>
          <w:p w14:paraId="4E0056B7"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2015-16</w:t>
            </w:r>
          </w:p>
        </w:tc>
        <w:tc>
          <w:tcPr>
            <w:tcW w:w="527" w:type="pct"/>
            <w:tcBorders>
              <w:top w:val="nil"/>
              <w:left w:val="nil"/>
              <w:bottom w:val="nil"/>
              <w:right w:val="nil"/>
            </w:tcBorders>
            <w:shd w:val="clear" w:color="auto" w:fill="auto"/>
            <w:noWrap/>
            <w:vAlign w:val="center"/>
          </w:tcPr>
          <w:p w14:paraId="7E0B872A" w14:textId="77777777" w:rsidR="00445CD2" w:rsidRDefault="00445CD2" w:rsidP="002327F0">
            <w:pPr>
              <w:spacing w:after="0" w:line="240" w:lineRule="auto"/>
              <w:jc w:val="right"/>
              <w:rPr>
                <w:rFonts w:eastAsia="Times New Roman" w:cs="Times New Roman"/>
                <w:color w:val="000000"/>
              </w:rPr>
            </w:pPr>
            <w:r w:rsidRPr="00474F4B">
              <w:t xml:space="preserve"> 1,840 </w:t>
            </w:r>
          </w:p>
        </w:tc>
        <w:tc>
          <w:tcPr>
            <w:tcW w:w="673" w:type="pct"/>
            <w:tcBorders>
              <w:top w:val="nil"/>
              <w:left w:val="nil"/>
              <w:bottom w:val="nil"/>
              <w:right w:val="nil"/>
            </w:tcBorders>
            <w:shd w:val="clear" w:color="auto" w:fill="auto"/>
            <w:noWrap/>
            <w:vAlign w:val="center"/>
          </w:tcPr>
          <w:p w14:paraId="1B4D4A8D" w14:textId="77777777" w:rsidR="00445CD2" w:rsidRDefault="00445CD2" w:rsidP="002327F0">
            <w:pPr>
              <w:spacing w:after="0" w:line="240" w:lineRule="auto"/>
              <w:jc w:val="right"/>
              <w:rPr>
                <w:rFonts w:eastAsia="Times New Roman" w:cs="Times New Roman"/>
                <w:color w:val="000000"/>
              </w:rPr>
            </w:pPr>
            <w:r>
              <w:rPr>
                <w:color w:val="000000"/>
              </w:rPr>
              <w:t>60.8</w:t>
            </w:r>
          </w:p>
        </w:tc>
        <w:tc>
          <w:tcPr>
            <w:tcW w:w="144" w:type="pct"/>
            <w:tcBorders>
              <w:top w:val="nil"/>
              <w:left w:val="nil"/>
              <w:bottom w:val="nil"/>
              <w:right w:val="nil"/>
            </w:tcBorders>
            <w:shd w:val="clear" w:color="auto" w:fill="auto"/>
            <w:noWrap/>
            <w:vAlign w:val="center"/>
          </w:tcPr>
          <w:p w14:paraId="7F31B319"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30B0C8E8" w14:textId="77777777" w:rsidR="00445CD2" w:rsidRDefault="00445CD2" w:rsidP="002327F0">
            <w:pPr>
              <w:spacing w:after="0" w:line="240" w:lineRule="auto"/>
              <w:jc w:val="right"/>
              <w:rPr>
                <w:rFonts w:eastAsia="Times New Roman" w:cs="Times New Roman"/>
                <w:color w:val="000000"/>
              </w:rPr>
            </w:pPr>
            <w:r>
              <w:rPr>
                <w:color w:val="000000"/>
              </w:rPr>
              <w:t xml:space="preserve">      1,830 </w:t>
            </w:r>
          </w:p>
        </w:tc>
        <w:tc>
          <w:tcPr>
            <w:tcW w:w="673" w:type="pct"/>
            <w:tcBorders>
              <w:top w:val="nil"/>
              <w:left w:val="nil"/>
              <w:bottom w:val="nil"/>
              <w:right w:val="nil"/>
            </w:tcBorders>
            <w:shd w:val="clear" w:color="auto" w:fill="auto"/>
            <w:noWrap/>
            <w:vAlign w:val="center"/>
          </w:tcPr>
          <w:p w14:paraId="09184BD2" w14:textId="77777777" w:rsidR="00445CD2" w:rsidRDefault="00445CD2" w:rsidP="002327F0">
            <w:pPr>
              <w:spacing w:after="0" w:line="240" w:lineRule="auto"/>
              <w:jc w:val="right"/>
              <w:rPr>
                <w:rFonts w:eastAsia="Times New Roman" w:cs="Times New Roman"/>
                <w:color w:val="000000"/>
              </w:rPr>
            </w:pPr>
            <w:r>
              <w:rPr>
                <w:color w:val="000000"/>
              </w:rPr>
              <w:t>30.6</w:t>
            </w:r>
          </w:p>
        </w:tc>
        <w:tc>
          <w:tcPr>
            <w:tcW w:w="144" w:type="pct"/>
            <w:tcBorders>
              <w:top w:val="nil"/>
              <w:left w:val="nil"/>
              <w:bottom w:val="nil"/>
              <w:right w:val="nil"/>
            </w:tcBorders>
            <w:vAlign w:val="center"/>
          </w:tcPr>
          <w:p w14:paraId="04215B1C"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0EB0EDE8" w14:textId="77777777" w:rsidR="00445CD2" w:rsidRDefault="00445CD2" w:rsidP="002327F0">
            <w:pPr>
              <w:spacing w:after="0" w:line="240" w:lineRule="auto"/>
              <w:jc w:val="right"/>
              <w:rPr>
                <w:rFonts w:eastAsia="Times New Roman" w:cs="Times New Roman"/>
                <w:color w:val="000000"/>
              </w:rPr>
            </w:pPr>
            <w:r>
              <w:rPr>
                <w:color w:val="000000"/>
              </w:rPr>
              <w:t xml:space="preserve">      1,720 </w:t>
            </w:r>
          </w:p>
        </w:tc>
        <w:tc>
          <w:tcPr>
            <w:tcW w:w="625" w:type="pct"/>
            <w:tcBorders>
              <w:left w:val="nil"/>
              <w:right w:val="nil"/>
            </w:tcBorders>
            <w:vAlign w:val="center"/>
          </w:tcPr>
          <w:p w14:paraId="34A3A19E" w14:textId="77777777" w:rsidR="00445CD2" w:rsidRDefault="00445CD2" w:rsidP="002327F0">
            <w:pPr>
              <w:spacing w:after="0" w:line="240" w:lineRule="auto"/>
              <w:jc w:val="right"/>
              <w:rPr>
                <w:rFonts w:eastAsia="Times New Roman" w:cs="Times New Roman"/>
                <w:color w:val="000000"/>
              </w:rPr>
            </w:pPr>
            <w:r>
              <w:rPr>
                <w:color w:val="000000"/>
              </w:rPr>
              <w:t>30.8</w:t>
            </w:r>
          </w:p>
        </w:tc>
      </w:tr>
      <w:tr w:rsidR="00445CD2" w:rsidRPr="008525E0" w14:paraId="24B36C84" w14:textId="77777777" w:rsidTr="002327F0">
        <w:trPr>
          <w:trHeight w:val="300"/>
        </w:trPr>
        <w:tc>
          <w:tcPr>
            <w:tcW w:w="1058" w:type="pct"/>
            <w:tcBorders>
              <w:top w:val="nil"/>
              <w:left w:val="nil"/>
              <w:bottom w:val="nil"/>
              <w:right w:val="nil"/>
            </w:tcBorders>
            <w:shd w:val="clear" w:color="auto" w:fill="auto"/>
            <w:noWrap/>
            <w:vAlign w:val="center"/>
          </w:tcPr>
          <w:p w14:paraId="22C18098" w14:textId="77777777" w:rsidR="00445CD2" w:rsidRDefault="00445CD2" w:rsidP="002327F0">
            <w:pPr>
              <w:spacing w:after="0" w:line="240" w:lineRule="auto"/>
              <w:ind w:firstLineChars="100" w:firstLine="220"/>
              <w:rPr>
                <w:rFonts w:eastAsia="Times New Roman" w:cs="Times New Roman"/>
                <w:color w:val="000000"/>
              </w:rPr>
            </w:pPr>
            <w:r w:rsidRPr="008525E0">
              <w:rPr>
                <w:rFonts w:eastAsia="Times New Roman" w:cs="Times New Roman"/>
              </w:rPr>
              <w:t>2016-17</w:t>
            </w:r>
          </w:p>
        </w:tc>
        <w:tc>
          <w:tcPr>
            <w:tcW w:w="527" w:type="pct"/>
            <w:tcBorders>
              <w:top w:val="nil"/>
              <w:left w:val="nil"/>
              <w:bottom w:val="nil"/>
              <w:right w:val="nil"/>
            </w:tcBorders>
            <w:shd w:val="clear" w:color="auto" w:fill="auto"/>
            <w:noWrap/>
            <w:vAlign w:val="center"/>
          </w:tcPr>
          <w:p w14:paraId="746F1D02" w14:textId="77777777" w:rsidR="00445CD2" w:rsidRDefault="00445CD2" w:rsidP="002327F0">
            <w:pPr>
              <w:spacing w:after="0" w:line="240" w:lineRule="auto"/>
              <w:jc w:val="right"/>
              <w:rPr>
                <w:rFonts w:eastAsia="Times New Roman" w:cs="Times New Roman"/>
                <w:color w:val="000000"/>
              </w:rPr>
            </w:pPr>
            <w:r w:rsidRPr="00474F4B">
              <w:t xml:space="preserve"> 790 </w:t>
            </w:r>
          </w:p>
        </w:tc>
        <w:tc>
          <w:tcPr>
            <w:tcW w:w="673" w:type="pct"/>
            <w:tcBorders>
              <w:top w:val="nil"/>
              <w:left w:val="nil"/>
              <w:bottom w:val="nil"/>
              <w:right w:val="nil"/>
            </w:tcBorders>
            <w:shd w:val="clear" w:color="auto" w:fill="auto"/>
            <w:noWrap/>
            <w:vAlign w:val="center"/>
          </w:tcPr>
          <w:p w14:paraId="65B8D51A" w14:textId="77777777" w:rsidR="00445CD2" w:rsidRDefault="00445CD2" w:rsidP="002327F0">
            <w:pPr>
              <w:spacing w:after="0" w:line="240" w:lineRule="auto"/>
              <w:jc w:val="right"/>
              <w:rPr>
                <w:rFonts w:eastAsia="Times New Roman" w:cs="Times New Roman"/>
                <w:color w:val="000000"/>
              </w:rPr>
            </w:pPr>
            <w:r>
              <w:rPr>
                <w:color w:val="000000"/>
              </w:rPr>
              <w:t>63.7</w:t>
            </w:r>
          </w:p>
        </w:tc>
        <w:tc>
          <w:tcPr>
            <w:tcW w:w="144" w:type="pct"/>
            <w:tcBorders>
              <w:top w:val="nil"/>
              <w:left w:val="nil"/>
              <w:bottom w:val="nil"/>
              <w:right w:val="nil"/>
            </w:tcBorders>
            <w:shd w:val="clear" w:color="auto" w:fill="auto"/>
            <w:noWrap/>
            <w:vAlign w:val="center"/>
          </w:tcPr>
          <w:p w14:paraId="7ED43E8D"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nil"/>
              <w:right w:val="nil"/>
            </w:tcBorders>
            <w:shd w:val="clear" w:color="auto" w:fill="auto"/>
            <w:noWrap/>
            <w:vAlign w:val="center"/>
          </w:tcPr>
          <w:p w14:paraId="2F70ADF2" w14:textId="77777777" w:rsidR="00445CD2" w:rsidRDefault="00445CD2" w:rsidP="002327F0">
            <w:pPr>
              <w:spacing w:after="0" w:line="240" w:lineRule="auto"/>
              <w:jc w:val="right"/>
              <w:rPr>
                <w:rFonts w:eastAsia="Times New Roman" w:cs="Times New Roman"/>
                <w:color w:val="000000"/>
              </w:rPr>
            </w:pPr>
            <w:r>
              <w:rPr>
                <w:color w:val="000000"/>
              </w:rPr>
              <w:t xml:space="preserve">         800 </w:t>
            </w:r>
          </w:p>
        </w:tc>
        <w:tc>
          <w:tcPr>
            <w:tcW w:w="673" w:type="pct"/>
            <w:tcBorders>
              <w:top w:val="nil"/>
              <w:left w:val="nil"/>
              <w:bottom w:val="nil"/>
              <w:right w:val="nil"/>
            </w:tcBorders>
            <w:shd w:val="clear" w:color="auto" w:fill="auto"/>
            <w:noWrap/>
            <w:vAlign w:val="center"/>
          </w:tcPr>
          <w:p w14:paraId="10CDE72C" w14:textId="77777777" w:rsidR="00445CD2" w:rsidRDefault="00445CD2" w:rsidP="002327F0">
            <w:pPr>
              <w:spacing w:after="0" w:line="240" w:lineRule="auto"/>
              <w:jc w:val="right"/>
              <w:rPr>
                <w:rFonts w:eastAsia="Times New Roman" w:cs="Times New Roman"/>
                <w:color w:val="000000"/>
              </w:rPr>
            </w:pPr>
            <w:r>
              <w:rPr>
                <w:color w:val="000000"/>
              </w:rPr>
              <w:t>25.9</w:t>
            </w:r>
          </w:p>
        </w:tc>
        <w:tc>
          <w:tcPr>
            <w:tcW w:w="144" w:type="pct"/>
            <w:tcBorders>
              <w:top w:val="nil"/>
              <w:left w:val="nil"/>
              <w:bottom w:val="nil"/>
              <w:right w:val="nil"/>
            </w:tcBorders>
            <w:vAlign w:val="center"/>
          </w:tcPr>
          <w:p w14:paraId="462A36AF" w14:textId="77777777" w:rsidR="00445CD2" w:rsidRDefault="00445CD2" w:rsidP="002327F0">
            <w:pPr>
              <w:spacing w:after="0" w:line="240" w:lineRule="auto"/>
              <w:jc w:val="right"/>
              <w:rPr>
                <w:rFonts w:eastAsia="Times New Roman" w:cs="Times New Roman"/>
                <w:color w:val="000000"/>
              </w:rPr>
            </w:pPr>
          </w:p>
        </w:tc>
        <w:tc>
          <w:tcPr>
            <w:tcW w:w="579" w:type="pct"/>
            <w:tcBorders>
              <w:left w:val="nil"/>
              <w:right w:val="nil"/>
            </w:tcBorders>
            <w:vAlign w:val="center"/>
          </w:tcPr>
          <w:p w14:paraId="5C80BE26" w14:textId="77777777" w:rsidR="00445CD2" w:rsidRDefault="00445CD2" w:rsidP="002327F0">
            <w:pPr>
              <w:spacing w:after="0" w:line="240" w:lineRule="auto"/>
              <w:jc w:val="right"/>
              <w:rPr>
                <w:rFonts w:eastAsia="Times New Roman" w:cs="Times New Roman"/>
                <w:color w:val="000000"/>
              </w:rPr>
            </w:pPr>
            <w:r>
              <w:rPr>
                <w:color w:val="000000"/>
              </w:rPr>
              <w:t xml:space="preserve">         770 </w:t>
            </w:r>
          </w:p>
        </w:tc>
        <w:tc>
          <w:tcPr>
            <w:tcW w:w="625" w:type="pct"/>
            <w:tcBorders>
              <w:left w:val="nil"/>
              <w:right w:val="nil"/>
            </w:tcBorders>
            <w:vAlign w:val="center"/>
          </w:tcPr>
          <w:p w14:paraId="520BAB32" w14:textId="77777777" w:rsidR="00445CD2" w:rsidRDefault="00445CD2" w:rsidP="002327F0">
            <w:pPr>
              <w:spacing w:after="0" w:line="240" w:lineRule="auto"/>
              <w:jc w:val="right"/>
              <w:rPr>
                <w:rFonts w:eastAsia="Times New Roman" w:cs="Times New Roman"/>
                <w:color w:val="000000"/>
              </w:rPr>
            </w:pPr>
            <w:r>
              <w:rPr>
                <w:color w:val="000000"/>
              </w:rPr>
              <w:t>27.1</w:t>
            </w:r>
          </w:p>
        </w:tc>
      </w:tr>
      <w:tr w:rsidR="00445CD2" w:rsidRPr="008525E0" w14:paraId="33B86063" w14:textId="77777777" w:rsidTr="002327F0">
        <w:trPr>
          <w:trHeight w:val="300"/>
        </w:trPr>
        <w:tc>
          <w:tcPr>
            <w:tcW w:w="1058" w:type="pct"/>
            <w:tcBorders>
              <w:top w:val="nil"/>
              <w:left w:val="nil"/>
              <w:bottom w:val="single" w:sz="4" w:space="0" w:color="auto"/>
              <w:right w:val="nil"/>
            </w:tcBorders>
            <w:shd w:val="clear" w:color="auto" w:fill="auto"/>
            <w:noWrap/>
            <w:vAlign w:val="bottom"/>
            <w:hideMark/>
          </w:tcPr>
          <w:p w14:paraId="1256C525" w14:textId="77777777" w:rsidR="00445CD2" w:rsidRPr="008525E0" w:rsidRDefault="00445CD2" w:rsidP="002327F0">
            <w:pPr>
              <w:spacing w:after="0" w:line="240" w:lineRule="auto"/>
              <w:rPr>
                <w:rFonts w:eastAsia="Times New Roman" w:cs="Times New Roman"/>
                <w:color w:val="000000"/>
              </w:rPr>
            </w:pPr>
          </w:p>
        </w:tc>
        <w:tc>
          <w:tcPr>
            <w:tcW w:w="527" w:type="pct"/>
            <w:tcBorders>
              <w:top w:val="nil"/>
              <w:left w:val="nil"/>
              <w:bottom w:val="single" w:sz="4" w:space="0" w:color="auto"/>
              <w:right w:val="nil"/>
            </w:tcBorders>
            <w:shd w:val="clear" w:color="auto" w:fill="auto"/>
            <w:noWrap/>
            <w:vAlign w:val="center"/>
            <w:hideMark/>
          </w:tcPr>
          <w:p w14:paraId="25D5D0F8" w14:textId="77777777" w:rsidR="00445CD2" w:rsidRPr="008525E0" w:rsidRDefault="00445CD2" w:rsidP="002327F0">
            <w:pPr>
              <w:spacing w:after="0" w:line="240" w:lineRule="auto"/>
              <w:jc w:val="right"/>
              <w:rPr>
                <w:rFonts w:eastAsia="Times New Roman" w:cs="Times New Roman"/>
                <w:color w:val="000000"/>
              </w:rPr>
            </w:pPr>
          </w:p>
        </w:tc>
        <w:tc>
          <w:tcPr>
            <w:tcW w:w="673" w:type="pct"/>
            <w:tcBorders>
              <w:top w:val="nil"/>
              <w:left w:val="nil"/>
              <w:bottom w:val="single" w:sz="4" w:space="0" w:color="auto"/>
              <w:right w:val="nil"/>
            </w:tcBorders>
            <w:shd w:val="clear" w:color="auto" w:fill="auto"/>
            <w:noWrap/>
            <w:vAlign w:val="center"/>
            <w:hideMark/>
          </w:tcPr>
          <w:p w14:paraId="16BE7A3C" w14:textId="77777777" w:rsidR="00445CD2" w:rsidRPr="008525E0" w:rsidRDefault="00445CD2" w:rsidP="002327F0">
            <w:pPr>
              <w:spacing w:after="0" w:line="240" w:lineRule="auto"/>
              <w:jc w:val="right"/>
              <w:rPr>
                <w:rFonts w:eastAsia="Times New Roman" w:cs="Times New Roman"/>
                <w:color w:val="000000"/>
              </w:rPr>
            </w:pPr>
          </w:p>
        </w:tc>
        <w:tc>
          <w:tcPr>
            <w:tcW w:w="144" w:type="pct"/>
            <w:tcBorders>
              <w:top w:val="nil"/>
              <w:left w:val="nil"/>
              <w:bottom w:val="single" w:sz="4" w:space="0" w:color="auto"/>
              <w:right w:val="nil"/>
            </w:tcBorders>
            <w:shd w:val="clear" w:color="auto" w:fill="auto"/>
            <w:noWrap/>
            <w:vAlign w:val="center"/>
            <w:hideMark/>
          </w:tcPr>
          <w:p w14:paraId="246415DB" w14:textId="77777777" w:rsidR="00445CD2" w:rsidRPr="008525E0" w:rsidRDefault="00445CD2" w:rsidP="002327F0">
            <w:pPr>
              <w:spacing w:after="0" w:line="240" w:lineRule="auto"/>
              <w:jc w:val="right"/>
              <w:rPr>
                <w:rFonts w:eastAsia="Times New Roman" w:cs="Times New Roman"/>
                <w:color w:val="000000"/>
              </w:rPr>
            </w:pPr>
          </w:p>
        </w:tc>
        <w:tc>
          <w:tcPr>
            <w:tcW w:w="577" w:type="pct"/>
            <w:tcBorders>
              <w:top w:val="nil"/>
              <w:left w:val="nil"/>
              <w:bottom w:val="single" w:sz="4" w:space="0" w:color="auto"/>
              <w:right w:val="nil"/>
            </w:tcBorders>
            <w:shd w:val="clear" w:color="auto" w:fill="auto"/>
            <w:noWrap/>
            <w:vAlign w:val="center"/>
            <w:hideMark/>
          </w:tcPr>
          <w:p w14:paraId="2EA74608" w14:textId="77777777" w:rsidR="00445CD2" w:rsidRPr="008525E0" w:rsidRDefault="00445CD2" w:rsidP="002327F0">
            <w:pPr>
              <w:spacing w:after="0" w:line="240" w:lineRule="auto"/>
              <w:jc w:val="right"/>
              <w:rPr>
                <w:rFonts w:eastAsia="Times New Roman" w:cs="Times New Roman"/>
                <w:color w:val="000000"/>
              </w:rPr>
            </w:pPr>
          </w:p>
        </w:tc>
        <w:tc>
          <w:tcPr>
            <w:tcW w:w="673" w:type="pct"/>
            <w:tcBorders>
              <w:top w:val="nil"/>
              <w:left w:val="nil"/>
              <w:bottom w:val="single" w:sz="4" w:space="0" w:color="auto"/>
              <w:right w:val="nil"/>
            </w:tcBorders>
            <w:shd w:val="clear" w:color="auto" w:fill="auto"/>
            <w:noWrap/>
            <w:vAlign w:val="center"/>
            <w:hideMark/>
          </w:tcPr>
          <w:p w14:paraId="623661B8" w14:textId="77777777" w:rsidR="00445CD2" w:rsidRPr="008525E0" w:rsidRDefault="00445CD2" w:rsidP="002327F0">
            <w:pPr>
              <w:spacing w:after="0" w:line="240" w:lineRule="auto"/>
              <w:jc w:val="right"/>
              <w:rPr>
                <w:rFonts w:eastAsia="Times New Roman" w:cs="Times New Roman"/>
                <w:color w:val="000000"/>
              </w:rPr>
            </w:pPr>
          </w:p>
        </w:tc>
        <w:tc>
          <w:tcPr>
            <w:tcW w:w="144" w:type="pct"/>
            <w:tcBorders>
              <w:top w:val="nil"/>
              <w:left w:val="nil"/>
              <w:bottom w:val="single" w:sz="4" w:space="0" w:color="auto"/>
              <w:right w:val="nil"/>
            </w:tcBorders>
            <w:vAlign w:val="center"/>
          </w:tcPr>
          <w:p w14:paraId="5B4FAE41" w14:textId="77777777" w:rsidR="00445CD2" w:rsidRPr="008525E0" w:rsidRDefault="00445CD2" w:rsidP="002327F0">
            <w:pPr>
              <w:spacing w:after="0" w:line="240" w:lineRule="auto"/>
              <w:jc w:val="center"/>
              <w:rPr>
                <w:rFonts w:eastAsia="Times New Roman" w:cs="Times New Roman"/>
                <w:color w:val="000000"/>
              </w:rPr>
            </w:pPr>
          </w:p>
        </w:tc>
        <w:tc>
          <w:tcPr>
            <w:tcW w:w="579" w:type="pct"/>
            <w:tcBorders>
              <w:left w:val="nil"/>
              <w:bottom w:val="single" w:sz="4" w:space="0" w:color="auto"/>
              <w:right w:val="nil"/>
            </w:tcBorders>
            <w:vAlign w:val="center"/>
          </w:tcPr>
          <w:p w14:paraId="1ADCC85C" w14:textId="77777777" w:rsidR="00445CD2" w:rsidRPr="008525E0" w:rsidRDefault="00445CD2" w:rsidP="002327F0">
            <w:pPr>
              <w:spacing w:after="0" w:line="240" w:lineRule="auto"/>
              <w:jc w:val="right"/>
              <w:rPr>
                <w:rFonts w:eastAsia="Times New Roman" w:cs="Times New Roman"/>
                <w:color w:val="000000"/>
              </w:rPr>
            </w:pPr>
          </w:p>
        </w:tc>
        <w:tc>
          <w:tcPr>
            <w:tcW w:w="625" w:type="pct"/>
            <w:tcBorders>
              <w:left w:val="nil"/>
              <w:bottom w:val="single" w:sz="4" w:space="0" w:color="auto"/>
              <w:right w:val="nil"/>
            </w:tcBorders>
            <w:vAlign w:val="center"/>
          </w:tcPr>
          <w:p w14:paraId="22FF359C" w14:textId="77777777" w:rsidR="00445CD2" w:rsidRPr="008525E0" w:rsidRDefault="00445CD2" w:rsidP="002327F0">
            <w:pPr>
              <w:spacing w:after="0" w:line="240" w:lineRule="auto"/>
              <w:jc w:val="right"/>
              <w:rPr>
                <w:rFonts w:eastAsia="Times New Roman" w:cs="Times New Roman"/>
                <w:color w:val="000000"/>
              </w:rPr>
            </w:pPr>
          </w:p>
        </w:tc>
      </w:tr>
    </w:tbl>
    <w:p w14:paraId="06AF60B0" w14:textId="77777777" w:rsidR="00700727" w:rsidRPr="00700727" w:rsidRDefault="00700727" w:rsidP="00700727"/>
    <w:p w14:paraId="11DBF516" w14:textId="2294012F" w:rsidR="005F5129" w:rsidRDefault="005F5129" w:rsidP="005F5129">
      <w:pPr>
        <w:pStyle w:val="Heading2"/>
        <w:spacing w:line="240" w:lineRule="auto"/>
      </w:pPr>
      <w:r>
        <w:t xml:space="preserve">Matching </w:t>
      </w:r>
      <w:r w:rsidR="00722B8F">
        <w:t>fields of study reported to different data systems</w:t>
      </w:r>
      <w:r>
        <w:t xml:space="preserve"> </w:t>
      </w:r>
    </w:p>
    <w:p w14:paraId="26055599" w14:textId="665FA432" w:rsidR="00B92CC9" w:rsidRDefault="004F7FFE" w:rsidP="005B08BD">
      <w:pPr>
        <w:spacing w:after="0" w:line="240" w:lineRule="auto"/>
      </w:pPr>
      <w:r>
        <w:t xml:space="preserve">NSLDS-identified graduates should also appear in the IPEDS Completions component for the corresponding cohort (award year) period. However, the NSLDS and IPEDS classifications of students </w:t>
      </w:r>
      <w:r>
        <w:lastRenderedPageBreak/>
        <w:t>may vary due to definitional differences between the two</w:t>
      </w:r>
      <w:r w:rsidR="00851BC5">
        <w:t xml:space="preserve"> systems</w:t>
      </w:r>
      <w:r>
        <w:t xml:space="preserve">. </w:t>
      </w:r>
      <w:r w:rsidR="00B92CC9">
        <w:t>To align the two data sources, IPEDS Completions data values were aggregated across award levels to correspond to the NSLDS credential levels (as noted in Figure X).  This mapping, however, is subject to bias including, but not limited to</w:t>
      </w:r>
      <w:r w:rsidR="00643109">
        <w:t>,</w:t>
      </w:r>
      <w:r w:rsidR="00B92CC9">
        <w:t xml:space="preserve"> the following situations:</w:t>
      </w:r>
    </w:p>
    <w:p w14:paraId="13DFC411" w14:textId="77777777" w:rsidR="00B92CC9" w:rsidRDefault="00B92CC9" w:rsidP="00B92CC9">
      <w:pPr>
        <w:pStyle w:val="ListParagraph"/>
        <w:numPr>
          <w:ilvl w:val="0"/>
          <w:numId w:val="14"/>
        </w:numPr>
      </w:pPr>
      <w:r>
        <w:t>The IPEDS Post-baccalaureate Certificate category may contain some awards that NSLDS classifies as Post-baccalaureate Certificates and others that NSLDS classifies as Graduate/Professional Certificates. Examining the data, the reported fields of study in IPEDS more closely aligned with the Graduate/Professional Certificate classification.</w:t>
      </w:r>
    </w:p>
    <w:p w14:paraId="0AD352E2" w14:textId="364922FA" w:rsidR="00D724EF" w:rsidRDefault="00B92CC9" w:rsidP="00B92CC9">
      <w:pPr>
        <w:pStyle w:val="ListParagraph"/>
        <w:numPr>
          <w:ilvl w:val="0"/>
          <w:numId w:val="14"/>
        </w:numPr>
      </w:pPr>
      <w:r>
        <w:t>The NSLDS</w:t>
      </w:r>
      <w:r w:rsidR="00D724EF">
        <w:t xml:space="preserve"> Post-baccalaureate Certificates category may contain awards that IPEDS classifies as undergraduate certificates (e.g., teacher licensure programs). Examining the data, there was no support for mapping IPEDS undergraduate certificates to the NSLDS Post-baccalaureate Certificate category.</w:t>
      </w:r>
    </w:p>
    <w:p w14:paraId="5665D35F" w14:textId="1FE10FBC" w:rsidR="00851BC5" w:rsidRDefault="00D724EF" w:rsidP="00B92CC9">
      <w:pPr>
        <w:pStyle w:val="ListParagraph"/>
        <w:numPr>
          <w:ilvl w:val="0"/>
          <w:numId w:val="14"/>
        </w:numPr>
      </w:pPr>
      <w:r>
        <w:t xml:space="preserve">IPEDS </w:t>
      </w:r>
      <w:r w:rsidR="00851BC5">
        <w:t>has not collected a</w:t>
      </w:r>
      <w:r>
        <w:t xml:space="preserve"> First-professional </w:t>
      </w:r>
      <w:r w:rsidR="00851BC5">
        <w:t>D</w:t>
      </w:r>
      <w:r>
        <w:t>egree category</w:t>
      </w:r>
      <w:r w:rsidR="00851BC5">
        <w:t xml:space="preserve"> since the 2009-10 collection</w:t>
      </w:r>
      <w:r>
        <w:t>. These degrees are primarily reported in the Doctor’s Degree – Professional Practice or Doctor’s Degree – Other categor</w:t>
      </w:r>
      <w:r w:rsidR="00643109">
        <w:t>ies</w:t>
      </w:r>
      <w:r>
        <w:t xml:space="preserve">, but ultimately </w:t>
      </w:r>
      <w:r w:rsidR="00643109">
        <w:t xml:space="preserve">classification of </w:t>
      </w:r>
      <w:r>
        <w:t xml:space="preserve">formerly </w:t>
      </w:r>
      <w:r w:rsidR="00643109">
        <w:t>f</w:t>
      </w:r>
      <w:r>
        <w:t>irst-professional degree</w:t>
      </w:r>
      <w:r w:rsidR="00643109">
        <w:t xml:space="preserve">s </w:t>
      </w:r>
      <w:r>
        <w:t>up to the institution</w:t>
      </w:r>
      <w:r w:rsidR="00643109">
        <w:t>, and the two doctoral degree categories mentioned may contain awards that were not previously regarded as first-professional</w:t>
      </w:r>
      <w:r>
        <w:t xml:space="preserve">. </w:t>
      </w:r>
      <w:r w:rsidR="00851BC5">
        <w:t xml:space="preserve">Additionally, some non-doctoral-level programs are considered first-professional (e.g., </w:t>
      </w:r>
      <w:proofErr w:type="spellStart"/>
      <w:proofErr w:type="gramStart"/>
      <w:r w:rsidR="00851BC5">
        <w:t>Master’s</w:t>
      </w:r>
      <w:proofErr w:type="spellEnd"/>
      <w:r w:rsidR="00851BC5">
        <w:t xml:space="preserve"> of Divinity</w:t>
      </w:r>
      <w:proofErr w:type="gramEnd"/>
      <w:r w:rsidR="00851BC5">
        <w:t xml:space="preserve">). </w:t>
      </w:r>
      <w:r>
        <w:t>As a result, there is some bias in the matching of these two IPEDS categories to the NSLDS First-professional Degree category.</w:t>
      </w:r>
    </w:p>
    <w:p w14:paraId="0FB32218" w14:textId="4461FE28" w:rsidR="00851BC5" w:rsidRDefault="00851BC5" w:rsidP="00643109"/>
    <w:p w14:paraId="3BC39C05" w14:textId="613B11C8" w:rsidR="00E317F6" w:rsidRDefault="00643109" w:rsidP="00643109">
      <w:r>
        <w:t>While CIP code definitions do not vary across systems, there is some evidence that institutions may report graduates under different CIP codes</w:t>
      </w:r>
      <w:r w:rsidR="00F90324">
        <w:t>. Figure X shows the increase in the number of fields of study before and after adding fields of study that exist only in IPEDS. These counts include non-Title IV fields of study and those where no borrowers completed</w:t>
      </w:r>
      <w:r w:rsidR="00E317F6">
        <w:t>, which would explain some of the increase</w:t>
      </w:r>
      <w:r w:rsidR="00F90324">
        <w:t xml:space="preserve">. However, the </w:t>
      </w:r>
      <w:r w:rsidR="00E317F6">
        <w:t>marked increase</w:t>
      </w:r>
      <w:r w:rsidR="00F90324">
        <w:t>, especially at the Undergraduate Certificate level</w:t>
      </w:r>
      <w:r w:rsidR="00E317F6">
        <w:t xml:space="preserve">, suggests there is additional mismatching between the two data sources. </w:t>
      </w:r>
    </w:p>
    <w:p w14:paraId="7E601CF1" w14:textId="0019AE8D" w:rsidR="00643109" w:rsidRDefault="00E317F6" w:rsidP="00643109">
      <w:r>
        <w:t>Figure X.</w:t>
      </w:r>
      <w:r w:rsidR="00F90324">
        <w:t xml:space="preserve"> </w:t>
      </w:r>
    </w:p>
    <w:p w14:paraId="2A485008" w14:textId="322612FA" w:rsidR="00FA1590" w:rsidRDefault="00F90324" w:rsidP="005B08BD">
      <w:pPr>
        <w:spacing w:after="0" w:line="240" w:lineRule="auto"/>
      </w:pPr>
      <w:r>
        <w:rPr>
          <w:noProof/>
        </w:rPr>
        <w:drawing>
          <wp:inline distT="0" distB="0" distL="0" distR="0" wp14:anchorId="45A403B1" wp14:editId="76460E1A">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4175"/>
                    </a:xfrm>
                    <a:prstGeom prst="rect">
                      <a:avLst/>
                    </a:prstGeom>
                  </pic:spPr>
                </pic:pic>
              </a:graphicData>
            </a:graphic>
          </wp:inline>
        </w:drawing>
      </w:r>
    </w:p>
    <w:p w14:paraId="79B2DB2E" w14:textId="478AEFA8" w:rsidR="00F00644" w:rsidRPr="009C194D" w:rsidRDefault="00F00644" w:rsidP="005B08BD">
      <w:pPr>
        <w:spacing w:after="0" w:line="240" w:lineRule="auto"/>
      </w:pPr>
      <w:r>
        <w:t>Source: NSLDS and IPEDS as of March 2019</w:t>
      </w:r>
    </w:p>
    <w:sectPr w:rsidR="00F00644" w:rsidRPr="009C19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u, Brian" w:date="2019-08-27T09:07:00Z" w:initials="FB">
    <w:p w14:paraId="63191F36" w14:textId="5DE2354A" w:rsidR="002327F0" w:rsidRDefault="002327F0">
      <w:pPr>
        <w:pStyle w:val="CommentText"/>
      </w:pPr>
      <w:r>
        <w:rPr>
          <w:rStyle w:val="CommentReference"/>
        </w:rPr>
        <w:annotationRef/>
      </w:r>
      <w:r>
        <w:t xml:space="preserve">Scott, given the recent discussion about </w:t>
      </w:r>
      <w:r w:rsidRPr="00F46B4C">
        <w:t>UNITID</w:t>
      </w:r>
      <w:r>
        <w:t xml:space="preserve"> and publishing accounts at the branch campus level, please update this text to describe what is happening here at the main and branch campuses.</w:t>
      </w:r>
    </w:p>
  </w:comment>
  <w:comment w:id="5" w:author="Ginder, Scott" w:date="2019-10-03T16:25:00Z" w:initials="GS">
    <w:p w14:paraId="6A629ABE" w14:textId="7B71D49C" w:rsidR="002327F0" w:rsidRDefault="002327F0">
      <w:pPr>
        <w:pStyle w:val="CommentText"/>
      </w:pPr>
      <w:r>
        <w:rPr>
          <w:rStyle w:val="CommentReference"/>
        </w:rPr>
        <w:annotationRef/>
      </w:r>
      <w:r>
        <w:t>These are excluded from the data files – remove from here?</w:t>
      </w:r>
    </w:p>
  </w:comment>
  <w:comment w:id="6" w:author="Ginder, Scott" w:date="2019-10-03T16:00:00Z" w:initials="GS">
    <w:p w14:paraId="57FE2D92" w14:textId="7057D258" w:rsidR="002327F0" w:rsidRDefault="002327F0">
      <w:pPr>
        <w:pStyle w:val="CommentText"/>
      </w:pPr>
      <w:r>
        <w:rPr>
          <w:rStyle w:val="CommentReference"/>
        </w:rPr>
        <w:annotationRef/>
      </w:r>
      <w:r>
        <w:t>I removed the COHORT description because that is no longer part of the dataset, given that the files are constructed on measurement year and not cohort year.</w:t>
      </w:r>
    </w:p>
  </w:comment>
  <w:comment w:id="9" w:author="Fu, Brian" w:date="2019-08-26T16:00:00Z" w:initials="FB">
    <w:p w14:paraId="2D9A530F" w14:textId="7F822C6B" w:rsidR="002327F0" w:rsidRDefault="002327F0">
      <w:pPr>
        <w:pStyle w:val="CommentText"/>
      </w:pPr>
      <w:r>
        <w:rPr>
          <w:rStyle w:val="CommentReference"/>
        </w:rPr>
        <w:annotationRef/>
      </w:r>
      <w:r>
        <w:t>Scott, I am basing this off of the current format or the data documentation includes variable names also referenced in the data dictionary. I will defer to you on whether there needs to be a separate data dictionary, or more worksheets in the current data dictionary. Please work with Patrick to get that data dictionary going with the appropriate API references.</w:t>
      </w:r>
    </w:p>
  </w:comment>
  <w:comment w:id="10" w:author="Ginder, Scott" w:date="2019-10-04T16:49:00Z" w:initials="GS">
    <w:p w14:paraId="735CAE85" w14:textId="17333062" w:rsidR="006323AA" w:rsidRDefault="006323AA">
      <w:pPr>
        <w:pStyle w:val="CommentText"/>
      </w:pPr>
      <w:r>
        <w:rPr>
          <w:rStyle w:val="CommentReference"/>
        </w:rPr>
        <w:annotationRef/>
      </w:r>
      <w:r>
        <w:t>It is in progress.</w:t>
      </w:r>
    </w:p>
  </w:comment>
  <w:comment w:id="11" w:author="Ginder, Scott" w:date="2019-10-03T17:25:00Z" w:initials="GS">
    <w:p w14:paraId="1825546C" w14:textId="7BF9489D" w:rsidR="00643109" w:rsidRDefault="00643109">
      <w:pPr>
        <w:pStyle w:val="CommentText"/>
      </w:pPr>
      <w:r>
        <w:rPr>
          <w:rStyle w:val="CommentReference"/>
        </w:rPr>
        <w:annotationRef/>
      </w:r>
      <w:r>
        <w:t>Remove if not in the files?</w:t>
      </w:r>
    </w:p>
  </w:comment>
  <w:comment w:id="13" w:author="Fu, Brian" w:date="2019-08-27T09:23:00Z" w:initials="FB">
    <w:p w14:paraId="4C11E725" w14:textId="58A83333" w:rsidR="002327F0" w:rsidRDefault="002327F0">
      <w:pPr>
        <w:pStyle w:val="CommentText"/>
      </w:pPr>
      <w:r>
        <w:rPr>
          <w:rStyle w:val="CommentReference"/>
        </w:rPr>
        <w:annotationRef/>
      </w:r>
      <w:r>
        <w:t xml:space="preserve">Scott, </w:t>
      </w:r>
      <w:proofErr w:type="gramStart"/>
      <w:r>
        <w:t>Depending</w:t>
      </w:r>
      <w:proofErr w:type="gramEnd"/>
      <w:r>
        <w:t xml:space="preserve"> on how we treat these, please make appropriate caveats</w:t>
      </w:r>
    </w:p>
  </w:comment>
  <w:comment w:id="14" w:author="Ginder, Scott" w:date="2019-10-03T16:43:00Z" w:initials="GS">
    <w:p w14:paraId="59E1EDCA" w14:textId="466C9CF7" w:rsidR="00E30A03" w:rsidRDefault="00E30A03">
      <w:pPr>
        <w:pStyle w:val="CommentText"/>
      </w:pPr>
      <w:r>
        <w:rPr>
          <w:rStyle w:val="CommentReference"/>
        </w:rPr>
        <w:annotationRef/>
      </w:r>
      <w:r>
        <w:t xml:space="preserve">The caveats are in the conversion of IPEDS award levels to NSLDS credential levels. I Think that is handled above in the table, and that the </w:t>
      </w:r>
      <w:proofErr w:type="spellStart"/>
      <w:r>
        <w:t>PBCerts</w:t>
      </w:r>
      <w:proofErr w:type="spellEnd"/>
      <w:r>
        <w:t xml:space="preserve"> are being handled exactly as understood by NSLDS.</w:t>
      </w:r>
    </w:p>
  </w:comment>
  <w:comment w:id="16" w:author="Fu, Brian" w:date="2019-08-26T16:41:00Z" w:initials="FB">
    <w:p w14:paraId="6F90C41A" w14:textId="3262B158" w:rsidR="002327F0" w:rsidRDefault="002327F0">
      <w:pPr>
        <w:pStyle w:val="CommentText"/>
      </w:pPr>
      <w:r>
        <w:rPr>
          <w:rStyle w:val="CommentReference"/>
        </w:rPr>
        <w:annotationRef/>
      </w:r>
      <w:r>
        <w:t xml:space="preserve">Scott, any caveats you would want to include about this? Please add a section about mismatched programs… </w:t>
      </w:r>
    </w:p>
  </w:comment>
  <w:comment w:id="21" w:author="Ginder, Scott" w:date="2019-10-03T17:27:00Z" w:initials="GS">
    <w:p w14:paraId="5FB5168C" w14:textId="57361CBF" w:rsidR="00643109" w:rsidRDefault="00643109">
      <w:pPr>
        <w:pStyle w:val="CommentText"/>
      </w:pPr>
      <w:r>
        <w:rPr>
          <w:rStyle w:val="CommentReference"/>
        </w:rPr>
        <w:annotationRef/>
      </w:r>
      <w:r w:rsidR="00E317F6">
        <w:t>It looks to me like that information is directly below this comment – if not, I do not know what this refers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91F36" w15:done="1"/>
  <w15:commentEx w15:paraId="6A629ABE" w15:done="0"/>
  <w15:commentEx w15:paraId="57FE2D92" w15:done="0"/>
  <w15:commentEx w15:paraId="2D9A530F" w15:done="0"/>
  <w15:commentEx w15:paraId="735CAE85" w15:paraIdParent="2D9A530F" w15:done="0"/>
  <w15:commentEx w15:paraId="1825546C" w15:done="0"/>
  <w15:commentEx w15:paraId="4C11E725" w15:done="0"/>
  <w15:commentEx w15:paraId="59E1EDCA" w15:paraIdParent="4C11E725" w15:done="0"/>
  <w15:commentEx w15:paraId="6F90C41A" w15:done="1"/>
  <w15:commentEx w15:paraId="5FB516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91F36" w16cid:durableId="210F7164"/>
  <w16cid:commentId w16cid:paraId="6A629ABE" w16cid:durableId="21409F63"/>
  <w16cid:commentId w16cid:paraId="57FE2D92" w16cid:durableId="2140999C"/>
  <w16cid:commentId w16cid:paraId="2D9A530F" w16cid:durableId="210E809B"/>
  <w16cid:commentId w16cid:paraId="735CAE85" w16cid:durableId="2141F6A4"/>
  <w16cid:commentId w16cid:paraId="1825546C" w16cid:durableId="2140AD9B"/>
  <w16cid:commentId w16cid:paraId="4C11E725" w16cid:durableId="210F7503"/>
  <w16cid:commentId w16cid:paraId="59E1EDCA" w16cid:durableId="2140A3BE"/>
  <w16cid:commentId w16cid:paraId="6F90C41A" w16cid:durableId="210E8A28"/>
  <w16cid:commentId w16cid:paraId="5FB5168C" w16cid:durableId="2140A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B7AB5" w14:textId="77777777" w:rsidR="001F4536" w:rsidRDefault="001F4536" w:rsidP="00AC15D1">
      <w:pPr>
        <w:spacing w:after="0" w:line="240" w:lineRule="auto"/>
      </w:pPr>
      <w:r>
        <w:separator/>
      </w:r>
    </w:p>
  </w:endnote>
  <w:endnote w:type="continuationSeparator" w:id="0">
    <w:p w14:paraId="75538B45" w14:textId="77777777" w:rsidR="001F4536" w:rsidRDefault="001F4536" w:rsidP="00AC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Times New Roman Bold">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A9B8F" w14:textId="77777777" w:rsidR="001F4536" w:rsidRDefault="001F4536" w:rsidP="00AC15D1">
      <w:pPr>
        <w:spacing w:after="0" w:line="240" w:lineRule="auto"/>
      </w:pPr>
      <w:r>
        <w:separator/>
      </w:r>
    </w:p>
  </w:footnote>
  <w:footnote w:type="continuationSeparator" w:id="0">
    <w:p w14:paraId="0A09109C" w14:textId="77777777" w:rsidR="001F4536" w:rsidRDefault="001F4536" w:rsidP="00AC15D1">
      <w:pPr>
        <w:spacing w:after="0" w:line="240" w:lineRule="auto"/>
      </w:pPr>
      <w:r>
        <w:continuationSeparator/>
      </w:r>
    </w:p>
  </w:footnote>
  <w:footnote w:id="1">
    <w:p w14:paraId="4B088870" w14:textId="6515E86A" w:rsidR="002327F0" w:rsidRDefault="002327F0">
      <w:pPr>
        <w:pStyle w:val="FootnoteText"/>
      </w:pPr>
      <w:r>
        <w:rPr>
          <w:rStyle w:val="FootnoteReference"/>
        </w:rPr>
        <w:footnoteRef/>
      </w:r>
      <w:r>
        <w:t xml:space="preserve"> See the </w:t>
      </w:r>
      <w:hyperlink r:id="rId1" w:history="1">
        <w:r>
          <w:rPr>
            <w:rStyle w:val="Hyperlink"/>
            <w:rFonts w:eastAsia="Times New Roman"/>
          </w:rPr>
          <w:t>Scorecard d</w:t>
        </w:r>
        <w:r w:rsidRPr="00B235A6">
          <w:rPr>
            <w:rStyle w:val="Hyperlink"/>
            <w:rFonts w:eastAsia="Times New Roman"/>
          </w:rPr>
          <w:t>ocumentation report</w:t>
        </w:r>
      </w:hyperlink>
      <w:r>
        <w:rPr>
          <w:rFonts w:eastAsia="Times New Roman"/>
        </w:rPr>
        <w:t xml:space="preserve"> for more information on the universe of institutions provided on the consumer facing tool.</w:t>
      </w:r>
    </w:p>
  </w:footnote>
  <w:footnote w:id="2">
    <w:p w14:paraId="7BDE79E4" w14:textId="276EF14A" w:rsidR="002327F0" w:rsidRDefault="002327F0">
      <w:pPr>
        <w:pStyle w:val="FootnoteText"/>
      </w:pPr>
      <w:r>
        <w:rPr>
          <w:rStyle w:val="FootnoteReference"/>
        </w:rPr>
        <w:footnoteRef/>
      </w:r>
      <w:r>
        <w:t xml:space="preserve"> See </w:t>
      </w:r>
      <w:r w:rsidRPr="001A1807">
        <w:t>https://collegescorecard.ed.gov/data/</w:t>
      </w:r>
    </w:p>
  </w:footnote>
  <w:footnote w:id="3">
    <w:p w14:paraId="37025496" w14:textId="3092A9A7" w:rsidR="002327F0" w:rsidRDefault="002327F0">
      <w:pPr>
        <w:pStyle w:val="FootnoteText"/>
      </w:pPr>
      <w:r>
        <w:rPr>
          <w:rStyle w:val="FootnoteReference"/>
        </w:rPr>
        <w:footnoteRef/>
      </w:r>
      <w:r>
        <w:t xml:space="preserve"> See </w:t>
      </w:r>
      <w:hyperlink r:id="rId2" w:history="1">
        <w:r>
          <w:rPr>
            <w:rStyle w:val="Hyperlink"/>
          </w:rPr>
          <w:t>https://nces.ed.gov/Datalab/TablesLibrary/TableDetails/12639?keyword=nonfederal&amp;rst=true</w:t>
        </w:r>
      </w:hyperlink>
    </w:p>
  </w:footnote>
  <w:footnote w:id="4">
    <w:p w14:paraId="31C6E09D" w14:textId="5CC300D4" w:rsidR="002327F0" w:rsidRDefault="002327F0">
      <w:pPr>
        <w:pStyle w:val="FootnoteText"/>
      </w:pPr>
      <w:r>
        <w:rPr>
          <w:rStyle w:val="FootnoteReference"/>
        </w:rPr>
        <w:footnoteRef/>
      </w:r>
      <w:r>
        <w:t xml:space="preserve"> See </w:t>
      </w:r>
      <w:hyperlink r:id="rId3" w:history="1">
        <w:r w:rsidRPr="00C920A7">
          <w:rPr>
            <w:rStyle w:val="Hyperlink"/>
          </w:rPr>
          <w:t>https://papers.ssrn.com/sol3/papers.cfm?abstract_id=2880319</w:t>
        </w:r>
      </w:hyperlink>
      <w:r>
        <w:t xml:space="preserve"> </w:t>
      </w:r>
    </w:p>
  </w:footnote>
  <w:footnote w:id="5">
    <w:p w14:paraId="7A1B897D" w14:textId="399DE054" w:rsidR="002327F0" w:rsidRDefault="002327F0">
      <w:pPr>
        <w:pStyle w:val="FootnoteText"/>
      </w:pPr>
      <w:r>
        <w:rPr>
          <w:rStyle w:val="FootnoteReference"/>
        </w:rPr>
        <w:footnoteRef/>
      </w:r>
      <w:r>
        <w:t xml:space="preserve"> Analysis not shown in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3152"/>
    <w:multiLevelType w:val="hybridMultilevel"/>
    <w:tmpl w:val="97C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2593F"/>
    <w:multiLevelType w:val="multilevel"/>
    <w:tmpl w:val="FC3C2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A0045"/>
    <w:multiLevelType w:val="hybridMultilevel"/>
    <w:tmpl w:val="F67A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76C33"/>
    <w:multiLevelType w:val="hybridMultilevel"/>
    <w:tmpl w:val="71F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53BD1"/>
    <w:multiLevelType w:val="hybridMultilevel"/>
    <w:tmpl w:val="E1A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6026F"/>
    <w:multiLevelType w:val="hybridMultilevel"/>
    <w:tmpl w:val="F5E6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1763D"/>
    <w:multiLevelType w:val="hybridMultilevel"/>
    <w:tmpl w:val="C29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73DDD"/>
    <w:multiLevelType w:val="hybridMultilevel"/>
    <w:tmpl w:val="073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55CAA"/>
    <w:multiLevelType w:val="hybridMultilevel"/>
    <w:tmpl w:val="0BD43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37EE5"/>
    <w:multiLevelType w:val="hybridMultilevel"/>
    <w:tmpl w:val="C4B4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C77D1"/>
    <w:multiLevelType w:val="hybridMultilevel"/>
    <w:tmpl w:val="DD742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31D11"/>
    <w:multiLevelType w:val="hybridMultilevel"/>
    <w:tmpl w:val="8F4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21F67"/>
    <w:multiLevelType w:val="hybridMultilevel"/>
    <w:tmpl w:val="BF4E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C7926"/>
    <w:multiLevelType w:val="hybridMultilevel"/>
    <w:tmpl w:val="EA7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4"/>
  </w:num>
  <w:num w:numId="5">
    <w:abstractNumId w:val="10"/>
  </w:num>
  <w:num w:numId="6">
    <w:abstractNumId w:val="3"/>
  </w:num>
  <w:num w:numId="7">
    <w:abstractNumId w:val="13"/>
  </w:num>
  <w:num w:numId="8">
    <w:abstractNumId w:val="0"/>
  </w:num>
  <w:num w:numId="9">
    <w:abstractNumId w:val="5"/>
  </w:num>
  <w:num w:numId="10">
    <w:abstractNumId w:val="11"/>
  </w:num>
  <w:num w:numId="11">
    <w:abstractNumId w:val="2"/>
  </w:num>
  <w:num w:numId="12">
    <w:abstractNumId w:val="7"/>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 Brian">
    <w15:presenceInfo w15:providerId="AD" w15:userId="S::Brian.Fu@ed.gov::8879909a-56d7-4545-9a3b-fd19d63db843"/>
  </w15:person>
  <w15:person w15:author="Ginder, Scott">
    <w15:presenceInfo w15:providerId="AD" w15:userId="S::sginder@rti.org::2ede937a-213b-4de8-baa3-1a9de8774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18C06EB-B891-411B-A329-792F494F2A4A}"/>
    <w:docVar w:name="dgnword-eventsink" w:val="2252170897760"/>
  </w:docVars>
  <w:rsids>
    <w:rsidRoot w:val="00AA386E"/>
    <w:rsid w:val="000030A2"/>
    <w:rsid w:val="0000324E"/>
    <w:rsid w:val="000034ED"/>
    <w:rsid w:val="0001510C"/>
    <w:rsid w:val="000154E4"/>
    <w:rsid w:val="00015FAA"/>
    <w:rsid w:val="00022F03"/>
    <w:rsid w:val="0002467A"/>
    <w:rsid w:val="00031D15"/>
    <w:rsid w:val="0003326D"/>
    <w:rsid w:val="000334BE"/>
    <w:rsid w:val="00040706"/>
    <w:rsid w:val="000412EC"/>
    <w:rsid w:val="000421E5"/>
    <w:rsid w:val="000504F3"/>
    <w:rsid w:val="0005061B"/>
    <w:rsid w:val="00055936"/>
    <w:rsid w:val="0006553D"/>
    <w:rsid w:val="000674CA"/>
    <w:rsid w:val="0006773B"/>
    <w:rsid w:val="000748F5"/>
    <w:rsid w:val="000751D5"/>
    <w:rsid w:val="00080E1B"/>
    <w:rsid w:val="00080F87"/>
    <w:rsid w:val="00082F06"/>
    <w:rsid w:val="00087FC2"/>
    <w:rsid w:val="000900BF"/>
    <w:rsid w:val="00092657"/>
    <w:rsid w:val="0009322A"/>
    <w:rsid w:val="0009325C"/>
    <w:rsid w:val="00094BD8"/>
    <w:rsid w:val="000A03D2"/>
    <w:rsid w:val="000A2D4E"/>
    <w:rsid w:val="000A56F7"/>
    <w:rsid w:val="000A5FDA"/>
    <w:rsid w:val="000B2AA9"/>
    <w:rsid w:val="000B35EC"/>
    <w:rsid w:val="000B4023"/>
    <w:rsid w:val="000B64D2"/>
    <w:rsid w:val="000C4711"/>
    <w:rsid w:val="000C68E2"/>
    <w:rsid w:val="000D48A9"/>
    <w:rsid w:val="000E0CBF"/>
    <w:rsid w:val="000E1077"/>
    <w:rsid w:val="000E2D91"/>
    <w:rsid w:val="000E6180"/>
    <w:rsid w:val="000E6FEA"/>
    <w:rsid w:val="000E70CF"/>
    <w:rsid w:val="000E7B4B"/>
    <w:rsid w:val="000F2E54"/>
    <w:rsid w:val="000F4A1F"/>
    <w:rsid w:val="00103450"/>
    <w:rsid w:val="0010564C"/>
    <w:rsid w:val="00110241"/>
    <w:rsid w:val="001150FF"/>
    <w:rsid w:val="00116C01"/>
    <w:rsid w:val="0011726B"/>
    <w:rsid w:val="0012057E"/>
    <w:rsid w:val="001207EE"/>
    <w:rsid w:val="00121B20"/>
    <w:rsid w:val="00121F08"/>
    <w:rsid w:val="00123488"/>
    <w:rsid w:val="001272B2"/>
    <w:rsid w:val="00131466"/>
    <w:rsid w:val="001369F2"/>
    <w:rsid w:val="00140236"/>
    <w:rsid w:val="00140440"/>
    <w:rsid w:val="001445B2"/>
    <w:rsid w:val="00150D0A"/>
    <w:rsid w:val="0015504A"/>
    <w:rsid w:val="0015548C"/>
    <w:rsid w:val="00157527"/>
    <w:rsid w:val="001636FC"/>
    <w:rsid w:val="00172F2B"/>
    <w:rsid w:val="00173542"/>
    <w:rsid w:val="00176771"/>
    <w:rsid w:val="001770C0"/>
    <w:rsid w:val="00181859"/>
    <w:rsid w:val="00184BD7"/>
    <w:rsid w:val="001969A0"/>
    <w:rsid w:val="001A1807"/>
    <w:rsid w:val="001A3518"/>
    <w:rsid w:val="001A5948"/>
    <w:rsid w:val="001B1E8C"/>
    <w:rsid w:val="001B74A0"/>
    <w:rsid w:val="001C041C"/>
    <w:rsid w:val="001C3F74"/>
    <w:rsid w:val="001C62C5"/>
    <w:rsid w:val="001C76DA"/>
    <w:rsid w:val="001D1B14"/>
    <w:rsid w:val="001D4684"/>
    <w:rsid w:val="001D55E6"/>
    <w:rsid w:val="001D628E"/>
    <w:rsid w:val="001E12AA"/>
    <w:rsid w:val="001E1CD3"/>
    <w:rsid w:val="001E3DBB"/>
    <w:rsid w:val="001F0932"/>
    <w:rsid w:val="001F4536"/>
    <w:rsid w:val="001F4782"/>
    <w:rsid w:val="001F7261"/>
    <w:rsid w:val="001F7CDC"/>
    <w:rsid w:val="0020044F"/>
    <w:rsid w:val="0020067F"/>
    <w:rsid w:val="00203A7C"/>
    <w:rsid w:val="002056BA"/>
    <w:rsid w:val="00206D0A"/>
    <w:rsid w:val="0020732B"/>
    <w:rsid w:val="00211431"/>
    <w:rsid w:val="00211805"/>
    <w:rsid w:val="00212D13"/>
    <w:rsid w:val="00213041"/>
    <w:rsid w:val="002141FA"/>
    <w:rsid w:val="00215923"/>
    <w:rsid w:val="00215FFC"/>
    <w:rsid w:val="002161DC"/>
    <w:rsid w:val="00217D9A"/>
    <w:rsid w:val="00221081"/>
    <w:rsid w:val="00221362"/>
    <w:rsid w:val="00224301"/>
    <w:rsid w:val="0023046B"/>
    <w:rsid w:val="00230AFE"/>
    <w:rsid w:val="0023227A"/>
    <w:rsid w:val="002327F0"/>
    <w:rsid w:val="002353F3"/>
    <w:rsid w:val="00236503"/>
    <w:rsid w:val="00236563"/>
    <w:rsid w:val="002426FD"/>
    <w:rsid w:val="002450AB"/>
    <w:rsid w:val="002555C2"/>
    <w:rsid w:val="002557C2"/>
    <w:rsid w:val="002620A9"/>
    <w:rsid w:val="002653A7"/>
    <w:rsid w:val="00266692"/>
    <w:rsid w:val="00272437"/>
    <w:rsid w:val="00272D7F"/>
    <w:rsid w:val="00273B94"/>
    <w:rsid w:val="00275346"/>
    <w:rsid w:val="00284225"/>
    <w:rsid w:val="00284293"/>
    <w:rsid w:val="002860AD"/>
    <w:rsid w:val="00287353"/>
    <w:rsid w:val="00290224"/>
    <w:rsid w:val="0029109D"/>
    <w:rsid w:val="00296DA8"/>
    <w:rsid w:val="002A1226"/>
    <w:rsid w:val="002A3158"/>
    <w:rsid w:val="002A5756"/>
    <w:rsid w:val="002B0EA3"/>
    <w:rsid w:val="002B1AFD"/>
    <w:rsid w:val="002B3BAE"/>
    <w:rsid w:val="002B3BD6"/>
    <w:rsid w:val="002B4933"/>
    <w:rsid w:val="002B523D"/>
    <w:rsid w:val="002B6B16"/>
    <w:rsid w:val="002C0D90"/>
    <w:rsid w:val="002C2E18"/>
    <w:rsid w:val="002C4860"/>
    <w:rsid w:val="002C7F8E"/>
    <w:rsid w:val="002D66C3"/>
    <w:rsid w:val="002D75C0"/>
    <w:rsid w:val="002E3595"/>
    <w:rsid w:val="002F3808"/>
    <w:rsid w:val="002F3B21"/>
    <w:rsid w:val="002F3D0C"/>
    <w:rsid w:val="002F6A80"/>
    <w:rsid w:val="00305F53"/>
    <w:rsid w:val="00310B0C"/>
    <w:rsid w:val="00310F43"/>
    <w:rsid w:val="00314FB7"/>
    <w:rsid w:val="00321F6C"/>
    <w:rsid w:val="00326321"/>
    <w:rsid w:val="00330C64"/>
    <w:rsid w:val="00331D11"/>
    <w:rsid w:val="00333555"/>
    <w:rsid w:val="003365FC"/>
    <w:rsid w:val="00336876"/>
    <w:rsid w:val="00336D40"/>
    <w:rsid w:val="00336D80"/>
    <w:rsid w:val="0033721C"/>
    <w:rsid w:val="00342D3A"/>
    <w:rsid w:val="00346393"/>
    <w:rsid w:val="00346733"/>
    <w:rsid w:val="00347802"/>
    <w:rsid w:val="00355531"/>
    <w:rsid w:val="00360237"/>
    <w:rsid w:val="0036410A"/>
    <w:rsid w:val="00367288"/>
    <w:rsid w:val="00377222"/>
    <w:rsid w:val="00380CBB"/>
    <w:rsid w:val="003820F8"/>
    <w:rsid w:val="00383A84"/>
    <w:rsid w:val="00391611"/>
    <w:rsid w:val="003A01D0"/>
    <w:rsid w:val="003A547F"/>
    <w:rsid w:val="003A7942"/>
    <w:rsid w:val="003B1EA2"/>
    <w:rsid w:val="003B6495"/>
    <w:rsid w:val="003C02F6"/>
    <w:rsid w:val="003C5C71"/>
    <w:rsid w:val="003C7D96"/>
    <w:rsid w:val="003D22A8"/>
    <w:rsid w:val="003E1F46"/>
    <w:rsid w:val="003F4244"/>
    <w:rsid w:val="003F711F"/>
    <w:rsid w:val="0040231E"/>
    <w:rsid w:val="00402CE8"/>
    <w:rsid w:val="00405C6F"/>
    <w:rsid w:val="00405C96"/>
    <w:rsid w:val="004124FC"/>
    <w:rsid w:val="0041506D"/>
    <w:rsid w:val="004178BB"/>
    <w:rsid w:val="004211D2"/>
    <w:rsid w:val="0042193C"/>
    <w:rsid w:val="004226F3"/>
    <w:rsid w:val="00426D80"/>
    <w:rsid w:val="0043198F"/>
    <w:rsid w:val="00432676"/>
    <w:rsid w:val="00433FC3"/>
    <w:rsid w:val="00435786"/>
    <w:rsid w:val="00441C98"/>
    <w:rsid w:val="00442186"/>
    <w:rsid w:val="00442894"/>
    <w:rsid w:val="004443E0"/>
    <w:rsid w:val="00444C89"/>
    <w:rsid w:val="00445CD2"/>
    <w:rsid w:val="0045083A"/>
    <w:rsid w:val="004509BE"/>
    <w:rsid w:val="00450DEF"/>
    <w:rsid w:val="00463847"/>
    <w:rsid w:val="0046641C"/>
    <w:rsid w:val="004673A0"/>
    <w:rsid w:val="004712A9"/>
    <w:rsid w:val="0047779E"/>
    <w:rsid w:val="004778AA"/>
    <w:rsid w:val="0048127E"/>
    <w:rsid w:val="004859BC"/>
    <w:rsid w:val="00485B5D"/>
    <w:rsid w:val="00486C05"/>
    <w:rsid w:val="0048720E"/>
    <w:rsid w:val="00496C50"/>
    <w:rsid w:val="004A1CC2"/>
    <w:rsid w:val="004B1534"/>
    <w:rsid w:val="004B2A93"/>
    <w:rsid w:val="004C1ABA"/>
    <w:rsid w:val="004C2AC9"/>
    <w:rsid w:val="004C55D5"/>
    <w:rsid w:val="004C67E4"/>
    <w:rsid w:val="004D325C"/>
    <w:rsid w:val="004D510E"/>
    <w:rsid w:val="004D673C"/>
    <w:rsid w:val="004E02C7"/>
    <w:rsid w:val="004E6114"/>
    <w:rsid w:val="004E747C"/>
    <w:rsid w:val="004E7D06"/>
    <w:rsid w:val="004F0055"/>
    <w:rsid w:val="004F0758"/>
    <w:rsid w:val="004F26F9"/>
    <w:rsid w:val="004F545F"/>
    <w:rsid w:val="004F7FFE"/>
    <w:rsid w:val="0050027A"/>
    <w:rsid w:val="005036A4"/>
    <w:rsid w:val="0050567F"/>
    <w:rsid w:val="00505753"/>
    <w:rsid w:val="005065CA"/>
    <w:rsid w:val="0050674F"/>
    <w:rsid w:val="00510053"/>
    <w:rsid w:val="0051114E"/>
    <w:rsid w:val="00511CD5"/>
    <w:rsid w:val="00513AA6"/>
    <w:rsid w:val="00515432"/>
    <w:rsid w:val="0051670A"/>
    <w:rsid w:val="0052226E"/>
    <w:rsid w:val="00530369"/>
    <w:rsid w:val="0053239A"/>
    <w:rsid w:val="00532495"/>
    <w:rsid w:val="00533DBD"/>
    <w:rsid w:val="00535FF1"/>
    <w:rsid w:val="0053781A"/>
    <w:rsid w:val="00537A01"/>
    <w:rsid w:val="005444DD"/>
    <w:rsid w:val="00547302"/>
    <w:rsid w:val="00547C5C"/>
    <w:rsid w:val="0055179F"/>
    <w:rsid w:val="00552845"/>
    <w:rsid w:val="005559F7"/>
    <w:rsid w:val="00556CBD"/>
    <w:rsid w:val="0056111A"/>
    <w:rsid w:val="005646AC"/>
    <w:rsid w:val="00570B79"/>
    <w:rsid w:val="005716A5"/>
    <w:rsid w:val="00571C1C"/>
    <w:rsid w:val="0057431A"/>
    <w:rsid w:val="005752C5"/>
    <w:rsid w:val="005814E5"/>
    <w:rsid w:val="005815E6"/>
    <w:rsid w:val="005934DB"/>
    <w:rsid w:val="00597F14"/>
    <w:rsid w:val="005A0E95"/>
    <w:rsid w:val="005A2E30"/>
    <w:rsid w:val="005A5272"/>
    <w:rsid w:val="005B08BD"/>
    <w:rsid w:val="005B13CC"/>
    <w:rsid w:val="005B507E"/>
    <w:rsid w:val="005B76B7"/>
    <w:rsid w:val="005C6D9B"/>
    <w:rsid w:val="005D0B95"/>
    <w:rsid w:val="005D4F17"/>
    <w:rsid w:val="005E3687"/>
    <w:rsid w:val="005F0E33"/>
    <w:rsid w:val="005F21AF"/>
    <w:rsid w:val="005F221B"/>
    <w:rsid w:val="005F2610"/>
    <w:rsid w:val="005F5129"/>
    <w:rsid w:val="005F649D"/>
    <w:rsid w:val="006026F0"/>
    <w:rsid w:val="00603492"/>
    <w:rsid w:val="00603C13"/>
    <w:rsid w:val="00603F41"/>
    <w:rsid w:val="006063F9"/>
    <w:rsid w:val="0060674D"/>
    <w:rsid w:val="00610FBB"/>
    <w:rsid w:val="0061360A"/>
    <w:rsid w:val="0061584E"/>
    <w:rsid w:val="00617970"/>
    <w:rsid w:val="00621529"/>
    <w:rsid w:val="0062409A"/>
    <w:rsid w:val="006255B3"/>
    <w:rsid w:val="00625C7D"/>
    <w:rsid w:val="0063068F"/>
    <w:rsid w:val="0063159A"/>
    <w:rsid w:val="00631D96"/>
    <w:rsid w:val="006323AA"/>
    <w:rsid w:val="0063550B"/>
    <w:rsid w:val="00637863"/>
    <w:rsid w:val="00640776"/>
    <w:rsid w:val="00643109"/>
    <w:rsid w:val="00651B8A"/>
    <w:rsid w:val="00653A04"/>
    <w:rsid w:val="00653E06"/>
    <w:rsid w:val="00656E94"/>
    <w:rsid w:val="00657AFA"/>
    <w:rsid w:val="0066066C"/>
    <w:rsid w:val="00661E32"/>
    <w:rsid w:val="006678F6"/>
    <w:rsid w:val="00671E9D"/>
    <w:rsid w:val="006722FF"/>
    <w:rsid w:val="00673D3E"/>
    <w:rsid w:val="0067607D"/>
    <w:rsid w:val="00676877"/>
    <w:rsid w:val="0069259E"/>
    <w:rsid w:val="00694DA4"/>
    <w:rsid w:val="006A109A"/>
    <w:rsid w:val="006A634B"/>
    <w:rsid w:val="006A643A"/>
    <w:rsid w:val="006A7F27"/>
    <w:rsid w:val="006C1DF6"/>
    <w:rsid w:val="006C2F7C"/>
    <w:rsid w:val="006D16F8"/>
    <w:rsid w:val="006D4C0B"/>
    <w:rsid w:val="006D5397"/>
    <w:rsid w:val="006D5978"/>
    <w:rsid w:val="006D5EE0"/>
    <w:rsid w:val="006E390A"/>
    <w:rsid w:val="006E467C"/>
    <w:rsid w:val="006F50E9"/>
    <w:rsid w:val="006F7E70"/>
    <w:rsid w:val="00700727"/>
    <w:rsid w:val="00700C5B"/>
    <w:rsid w:val="00701016"/>
    <w:rsid w:val="00701AAC"/>
    <w:rsid w:val="00702F8A"/>
    <w:rsid w:val="007045EE"/>
    <w:rsid w:val="007071D4"/>
    <w:rsid w:val="007117CC"/>
    <w:rsid w:val="00712D89"/>
    <w:rsid w:val="00713D35"/>
    <w:rsid w:val="007179DE"/>
    <w:rsid w:val="00721A3C"/>
    <w:rsid w:val="00722B8F"/>
    <w:rsid w:val="007244B6"/>
    <w:rsid w:val="00726A7E"/>
    <w:rsid w:val="00726D18"/>
    <w:rsid w:val="007275AE"/>
    <w:rsid w:val="00734316"/>
    <w:rsid w:val="0073538B"/>
    <w:rsid w:val="00736033"/>
    <w:rsid w:val="00736974"/>
    <w:rsid w:val="00753913"/>
    <w:rsid w:val="00755F1C"/>
    <w:rsid w:val="0077246D"/>
    <w:rsid w:val="00774B57"/>
    <w:rsid w:val="0078145B"/>
    <w:rsid w:val="00782529"/>
    <w:rsid w:val="00783C2D"/>
    <w:rsid w:val="00790B47"/>
    <w:rsid w:val="007A2338"/>
    <w:rsid w:val="007A744C"/>
    <w:rsid w:val="007B02F0"/>
    <w:rsid w:val="007B1989"/>
    <w:rsid w:val="007B241F"/>
    <w:rsid w:val="007B6DAB"/>
    <w:rsid w:val="007B7B9F"/>
    <w:rsid w:val="007C56F6"/>
    <w:rsid w:val="007C68F5"/>
    <w:rsid w:val="007C6D37"/>
    <w:rsid w:val="007D3689"/>
    <w:rsid w:val="007D6AD9"/>
    <w:rsid w:val="007E137C"/>
    <w:rsid w:val="007E4C3A"/>
    <w:rsid w:val="007E61BD"/>
    <w:rsid w:val="007E6309"/>
    <w:rsid w:val="007E74EC"/>
    <w:rsid w:val="007F1949"/>
    <w:rsid w:val="007F1DC5"/>
    <w:rsid w:val="007F4450"/>
    <w:rsid w:val="007F7041"/>
    <w:rsid w:val="00802737"/>
    <w:rsid w:val="00804466"/>
    <w:rsid w:val="008048FB"/>
    <w:rsid w:val="00807613"/>
    <w:rsid w:val="008140C6"/>
    <w:rsid w:val="00817080"/>
    <w:rsid w:val="0083546A"/>
    <w:rsid w:val="00835730"/>
    <w:rsid w:val="008366D7"/>
    <w:rsid w:val="008371BA"/>
    <w:rsid w:val="0084206E"/>
    <w:rsid w:val="008424F6"/>
    <w:rsid w:val="00842639"/>
    <w:rsid w:val="008434E4"/>
    <w:rsid w:val="00851BC5"/>
    <w:rsid w:val="00856933"/>
    <w:rsid w:val="0086166D"/>
    <w:rsid w:val="008632E0"/>
    <w:rsid w:val="00863A1C"/>
    <w:rsid w:val="008652A3"/>
    <w:rsid w:val="00867786"/>
    <w:rsid w:val="008700AA"/>
    <w:rsid w:val="008721BC"/>
    <w:rsid w:val="00872A7C"/>
    <w:rsid w:val="00876850"/>
    <w:rsid w:val="00876FBB"/>
    <w:rsid w:val="008816F8"/>
    <w:rsid w:val="00883542"/>
    <w:rsid w:val="00886783"/>
    <w:rsid w:val="008879F0"/>
    <w:rsid w:val="00891419"/>
    <w:rsid w:val="0089142C"/>
    <w:rsid w:val="00893247"/>
    <w:rsid w:val="008961E0"/>
    <w:rsid w:val="008966AC"/>
    <w:rsid w:val="00896C2B"/>
    <w:rsid w:val="00897212"/>
    <w:rsid w:val="008A70F9"/>
    <w:rsid w:val="008A730D"/>
    <w:rsid w:val="008B1FB1"/>
    <w:rsid w:val="008B6DCC"/>
    <w:rsid w:val="008C0753"/>
    <w:rsid w:val="008C08B5"/>
    <w:rsid w:val="008C0E62"/>
    <w:rsid w:val="008C1889"/>
    <w:rsid w:val="008C2F6F"/>
    <w:rsid w:val="008D4740"/>
    <w:rsid w:val="008D676B"/>
    <w:rsid w:val="008E293A"/>
    <w:rsid w:val="008E623A"/>
    <w:rsid w:val="009011F6"/>
    <w:rsid w:val="009012F0"/>
    <w:rsid w:val="00901C6E"/>
    <w:rsid w:val="0090256F"/>
    <w:rsid w:val="009106D8"/>
    <w:rsid w:val="00912CD7"/>
    <w:rsid w:val="009145EC"/>
    <w:rsid w:val="00921728"/>
    <w:rsid w:val="00927D89"/>
    <w:rsid w:val="00931708"/>
    <w:rsid w:val="00943BB5"/>
    <w:rsid w:val="009458FC"/>
    <w:rsid w:val="00945BA2"/>
    <w:rsid w:val="009466F7"/>
    <w:rsid w:val="00946BF4"/>
    <w:rsid w:val="009476AB"/>
    <w:rsid w:val="009517E8"/>
    <w:rsid w:val="009544C8"/>
    <w:rsid w:val="009570E2"/>
    <w:rsid w:val="00962769"/>
    <w:rsid w:val="00965E6C"/>
    <w:rsid w:val="00965EC3"/>
    <w:rsid w:val="00970577"/>
    <w:rsid w:val="009719F7"/>
    <w:rsid w:val="00971CF6"/>
    <w:rsid w:val="009772CE"/>
    <w:rsid w:val="0097746C"/>
    <w:rsid w:val="00984018"/>
    <w:rsid w:val="009939CA"/>
    <w:rsid w:val="00993C4E"/>
    <w:rsid w:val="009A4390"/>
    <w:rsid w:val="009A4B9F"/>
    <w:rsid w:val="009A62D7"/>
    <w:rsid w:val="009A740A"/>
    <w:rsid w:val="009B3EA5"/>
    <w:rsid w:val="009C194D"/>
    <w:rsid w:val="009C4315"/>
    <w:rsid w:val="009C5752"/>
    <w:rsid w:val="009D0CFC"/>
    <w:rsid w:val="009D1A3D"/>
    <w:rsid w:val="009D2F98"/>
    <w:rsid w:val="009D5407"/>
    <w:rsid w:val="009F127E"/>
    <w:rsid w:val="009F7B7F"/>
    <w:rsid w:val="00A018AE"/>
    <w:rsid w:val="00A02694"/>
    <w:rsid w:val="00A0295C"/>
    <w:rsid w:val="00A07A2C"/>
    <w:rsid w:val="00A10175"/>
    <w:rsid w:val="00A10289"/>
    <w:rsid w:val="00A12B7E"/>
    <w:rsid w:val="00A148CD"/>
    <w:rsid w:val="00A16CFB"/>
    <w:rsid w:val="00A16FB7"/>
    <w:rsid w:val="00A17B99"/>
    <w:rsid w:val="00A220A6"/>
    <w:rsid w:val="00A23BA6"/>
    <w:rsid w:val="00A25A29"/>
    <w:rsid w:val="00A25E99"/>
    <w:rsid w:val="00A27DC3"/>
    <w:rsid w:val="00A30DAE"/>
    <w:rsid w:val="00A31D29"/>
    <w:rsid w:val="00A343C0"/>
    <w:rsid w:val="00A34CD8"/>
    <w:rsid w:val="00A41217"/>
    <w:rsid w:val="00A445F1"/>
    <w:rsid w:val="00A45CB7"/>
    <w:rsid w:val="00A4620A"/>
    <w:rsid w:val="00A502B7"/>
    <w:rsid w:val="00A5269D"/>
    <w:rsid w:val="00A54417"/>
    <w:rsid w:val="00A578CB"/>
    <w:rsid w:val="00A61EB7"/>
    <w:rsid w:val="00A62E3F"/>
    <w:rsid w:val="00A64A71"/>
    <w:rsid w:val="00A6545E"/>
    <w:rsid w:val="00A662BC"/>
    <w:rsid w:val="00A67BE2"/>
    <w:rsid w:val="00A741E6"/>
    <w:rsid w:val="00A742ED"/>
    <w:rsid w:val="00A80147"/>
    <w:rsid w:val="00A93FB2"/>
    <w:rsid w:val="00AA17BF"/>
    <w:rsid w:val="00AA386E"/>
    <w:rsid w:val="00AB164F"/>
    <w:rsid w:val="00AB2415"/>
    <w:rsid w:val="00AB2DFD"/>
    <w:rsid w:val="00AC15D1"/>
    <w:rsid w:val="00AC2736"/>
    <w:rsid w:val="00AC7D86"/>
    <w:rsid w:val="00AD05CE"/>
    <w:rsid w:val="00AD0DE0"/>
    <w:rsid w:val="00AD6C5B"/>
    <w:rsid w:val="00AD7EBF"/>
    <w:rsid w:val="00AE4342"/>
    <w:rsid w:val="00AE60F5"/>
    <w:rsid w:val="00AE6B14"/>
    <w:rsid w:val="00AE6E88"/>
    <w:rsid w:val="00AE7E02"/>
    <w:rsid w:val="00AF103B"/>
    <w:rsid w:val="00AF50C3"/>
    <w:rsid w:val="00B02C0A"/>
    <w:rsid w:val="00B039C8"/>
    <w:rsid w:val="00B06DA2"/>
    <w:rsid w:val="00B14A26"/>
    <w:rsid w:val="00B152D9"/>
    <w:rsid w:val="00B16B97"/>
    <w:rsid w:val="00B17441"/>
    <w:rsid w:val="00B17824"/>
    <w:rsid w:val="00B235A6"/>
    <w:rsid w:val="00B24B5A"/>
    <w:rsid w:val="00B26179"/>
    <w:rsid w:val="00B27DF2"/>
    <w:rsid w:val="00B338FE"/>
    <w:rsid w:val="00B3621A"/>
    <w:rsid w:val="00B42FB5"/>
    <w:rsid w:val="00B50B50"/>
    <w:rsid w:val="00B50C1F"/>
    <w:rsid w:val="00B54125"/>
    <w:rsid w:val="00B558C3"/>
    <w:rsid w:val="00B56231"/>
    <w:rsid w:val="00B62138"/>
    <w:rsid w:val="00B64A2B"/>
    <w:rsid w:val="00B66FAC"/>
    <w:rsid w:val="00B71CB7"/>
    <w:rsid w:val="00B75EE8"/>
    <w:rsid w:val="00B779B0"/>
    <w:rsid w:val="00B81832"/>
    <w:rsid w:val="00B87C14"/>
    <w:rsid w:val="00B92A45"/>
    <w:rsid w:val="00B92CC9"/>
    <w:rsid w:val="00B97953"/>
    <w:rsid w:val="00BA4BF4"/>
    <w:rsid w:val="00BA71B8"/>
    <w:rsid w:val="00BB1D3D"/>
    <w:rsid w:val="00BB68F2"/>
    <w:rsid w:val="00BC2E8D"/>
    <w:rsid w:val="00BC7C24"/>
    <w:rsid w:val="00BD2163"/>
    <w:rsid w:val="00BD3613"/>
    <w:rsid w:val="00BD5E1F"/>
    <w:rsid w:val="00BD7C0D"/>
    <w:rsid w:val="00BE0FA9"/>
    <w:rsid w:val="00BE2E5F"/>
    <w:rsid w:val="00BE6005"/>
    <w:rsid w:val="00BE68D2"/>
    <w:rsid w:val="00BE72EB"/>
    <w:rsid w:val="00BF1443"/>
    <w:rsid w:val="00BF3E61"/>
    <w:rsid w:val="00BF5958"/>
    <w:rsid w:val="00BF619C"/>
    <w:rsid w:val="00BF6D96"/>
    <w:rsid w:val="00C01BFD"/>
    <w:rsid w:val="00C0217C"/>
    <w:rsid w:val="00C04B59"/>
    <w:rsid w:val="00C104A4"/>
    <w:rsid w:val="00C10DD3"/>
    <w:rsid w:val="00C1271F"/>
    <w:rsid w:val="00C13DC1"/>
    <w:rsid w:val="00C17580"/>
    <w:rsid w:val="00C24082"/>
    <w:rsid w:val="00C41A61"/>
    <w:rsid w:val="00C439F1"/>
    <w:rsid w:val="00C50AFB"/>
    <w:rsid w:val="00C51A73"/>
    <w:rsid w:val="00C52ABB"/>
    <w:rsid w:val="00C54CA7"/>
    <w:rsid w:val="00C567D8"/>
    <w:rsid w:val="00C57B98"/>
    <w:rsid w:val="00C63CAA"/>
    <w:rsid w:val="00C66ADE"/>
    <w:rsid w:val="00C70208"/>
    <w:rsid w:val="00C73725"/>
    <w:rsid w:val="00C751EA"/>
    <w:rsid w:val="00C83365"/>
    <w:rsid w:val="00C853B3"/>
    <w:rsid w:val="00C85B1C"/>
    <w:rsid w:val="00C9105A"/>
    <w:rsid w:val="00C9498B"/>
    <w:rsid w:val="00CA183A"/>
    <w:rsid w:val="00CA26BF"/>
    <w:rsid w:val="00CA2846"/>
    <w:rsid w:val="00CA7AFA"/>
    <w:rsid w:val="00CB09A8"/>
    <w:rsid w:val="00CB2E02"/>
    <w:rsid w:val="00CB4016"/>
    <w:rsid w:val="00CB5B0A"/>
    <w:rsid w:val="00CB6AE1"/>
    <w:rsid w:val="00CB702B"/>
    <w:rsid w:val="00CC1402"/>
    <w:rsid w:val="00CC2CA7"/>
    <w:rsid w:val="00CD138E"/>
    <w:rsid w:val="00CD5D00"/>
    <w:rsid w:val="00CE1F29"/>
    <w:rsid w:val="00CE7D7C"/>
    <w:rsid w:val="00CF07D7"/>
    <w:rsid w:val="00CF57C3"/>
    <w:rsid w:val="00CF772C"/>
    <w:rsid w:val="00D02E19"/>
    <w:rsid w:val="00D04374"/>
    <w:rsid w:val="00D04C7E"/>
    <w:rsid w:val="00D05420"/>
    <w:rsid w:val="00D15C71"/>
    <w:rsid w:val="00D17562"/>
    <w:rsid w:val="00D17ED4"/>
    <w:rsid w:val="00D2010D"/>
    <w:rsid w:val="00D213DD"/>
    <w:rsid w:val="00D232CC"/>
    <w:rsid w:val="00D33139"/>
    <w:rsid w:val="00D34D93"/>
    <w:rsid w:val="00D34DBD"/>
    <w:rsid w:val="00D36486"/>
    <w:rsid w:val="00D373E0"/>
    <w:rsid w:val="00D37469"/>
    <w:rsid w:val="00D40292"/>
    <w:rsid w:val="00D40F41"/>
    <w:rsid w:val="00D40F43"/>
    <w:rsid w:val="00D439C0"/>
    <w:rsid w:val="00D45EA2"/>
    <w:rsid w:val="00D520D0"/>
    <w:rsid w:val="00D61D99"/>
    <w:rsid w:val="00D638BA"/>
    <w:rsid w:val="00D7014D"/>
    <w:rsid w:val="00D701A4"/>
    <w:rsid w:val="00D70DA6"/>
    <w:rsid w:val="00D724EF"/>
    <w:rsid w:val="00D73554"/>
    <w:rsid w:val="00D763B4"/>
    <w:rsid w:val="00D81105"/>
    <w:rsid w:val="00D836C5"/>
    <w:rsid w:val="00D842D6"/>
    <w:rsid w:val="00D8638F"/>
    <w:rsid w:val="00D86A2D"/>
    <w:rsid w:val="00D86AF7"/>
    <w:rsid w:val="00D904E0"/>
    <w:rsid w:val="00D935A8"/>
    <w:rsid w:val="00D93C3A"/>
    <w:rsid w:val="00D94329"/>
    <w:rsid w:val="00D972B7"/>
    <w:rsid w:val="00D97AB9"/>
    <w:rsid w:val="00DA6074"/>
    <w:rsid w:val="00DA68A8"/>
    <w:rsid w:val="00DB0E8B"/>
    <w:rsid w:val="00DB17C8"/>
    <w:rsid w:val="00DB1F6E"/>
    <w:rsid w:val="00DB2280"/>
    <w:rsid w:val="00DB6611"/>
    <w:rsid w:val="00DC19DD"/>
    <w:rsid w:val="00DC5112"/>
    <w:rsid w:val="00DD0F3A"/>
    <w:rsid w:val="00DD0F41"/>
    <w:rsid w:val="00DD4048"/>
    <w:rsid w:val="00DD49AB"/>
    <w:rsid w:val="00DD548B"/>
    <w:rsid w:val="00DE154E"/>
    <w:rsid w:val="00DE1834"/>
    <w:rsid w:val="00DE456A"/>
    <w:rsid w:val="00DE496D"/>
    <w:rsid w:val="00DE5798"/>
    <w:rsid w:val="00DE69C9"/>
    <w:rsid w:val="00DE7476"/>
    <w:rsid w:val="00DF0367"/>
    <w:rsid w:val="00E00F47"/>
    <w:rsid w:val="00E010D5"/>
    <w:rsid w:val="00E01C3C"/>
    <w:rsid w:val="00E02A43"/>
    <w:rsid w:val="00E02D9F"/>
    <w:rsid w:val="00E03149"/>
    <w:rsid w:val="00E05BED"/>
    <w:rsid w:val="00E06BCF"/>
    <w:rsid w:val="00E07E06"/>
    <w:rsid w:val="00E1049E"/>
    <w:rsid w:val="00E14435"/>
    <w:rsid w:val="00E156F2"/>
    <w:rsid w:val="00E16333"/>
    <w:rsid w:val="00E16634"/>
    <w:rsid w:val="00E175D8"/>
    <w:rsid w:val="00E226FB"/>
    <w:rsid w:val="00E30A03"/>
    <w:rsid w:val="00E317F6"/>
    <w:rsid w:val="00E32375"/>
    <w:rsid w:val="00E33305"/>
    <w:rsid w:val="00E335A9"/>
    <w:rsid w:val="00E3405D"/>
    <w:rsid w:val="00E40376"/>
    <w:rsid w:val="00E41254"/>
    <w:rsid w:val="00E41340"/>
    <w:rsid w:val="00E41EC7"/>
    <w:rsid w:val="00E42365"/>
    <w:rsid w:val="00E4482A"/>
    <w:rsid w:val="00E50017"/>
    <w:rsid w:val="00E5319D"/>
    <w:rsid w:val="00E53A45"/>
    <w:rsid w:val="00E57720"/>
    <w:rsid w:val="00E65FBD"/>
    <w:rsid w:val="00E66641"/>
    <w:rsid w:val="00E744AC"/>
    <w:rsid w:val="00E75B4F"/>
    <w:rsid w:val="00E80CAB"/>
    <w:rsid w:val="00E821F0"/>
    <w:rsid w:val="00E84635"/>
    <w:rsid w:val="00E84A61"/>
    <w:rsid w:val="00E921C5"/>
    <w:rsid w:val="00E93288"/>
    <w:rsid w:val="00E97EE4"/>
    <w:rsid w:val="00EA2686"/>
    <w:rsid w:val="00EA26B9"/>
    <w:rsid w:val="00EA3A06"/>
    <w:rsid w:val="00EA6D4C"/>
    <w:rsid w:val="00EB3F97"/>
    <w:rsid w:val="00EB77FB"/>
    <w:rsid w:val="00EB7A7C"/>
    <w:rsid w:val="00EC1396"/>
    <w:rsid w:val="00EC13C4"/>
    <w:rsid w:val="00EC206C"/>
    <w:rsid w:val="00EC2B6D"/>
    <w:rsid w:val="00EC429B"/>
    <w:rsid w:val="00EC7D02"/>
    <w:rsid w:val="00ED00EB"/>
    <w:rsid w:val="00ED0CF1"/>
    <w:rsid w:val="00ED2A1E"/>
    <w:rsid w:val="00ED38F6"/>
    <w:rsid w:val="00ED3CA9"/>
    <w:rsid w:val="00ED4299"/>
    <w:rsid w:val="00ED7E31"/>
    <w:rsid w:val="00EE1442"/>
    <w:rsid w:val="00EE6E99"/>
    <w:rsid w:val="00EF3C12"/>
    <w:rsid w:val="00EF565A"/>
    <w:rsid w:val="00EF60C7"/>
    <w:rsid w:val="00F00644"/>
    <w:rsid w:val="00F015C7"/>
    <w:rsid w:val="00F06D4A"/>
    <w:rsid w:val="00F07E22"/>
    <w:rsid w:val="00F16429"/>
    <w:rsid w:val="00F23AF4"/>
    <w:rsid w:val="00F261EC"/>
    <w:rsid w:val="00F35F47"/>
    <w:rsid w:val="00F4101D"/>
    <w:rsid w:val="00F419BD"/>
    <w:rsid w:val="00F42143"/>
    <w:rsid w:val="00F42ED1"/>
    <w:rsid w:val="00F44558"/>
    <w:rsid w:val="00F44916"/>
    <w:rsid w:val="00F46B4C"/>
    <w:rsid w:val="00F50113"/>
    <w:rsid w:val="00F532B8"/>
    <w:rsid w:val="00F53644"/>
    <w:rsid w:val="00F6065F"/>
    <w:rsid w:val="00F61310"/>
    <w:rsid w:val="00F6476F"/>
    <w:rsid w:val="00F717B7"/>
    <w:rsid w:val="00F71F72"/>
    <w:rsid w:val="00F812AF"/>
    <w:rsid w:val="00F814CD"/>
    <w:rsid w:val="00F82324"/>
    <w:rsid w:val="00F826B3"/>
    <w:rsid w:val="00F90324"/>
    <w:rsid w:val="00F92F9E"/>
    <w:rsid w:val="00F94175"/>
    <w:rsid w:val="00FA1590"/>
    <w:rsid w:val="00FA288E"/>
    <w:rsid w:val="00FB0BEA"/>
    <w:rsid w:val="00FB5298"/>
    <w:rsid w:val="00FC4835"/>
    <w:rsid w:val="00FC6B2D"/>
    <w:rsid w:val="00FD104E"/>
    <w:rsid w:val="00FD223E"/>
    <w:rsid w:val="00FD4C64"/>
    <w:rsid w:val="00FE0BBE"/>
    <w:rsid w:val="00FE34BF"/>
    <w:rsid w:val="00FE3797"/>
    <w:rsid w:val="00FE5608"/>
    <w:rsid w:val="00FE5B60"/>
    <w:rsid w:val="00FF02D3"/>
    <w:rsid w:val="00FF1CCA"/>
    <w:rsid w:val="00FF58AB"/>
    <w:rsid w:val="00FF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8DFD"/>
  <w15:chartTrackingRefBased/>
  <w15:docId w15:val="{96B649C8-E5A2-4962-8411-7F8245F4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6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AC15D1"/>
    <w:pPr>
      <w:spacing w:after="0" w:line="240" w:lineRule="auto"/>
    </w:pPr>
    <w:rPr>
      <w:sz w:val="20"/>
      <w:szCs w:val="20"/>
    </w:rPr>
  </w:style>
  <w:style w:type="character" w:customStyle="1" w:styleId="FootnoteTextChar">
    <w:name w:val="Footnote Text Char"/>
    <w:basedOn w:val="DefaultParagraphFont"/>
    <w:link w:val="FootnoteText"/>
    <w:uiPriority w:val="99"/>
    <w:rsid w:val="00AC15D1"/>
    <w:rPr>
      <w:sz w:val="20"/>
      <w:szCs w:val="20"/>
    </w:rPr>
  </w:style>
  <w:style w:type="character" w:styleId="FootnoteReference">
    <w:name w:val="footnote reference"/>
    <w:basedOn w:val="DefaultParagraphFont"/>
    <w:uiPriority w:val="99"/>
    <w:unhideWhenUsed/>
    <w:rsid w:val="00AC15D1"/>
    <w:rPr>
      <w:vertAlign w:val="superscript"/>
    </w:rPr>
  </w:style>
  <w:style w:type="character" w:styleId="Hyperlink">
    <w:name w:val="Hyperlink"/>
    <w:basedOn w:val="DefaultParagraphFont"/>
    <w:uiPriority w:val="99"/>
    <w:unhideWhenUsed/>
    <w:rsid w:val="00AC15D1"/>
    <w:rPr>
      <w:color w:val="0563C1" w:themeColor="hyperlink"/>
      <w:u w:val="single"/>
    </w:rPr>
  </w:style>
  <w:style w:type="character" w:styleId="UnresolvedMention">
    <w:name w:val="Unresolved Mention"/>
    <w:basedOn w:val="DefaultParagraphFont"/>
    <w:uiPriority w:val="99"/>
    <w:semiHidden/>
    <w:unhideWhenUsed/>
    <w:rsid w:val="00AC15D1"/>
    <w:rPr>
      <w:color w:val="605E5C"/>
      <w:shd w:val="clear" w:color="auto" w:fill="E1DFDD"/>
    </w:rPr>
  </w:style>
  <w:style w:type="paragraph" w:styleId="ListParagraph">
    <w:name w:val="List Paragraph"/>
    <w:basedOn w:val="Normal"/>
    <w:uiPriority w:val="34"/>
    <w:qFormat/>
    <w:rsid w:val="009C194D"/>
    <w:pPr>
      <w:spacing w:after="0" w:line="240" w:lineRule="auto"/>
      <w:ind w:left="720"/>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6C1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DF6"/>
    <w:rPr>
      <w:rFonts w:ascii="Segoe UI" w:hAnsi="Segoe UI" w:cs="Segoe UI"/>
      <w:sz w:val="18"/>
      <w:szCs w:val="18"/>
    </w:rPr>
  </w:style>
  <w:style w:type="character" w:customStyle="1" w:styleId="Heading2Char">
    <w:name w:val="Heading 2 Char"/>
    <w:basedOn w:val="DefaultParagraphFont"/>
    <w:link w:val="Heading2"/>
    <w:uiPriority w:val="9"/>
    <w:rsid w:val="009A43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F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57431A"/>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50FF"/>
    <w:pPr>
      <w:spacing w:after="0" w:line="240" w:lineRule="auto"/>
    </w:pPr>
  </w:style>
  <w:style w:type="paragraph" w:styleId="TOCHeading">
    <w:name w:val="TOC Heading"/>
    <w:basedOn w:val="Heading1"/>
    <w:next w:val="Normal"/>
    <w:uiPriority w:val="39"/>
    <w:unhideWhenUsed/>
    <w:qFormat/>
    <w:rsid w:val="009939CA"/>
    <w:pPr>
      <w:outlineLvl w:val="9"/>
    </w:pPr>
  </w:style>
  <w:style w:type="paragraph" w:styleId="TOC1">
    <w:name w:val="toc 1"/>
    <w:basedOn w:val="Normal"/>
    <w:next w:val="Normal"/>
    <w:autoRedefine/>
    <w:uiPriority w:val="39"/>
    <w:unhideWhenUsed/>
    <w:rsid w:val="009939CA"/>
    <w:pPr>
      <w:spacing w:after="100"/>
    </w:pPr>
  </w:style>
  <w:style w:type="paragraph" w:styleId="TOC2">
    <w:name w:val="toc 2"/>
    <w:basedOn w:val="Normal"/>
    <w:next w:val="Normal"/>
    <w:autoRedefine/>
    <w:uiPriority w:val="39"/>
    <w:unhideWhenUsed/>
    <w:rsid w:val="009939CA"/>
    <w:pPr>
      <w:spacing w:after="100"/>
      <w:ind w:left="220"/>
    </w:pPr>
  </w:style>
  <w:style w:type="paragraph" w:styleId="TOC3">
    <w:name w:val="toc 3"/>
    <w:basedOn w:val="Normal"/>
    <w:next w:val="Normal"/>
    <w:autoRedefine/>
    <w:uiPriority w:val="39"/>
    <w:unhideWhenUsed/>
    <w:rsid w:val="009939CA"/>
    <w:pPr>
      <w:spacing w:after="100"/>
      <w:ind w:left="440"/>
    </w:pPr>
  </w:style>
  <w:style w:type="character" w:styleId="CommentReference">
    <w:name w:val="annotation reference"/>
    <w:basedOn w:val="DefaultParagraphFont"/>
    <w:uiPriority w:val="99"/>
    <w:semiHidden/>
    <w:unhideWhenUsed/>
    <w:rsid w:val="00AD7EBF"/>
    <w:rPr>
      <w:sz w:val="16"/>
      <w:szCs w:val="16"/>
    </w:rPr>
  </w:style>
  <w:style w:type="paragraph" w:styleId="CommentText">
    <w:name w:val="annotation text"/>
    <w:basedOn w:val="Normal"/>
    <w:link w:val="CommentTextChar"/>
    <w:uiPriority w:val="99"/>
    <w:semiHidden/>
    <w:unhideWhenUsed/>
    <w:rsid w:val="00AD7EBF"/>
    <w:pPr>
      <w:spacing w:line="240" w:lineRule="auto"/>
    </w:pPr>
    <w:rPr>
      <w:sz w:val="20"/>
      <w:szCs w:val="20"/>
    </w:rPr>
  </w:style>
  <w:style w:type="character" w:customStyle="1" w:styleId="CommentTextChar">
    <w:name w:val="Comment Text Char"/>
    <w:basedOn w:val="DefaultParagraphFont"/>
    <w:link w:val="CommentText"/>
    <w:uiPriority w:val="99"/>
    <w:semiHidden/>
    <w:rsid w:val="00AD7EBF"/>
    <w:rPr>
      <w:sz w:val="20"/>
      <w:szCs w:val="20"/>
    </w:rPr>
  </w:style>
  <w:style w:type="paragraph" w:styleId="CommentSubject">
    <w:name w:val="annotation subject"/>
    <w:basedOn w:val="CommentText"/>
    <w:next w:val="CommentText"/>
    <w:link w:val="CommentSubjectChar"/>
    <w:uiPriority w:val="99"/>
    <w:semiHidden/>
    <w:unhideWhenUsed/>
    <w:rsid w:val="00AD7EBF"/>
    <w:rPr>
      <w:b/>
      <w:bCs/>
    </w:rPr>
  </w:style>
  <w:style w:type="character" w:customStyle="1" w:styleId="CommentSubjectChar">
    <w:name w:val="Comment Subject Char"/>
    <w:basedOn w:val="CommentTextChar"/>
    <w:link w:val="CommentSubject"/>
    <w:uiPriority w:val="99"/>
    <w:semiHidden/>
    <w:rsid w:val="00AD7EBF"/>
    <w:rPr>
      <w:b/>
      <w:bCs/>
      <w:sz w:val="20"/>
      <w:szCs w:val="20"/>
    </w:rPr>
  </w:style>
  <w:style w:type="character" w:styleId="FollowedHyperlink">
    <w:name w:val="FollowedHyperlink"/>
    <w:basedOn w:val="DefaultParagraphFont"/>
    <w:uiPriority w:val="99"/>
    <w:semiHidden/>
    <w:unhideWhenUsed/>
    <w:rsid w:val="00615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40008">
      <w:bodyDiv w:val="1"/>
      <w:marLeft w:val="0"/>
      <w:marRight w:val="0"/>
      <w:marTop w:val="0"/>
      <w:marBottom w:val="0"/>
      <w:divBdr>
        <w:top w:val="none" w:sz="0" w:space="0" w:color="auto"/>
        <w:left w:val="none" w:sz="0" w:space="0" w:color="auto"/>
        <w:bottom w:val="none" w:sz="0" w:space="0" w:color="auto"/>
        <w:right w:val="none" w:sz="0" w:space="0" w:color="auto"/>
      </w:divBdr>
    </w:div>
    <w:div w:id="390155086">
      <w:bodyDiv w:val="1"/>
      <w:marLeft w:val="0"/>
      <w:marRight w:val="0"/>
      <w:marTop w:val="0"/>
      <w:marBottom w:val="0"/>
      <w:divBdr>
        <w:top w:val="none" w:sz="0" w:space="0" w:color="auto"/>
        <w:left w:val="none" w:sz="0" w:space="0" w:color="auto"/>
        <w:bottom w:val="none" w:sz="0" w:space="0" w:color="auto"/>
        <w:right w:val="none" w:sz="0" w:space="0" w:color="auto"/>
      </w:divBdr>
    </w:div>
    <w:div w:id="538786400">
      <w:bodyDiv w:val="1"/>
      <w:marLeft w:val="0"/>
      <w:marRight w:val="0"/>
      <w:marTop w:val="0"/>
      <w:marBottom w:val="0"/>
      <w:divBdr>
        <w:top w:val="none" w:sz="0" w:space="0" w:color="auto"/>
        <w:left w:val="none" w:sz="0" w:space="0" w:color="auto"/>
        <w:bottom w:val="none" w:sz="0" w:space="0" w:color="auto"/>
        <w:right w:val="none" w:sz="0" w:space="0" w:color="auto"/>
      </w:divBdr>
    </w:div>
    <w:div w:id="684675699">
      <w:bodyDiv w:val="1"/>
      <w:marLeft w:val="0"/>
      <w:marRight w:val="0"/>
      <w:marTop w:val="0"/>
      <w:marBottom w:val="0"/>
      <w:divBdr>
        <w:top w:val="none" w:sz="0" w:space="0" w:color="auto"/>
        <w:left w:val="none" w:sz="0" w:space="0" w:color="auto"/>
        <w:bottom w:val="none" w:sz="0" w:space="0" w:color="auto"/>
        <w:right w:val="none" w:sz="0" w:space="0" w:color="auto"/>
      </w:divBdr>
    </w:div>
    <w:div w:id="1180120922">
      <w:bodyDiv w:val="1"/>
      <w:marLeft w:val="0"/>
      <w:marRight w:val="0"/>
      <w:marTop w:val="0"/>
      <w:marBottom w:val="0"/>
      <w:divBdr>
        <w:top w:val="none" w:sz="0" w:space="0" w:color="auto"/>
        <w:left w:val="none" w:sz="0" w:space="0" w:color="auto"/>
        <w:bottom w:val="none" w:sz="0" w:space="0" w:color="auto"/>
        <w:right w:val="none" w:sz="0" w:space="0" w:color="auto"/>
      </w:divBdr>
    </w:div>
    <w:div w:id="13503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whitehouse.gov/presidential-actions/executive-order-improving-free-inquiry-transparency-accountability-colleges-universities/"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llegescorecard.ed.gov/assets/FullDataDocumentation.pdf" TargetMode="External"/><Relationship Id="rId20" Type="http://schemas.openxmlformats.org/officeDocument/2006/relationships/hyperlink" Target="https://nces.ed.gov/pubs2018/201846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edsurveys.rti.org/cs_trp/index.aspx" TargetMode="External"/><Relationship Id="rId23" Type="http://schemas.openxmlformats.org/officeDocument/2006/relationships/image" Target="media/image5.emf"/><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ullDataDocumentation.pdf"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apers.ssrn.com/sol3/papers.cfm?abstract_id=2880319" TargetMode="External"/><Relationship Id="rId2" Type="http://schemas.openxmlformats.org/officeDocument/2006/relationships/hyperlink" Target="https://nces.ed.gov/Datalab/TablesLibrary/TableDetails/12639?keyword=nonfederal&amp;rst=true" TargetMode="External"/><Relationship Id="rId1" Type="http://schemas.openxmlformats.org/officeDocument/2006/relationships/hyperlink" Target="https://collegescorecard.ed.gov/assets/FullData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C98171ABF41439B409D0A1DDFBE39" ma:contentTypeVersion="10" ma:contentTypeDescription="Create a new document." ma:contentTypeScope="" ma:versionID="07de01a913d77955811029f43b461157">
  <xsd:schema xmlns:xsd="http://www.w3.org/2001/XMLSchema" xmlns:xs="http://www.w3.org/2001/XMLSchema" xmlns:p="http://schemas.microsoft.com/office/2006/metadata/properties" xmlns:ns3="f87c7b8b-c0e7-4b77-a067-2c707fd1239f" xmlns:ns4="02e41e38-1731-4866-b09a-6257d8bc047f" targetNamespace="http://schemas.microsoft.com/office/2006/metadata/properties" ma:root="true" ma:fieldsID="4a30c4075b126d8e2b3b64107418dfd8" ns3:_="" ns4:_="">
    <xsd:import namespace="f87c7b8b-c0e7-4b77-a067-2c707fd1239f"/>
    <xsd:import namespace="02e41e38-1731-4866-b09a-6257d8bc04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c7b8b-c0e7-4b77-a067-2c707fd12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41e38-1731-4866-b09a-6257d8bc04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408B1-950C-4F68-9BBA-8BA529DD6F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A192F8-23CE-4B3D-9732-3CF87D19B33B}">
  <ds:schemaRefs>
    <ds:schemaRef ds:uri="http://schemas.microsoft.com/sharepoint/v3/contenttype/forms"/>
  </ds:schemaRefs>
</ds:datastoreItem>
</file>

<file path=customXml/itemProps3.xml><?xml version="1.0" encoding="utf-8"?>
<ds:datastoreItem xmlns:ds="http://schemas.openxmlformats.org/officeDocument/2006/customXml" ds:itemID="{4B3E99B4-B669-44F7-97D5-7D46AEE7A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c7b8b-c0e7-4b77-a067-2c707fd1239f"/>
    <ds:schemaRef ds:uri="02e41e38-1731-4866-b09a-6257d8bc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6C247-1C3A-7241-988B-427E0556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14</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Brian</dc:creator>
  <cp:keywords/>
  <dc:description/>
  <cp:lastModifiedBy>Brown, Patrick</cp:lastModifiedBy>
  <cp:revision>14</cp:revision>
  <dcterms:created xsi:type="dcterms:W3CDTF">2019-10-03T19:22:00Z</dcterms:created>
  <dcterms:modified xsi:type="dcterms:W3CDTF">2019-10-07T17:22:00Z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0x01010057DC98171ABF41439B409D0A1DDFBE39</vt:lpwstr>
  </property>
</Properties>
</file>