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0D" w:rsidRPr="00590B4E" w:rsidRDefault="00286497" w:rsidP="00072C0D">
      <w:pPr>
        <w:rPr>
          <w:b/>
          <w:sz w:val="28"/>
        </w:rPr>
      </w:pPr>
      <w:r>
        <w:rPr>
          <w:b/>
          <w:sz w:val="28"/>
        </w:rPr>
        <w:t>Disbursement</w:t>
      </w:r>
    </w:p>
    <w:p w:rsidR="00072C0D" w:rsidRPr="00590B4E" w:rsidRDefault="00072C0D" w:rsidP="00072C0D">
      <w:pPr>
        <w:rPr>
          <w:b/>
        </w:rPr>
      </w:pPr>
      <w:r w:rsidRPr="00590B4E">
        <w:rPr>
          <w:b/>
        </w:rPr>
        <w:t>General information</w:t>
      </w:r>
    </w:p>
    <w:p w:rsidR="00072C0D" w:rsidRPr="00072C0D" w:rsidRDefault="00072C0D" w:rsidP="00072C0D">
      <w:r>
        <w:t>The dataset</w:t>
      </w:r>
      <w:r w:rsidR="00577E9D">
        <w:t>s</w:t>
      </w:r>
      <w:r w:rsidRPr="00072C0D">
        <w:t xml:space="preserve"> contain</w:t>
      </w:r>
      <w:r w:rsidR="0048381E">
        <w:t>s disbursement</w:t>
      </w:r>
      <w:r w:rsidR="005C3F87">
        <w:t xml:space="preserve"> </w:t>
      </w:r>
      <w:r w:rsidR="005C3F87" w:rsidRPr="00072C0D">
        <w:t>information</w:t>
      </w:r>
      <w:r w:rsidR="0048381E">
        <w:t xml:space="preserve"> for fiscal</w:t>
      </w:r>
      <w:r w:rsidRPr="00072C0D">
        <w:t xml:space="preserve"> year</w:t>
      </w:r>
      <w:r w:rsidR="005C3F87">
        <w:t>s</w:t>
      </w:r>
      <w:r w:rsidRPr="00072C0D">
        <w:t xml:space="preserve"> </w:t>
      </w:r>
      <w:r w:rsidR="0048381E">
        <w:t>2012-2013. Disbursements of revenue due to extractive activities on U.S. Federal lands occur monthly; this data set is a sum of those disbursements</w:t>
      </w:r>
      <w:r w:rsidR="00F753E8">
        <w:t xml:space="preserve"> by fiscal year</w:t>
      </w:r>
      <w:r w:rsidR="0048381E">
        <w:t xml:space="preserve">. </w:t>
      </w:r>
      <w:r w:rsidRPr="00072C0D">
        <w:t xml:space="preserve"> </w:t>
      </w:r>
    </w:p>
    <w:p w:rsidR="00072C0D" w:rsidRPr="00590B4E" w:rsidRDefault="00072C0D" w:rsidP="00072C0D">
      <w:pPr>
        <w:rPr>
          <w:b/>
        </w:rPr>
      </w:pPr>
      <w:r w:rsidRPr="00590B4E">
        <w:rPr>
          <w:b/>
        </w:rPr>
        <w:t>Scope</w:t>
      </w:r>
      <w:bookmarkStart w:id="0" w:name="_GoBack"/>
      <w:bookmarkEnd w:id="0"/>
    </w:p>
    <w:p w:rsidR="00BE5049" w:rsidRDefault="005C3F87" w:rsidP="00072C0D">
      <w:r>
        <w:t>These dataset</w:t>
      </w:r>
      <w:r w:rsidR="00577E9D">
        <w:t>s</w:t>
      </w:r>
      <w:r w:rsidR="00BE5049">
        <w:t xml:space="preserve"> include natural resource disbursements</w:t>
      </w:r>
      <w:r w:rsidR="00072C0D" w:rsidRPr="00072C0D">
        <w:t xml:space="preserve"> for U.S. Federal lands and offshore areas</w:t>
      </w:r>
      <w:r w:rsidR="00286497">
        <w:t>, and Indian Lands</w:t>
      </w:r>
      <w:r w:rsidR="00072C0D" w:rsidRPr="00072C0D">
        <w:t>. It does not include privately-owned lands</w:t>
      </w:r>
      <w:r w:rsidR="00577E9D">
        <w:t>,</w:t>
      </w:r>
      <w:r w:rsidR="00072C0D" w:rsidRPr="00072C0D">
        <w:t xml:space="preserve"> or</w:t>
      </w:r>
      <w:r w:rsidR="00BE5049">
        <w:t xml:space="preserve"> U.S. state lands. The dataset is </w:t>
      </w:r>
      <w:r w:rsidR="00072C0D" w:rsidRPr="00072C0D">
        <w:t>tracked and managed by the Department of the Interior’s Office of Natural Resource</w:t>
      </w:r>
      <w:r w:rsidR="00577E9D">
        <w:t>s</w:t>
      </w:r>
      <w:r w:rsidR="00072C0D" w:rsidRPr="00072C0D">
        <w:t xml:space="preserve"> Revenue.</w:t>
      </w:r>
      <w:r>
        <w:t xml:space="preserve"> </w:t>
      </w:r>
    </w:p>
    <w:p w:rsidR="00116957" w:rsidRPr="00590B4E" w:rsidRDefault="00116957" w:rsidP="00072C0D">
      <w:pPr>
        <w:rPr>
          <w:b/>
        </w:rPr>
      </w:pPr>
      <w:r w:rsidRPr="00590B4E">
        <w:rPr>
          <w:b/>
        </w:rPr>
        <w:t>Data Publication</w:t>
      </w:r>
    </w:p>
    <w:p w:rsidR="00C07071" w:rsidRPr="00072C0D" w:rsidRDefault="00116957" w:rsidP="00072C0D">
      <w:r>
        <w:t xml:space="preserve">The </w:t>
      </w:r>
      <w:r w:rsidR="00BE5049">
        <w:t xml:space="preserve">Disbursement dataset is updated in December after the end of the Federal Government fiscal year. </w:t>
      </w:r>
      <w:r>
        <w:t xml:space="preserve"> </w:t>
      </w:r>
    </w:p>
    <w:p w:rsidR="00BE5049" w:rsidRDefault="00BE5049" w:rsidP="00072C0D">
      <w:pPr>
        <w:rPr>
          <w:b/>
        </w:rPr>
      </w:pPr>
      <w:r>
        <w:rPr>
          <w:b/>
        </w:rPr>
        <w:t>Data Dictionary</w:t>
      </w:r>
    </w:p>
    <w:p w:rsidR="00541975" w:rsidRDefault="00541975" w:rsidP="00072C0D">
      <w:pPr>
        <w:rPr>
          <w:b/>
        </w:rPr>
      </w:pPr>
      <w:r>
        <w:rPr>
          <w:b/>
        </w:rPr>
        <w:t>Onshore Descriptions:</w:t>
      </w:r>
    </w:p>
    <w:p w:rsidR="00286497" w:rsidRDefault="00286497" w:rsidP="00286497">
      <w:pPr>
        <w:rPr>
          <w:b/>
        </w:rPr>
      </w:pPr>
      <w:r>
        <w:rPr>
          <w:b/>
        </w:rPr>
        <w:t xml:space="preserve">U.S. Treasury- </w:t>
      </w:r>
      <w:r w:rsidRPr="00B019FE">
        <w:rPr>
          <w:rFonts w:ascii="Arial Narrow" w:eastAsia="Calibri" w:hAnsi="Arial Narrow" w:cs="Times New Roman"/>
        </w:rPr>
        <w:t xml:space="preserve">Funds disbursed to the Treasury go to the General Fund, which is the </w:t>
      </w:r>
      <w:r>
        <w:rPr>
          <w:rFonts w:ascii="Arial Narrow" w:eastAsia="Calibri" w:hAnsi="Arial Narrow" w:cs="Times New Roman"/>
        </w:rPr>
        <w:t xml:space="preserve">federal </w:t>
      </w:r>
      <w:r w:rsidRPr="00B019FE">
        <w:rPr>
          <w:rFonts w:ascii="Arial Narrow" w:eastAsia="Calibri" w:hAnsi="Arial Narrow" w:cs="Times New Roman"/>
        </w:rPr>
        <w:t xml:space="preserve">government’s basic operating fund. The General Fund pays for roughly two-thirds of all federal expenditures, including the US military, </w:t>
      </w:r>
      <w:r>
        <w:rPr>
          <w:rFonts w:ascii="Arial Narrow" w:eastAsia="Calibri" w:hAnsi="Arial Narrow" w:cs="Times New Roman"/>
        </w:rPr>
        <w:t xml:space="preserve">national </w:t>
      </w:r>
      <w:r w:rsidRPr="00B019FE">
        <w:rPr>
          <w:rFonts w:ascii="Arial Narrow" w:eastAsia="Calibri" w:hAnsi="Arial Narrow" w:cs="Times New Roman"/>
        </w:rPr>
        <w:t>parks, and schools.</w:t>
      </w:r>
    </w:p>
    <w:p w:rsidR="00286497" w:rsidRDefault="00286497" w:rsidP="00286497">
      <w:pPr>
        <w:rPr>
          <w:b/>
        </w:rPr>
      </w:pPr>
      <w:r>
        <w:rPr>
          <w:b/>
        </w:rPr>
        <w:t xml:space="preserve">States- </w:t>
      </w:r>
      <w:r w:rsidRPr="00B019FE">
        <w:rPr>
          <w:rFonts w:ascii="Arial Narrow" w:eastAsia="Calibri" w:hAnsi="Arial Narrow" w:cs="Times New Roman"/>
        </w:rPr>
        <w:t>Funds disbursed to states fall under the jurisdiction of each state</w:t>
      </w:r>
      <w:r>
        <w:rPr>
          <w:rFonts w:ascii="Arial Narrow" w:eastAsia="Calibri" w:hAnsi="Arial Narrow" w:cs="Times New Roman"/>
        </w:rPr>
        <w:t xml:space="preserve">, and each state </w:t>
      </w:r>
      <w:r w:rsidRPr="00B019FE">
        <w:rPr>
          <w:rFonts w:ascii="Arial Narrow" w:eastAsia="Calibri" w:hAnsi="Arial Narrow" w:cs="Times New Roman"/>
        </w:rPr>
        <w:t>determine</w:t>
      </w:r>
      <w:r>
        <w:rPr>
          <w:rFonts w:ascii="Arial Narrow" w:eastAsia="Calibri" w:hAnsi="Arial Narrow" w:cs="Times New Roman"/>
        </w:rPr>
        <w:t>s</w:t>
      </w:r>
      <w:r w:rsidRPr="00B019FE">
        <w:rPr>
          <w:rFonts w:ascii="Arial Narrow" w:eastAsia="Calibri" w:hAnsi="Arial Narrow" w:cs="Times New Roman"/>
        </w:rPr>
        <w:t xml:space="preserve"> how the</w:t>
      </w:r>
      <w:r>
        <w:rPr>
          <w:rFonts w:ascii="Arial Narrow" w:eastAsia="Calibri" w:hAnsi="Arial Narrow" w:cs="Times New Roman"/>
        </w:rPr>
        <w:t xml:space="preserve"> funds</w:t>
      </w:r>
      <w:r w:rsidRPr="00B019FE">
        <w:rPr>
          <w:rFonts w:ascii="Arial Narrow" w:eastAsia="Calibri" w:hAnsi="Arial Narrow" w:cs="Times New Roman"/>
        </w:rPr>
        <w:t xml:space="preserve"> will be used.</w:t>
      </w:r>
    </w:p>
    <w:p w:rsidR="00286497" w:rsidRDefault="00286497" w:rsidP="00286497">
      <w:pPr>
        <w:rPr>
          <w:b/>
        </w:rPr>
      </w:pPr>
      <w:r>
        <w:rPr>
          <w:b/>
        </w:rPr>
        <w:t>Reclamation-</w:t>
      </w:r>
      <w:r>
        <w:rPr>
          <w:b/>
        </w:rPr>
        <w:t xml:space="preserve"> </w:t>
      </w:r>
      <w:r w:rsidRPr="00B019FE">
        <w:rPr>
          <w:rFonts w:ascii="Arial Narrow" w:eastAsia="Calibri" w:hAnsi="Arial Narrow" w:cs="Times New Roman"/>
        </w:rPr>
        <w:t>Established by Congress in 1902 to pay for Bureau of Reclamation projects, this fund supports the establishment of critical infrastructure projects like dams and power plants.</w:t>
      </w:r>
    </w:p>
    <w:p w:rsidR="00541975" w:rsidRDefault="00286497" w:rsidP="00072C0D">
      <w:pPr>
        <w:rPr>
          <w:rFonts w:ascii="Arial Narrow" w:eastAsia="Calibri" w:hAnsi="Arial Narrow" w:cs="Times New Roman"/>
        </w:rPr>
      </w:pPr>
      <w:r>
        <w:rPr>
          <w:b/>
        </w:rPr>
        <w:t>American Indian Tribes-</w:t>
      </w:r>
      <w:r>
        <w:rPr>
          <w:b/>
        </w:rPr>
        <w:t xml:space="preserve"> </w:t>
      </w:r>
      <w:r>
        <w:rPr>
          <w:rFonts w:ascii="Arial Narrow" w:eastAsia="Calibri" w:hAnsi="Arial Narrow" w:cs="Times New Roman"/>
        </w:rPr>
        <w:t>ONRR</w:t>
      </w:r>
      <w:r w:rsidRPr="00B019FE">
        <w:rPr>
          <w:rFonts w:ascii="Arial Narrow" w:eastAsia="Calibri" w:hAnsi="Arial Narrow" w:cs="Times New Roman"/>
        </w:rPr>
        <w:t xml:space="preserve"> disburses 100% of revenue collected from resource extraction on </w:t>
      </w:r>
      <w:r>
        <w:rPr>
          <w:rFonts w:ascii="Arial Narrow" w:eastAsia="Calibri" w:hAnsi="Arial Narrow" w:cs="Times New Roman"/>
        </w:rPr>
        <w:t xml:space="preserve">American </w:t>
      </w:r>
      <w:r w:rsidRPr="00B019FE">
        <w:rPr>
          <w:rFonts w:ascii="Arial Narrow" w:eastAsia="Calibri" w:hAnsi="Arial Narrow" w:cs="Times New Roman"/>
        </w:rPr>
        <w:t>Indian land</w:t>
      </w:r>
      <w:r>
        <w:rPr>
          <w:rFonts w:ascii="Arial Narrow" w:eastAsia="Calibri" w:hAnsi="Arial Narrow" w:cs="Times New Roman"/>
        </w:rPr>
        <w:t>s</w:t>
      </w:r>
      <w:r w:rsidRPr="00B019FE">
        <w:rPr>
          <w:rFonts w:ascii="Arial Narrow" w:eastAsia="Calibri" w:hAnsi="Arial Narrow" w:cs="Times New Roman"/>
        </w:rPr>
        <w:t xml:space="preserve"> back to the</w:t>
      </w:r>
      <w:r>
        <w:rPr>
          <w:rFonts w:ascii="Arial Narrow" w:eastAsia="Calibri" w:hAnsi="Arial Narrow" w:cs="Times New Roman"/>
        </w:rPr>
        <w:t xml:space="preserve"> Indian </w:t>
      </w:r>
      <w:r w:rsidRPr="00B019FE">
        <w:rPr>
          <w:rFonts w:ascii="Arial Narrow" w:eastAsia="Calibri" w:hAnsi="Arial Narrow" w:cs="Times New Roman"/>
        </w:rPr>
        <w:t>tribes and individual</w:t>
      </w:r>
      <w:r>
        <w:rPr>
          <w:rFonts w:ascii="Arial Narrow" w:eastAsia="Calibri" w:hAnsi="Arial Narrow" w:cs="Times New Roman"/>
        </w:rPr>
        <w:t xml:space="preserve"> </w:t>
      </w:r>
      <w:r w:rsidRPr="00B019FE">
        <w:rPr>
          <w:rFonts w:ascii="Arial Narrow" w:eastAsia="Calibri" w:hAnsi="Arial Narrow" w:cs="Times New Roman"/>
        </w:rPr>
        <w:t>Indian landowners.</w:t>
      </w:r>
    </w:p>
    <w:p w:rsidR="00286497" w:rsidRDefault="00286497" w:rsidP="00072C0D">
      <w:pPr>
        <w:rPr>
          <w:b/>
        </w:rPr>
      </w:pPr>
      <w:r w:rsidRPr="00286497">
        <w:rPr>
          <w:rFonts w:ascii="Arial Narrow" w:eastAsia="Calibri" w:hAnsi="Arial Narrow" w:cs="Times New Roman"/>
          <w:b/>
        </w:rPr>
        <w:t>Other-</w:t>
      </w:r>
      <w:r>
        <w:rPr>
          <w:rFonts w:ascii="Arial Narrow" w:eastAsia="Calibri" w:hAnsi="Arial Narrow" w:cs="Times New Roman"/>
        </w:rPr>
        <w:t xml:space="preserve"> </w:t>
      </w:r>
      <w:r w:rsidRPr="00B019FE">
        <w:rPr>
          <w:rFonts w:ascii="Arial Narrow" w:eastAsia="Calibri" w:hAnsi="Arial Narrow" w:cs="Times New Roman"/>
        </w:rPr>
        <w:t>Certain onshore funds are directed back to the federal agencies that administer these lands (</w:t>
      </w:r>
      <w:r>
        <w:rPr>
          <w:rFonts w:ascii="Arial Narrow" w:eastAsia="Calibri" w:hAnsi="Arial Narrow" w:cs="Times New Roman"/>
        </w:rPr>
        <w:t xml:space="preserve">e.g., </w:t>
      </w:r>
      <w:r w:rsidRPr="00B019FE">
        <w:rPr>
          <w:rFonts w:ascii="Arial Narrow" w:eastAsia="Calibri" w:hAnsi="Arial Narrow" w:cs="Times New Roman"/>
        </w:rPr>
        <w:t xml:space="preserve">BLM, US Fish </w:t>
      </w:r>
      <w:r>
        <w:rPr>
          <w:rFonts w:ascii="Arial Narrow" w:eastAsia="Calibri" w:hAnsi="Arial Narrow" w:cs="Times New Roman"/>
        </w:rPr>
        <w:t>and</w:t>
      </w:r>
      <w:r w:rsidRPr="00B019FE">
        <w:rPr>
          <w:rFonts w:ascii="Arial Narrow" w:eastAsia="Calibri" w:hAnsi="Arial Narrow" w:cs="Times New Roman"/>
        </w:rPr>
        <w:t xml:space="preserve"> Wildlife Service, and </w:t>
      </w:r>
      <w:r>
        <w:rPr>
          <w:rFonts w:ascii="Arial Narrow" w:eastAsia="Calibri" w:hAnsi="Arial Narrow" w:cs="Times New Roman"/>
        </w:rPr>
        <w:t>US</w:t>
      </w:r>
      <w:r w:rsidRPr="00B019FE">
        <w:rPr>
          <w:rFonts w:ascii="Arial Narrow" w:eastAsia="Calibri" w:hAnsi="Arial Narrow" w:cs="Times New Roman"/>
        </w:rPr>
        <w:t xml:space="preserve"> Forest Service) to help cover </w:t>
      </w:r>
      <w:r>
        <w:rPr>
          <w:rFonts w:ascii="Arial Narrow" w:eastAsia="Calibri" w:hAnsi="Arial Narrow" w:cs="Times New Roman"/>
        </w:rPr>
        <w:t xml:space="preserve">the agencies’ </w:t>
      </w:r>
      <w:r w:rsidRPr="00B019FE">
        <w:rPr>
          <w:rFonts w:ascii="Arial Narrow" w:eastAsia="Calibri" w:hAnsi="Arial Narrow" w:cs="Times New Roman"/>
        </w:rPr>
        <w:t>operational costs. The Ultra-Deepwater Research Program and the Mescal Settlement Agreement also receive $50</w:t>
      </w:r>
      <w:r>
        <w:rPr>
          <w:rFonts w:ascii="Arial Narrow" w:eastAsia="Calibri" w:hAnsi="Arial Narrow" w:cs="Times New Roman"/>
        </w:rPr>
        <w:t> </w:t>
      </w:r>
      <w:r w:rsidRPr="00B019FE">
        <w:rPr>
          <w:rFonts w:ascii="Arial Narrow" w:eastAsia="Calibri" w:hAnsi="Arial Narrow" w:cs="Times New Roman"/>
        </w:rPr>
        <w:t>million each.</w:t>
      </w:r>
    </w:p>
    <w:p w:rsidR="00541975" w:rsidRDefault="00541975" w:rsidP="00072C0D">
      <w:pPr>
        <w:rPr>
          <w:b/>
        </w:rPr>
      </w:pPr>
      <w:r>
        <w:rPr>
          <w:b/>
        </w:rPr>
        <w:t>Offshore Descriptions:</w:t>
      </w:r>
    </w:p>
    <w:p w:rsidR="00BE5049" w:rsidRDefault="00BE5049" w:rsidP="00072C0D">
      <w:pPr>
        <w:rPr>
          <w:b/>
        </w:rPr>
      </w:pPr>
      <w:r>
        <w:rPr>
          <w:b/>
        </w:rPr>
        <w:t xml:space="preserve">U.S. Treasury- </w:t>
      </w:r>
      <w:r w:rsidR="00541975" w:rsidRPr="00B019FE">
        <w:rPr>
          <w:rFonts w:ascii="Arial Narrow" w:eastAsia="Calibri" w:hAnsi="Arial Narrow" w:cs="Times New Roman"/>
        </w:rPr>
        <w:t xml:space="preserve">The majority of offshore revenue </w:t>
      </w:r>
      <w:r w:rsidR="00541975">
        <w:rPr>
          <w:rFonts w:ascii="Arial Narrow" w:eastAsia="Calibri" w:hAnsi="Arial Narrow" w:cs="Times New Roman"/>
        </w:rPr>
        <w:t>is</w:t>
      </w:r>
      <w:r w:rsidR="00541975" w:rsidRPr="00B019FE">
        <w:rPr>
          <w:rFonts w:ascii="Arial Narrow" w:eastAsia="Calibri" w:hAnsi="Arial Narrow" w:cs="Times New Roman"/>
        </w:rPr>
        <w:t xml:space="preserve"> disbursed to the</w:t>
      </w:r>
      <w:r w:rsidR="00541975">
        <w:rPr>
          <w:rFonts w:ascii="Arial Narrow" w:eastAsia="Calibri" w:hAnsi="Arial Narrow" w:cs="Times New Roman"/>
        </w:rPr>
        <w:t xml:space="preserve"> </w:t>
      </w:r>
      <w:r w:rsidR="00541975" w:rsidRPr="00B019FE">
        <w:rPr>
          <w:rFonts w:ascii="Arial Narrow" w:eastAsia="Calibri" w:hAnsi="Arial Narrow" w:cs="Times New Roman"/>
        </w:rPr>
        <w:t xml:space="preserve">Treasury, which </w:t>
      </w:r>
      <w:r w:rsidR="00541975">
        <w:rPr>
          <w:rFonts w:ascii="Arial Narrow" w:eastAsia="Calibri" w:hAnsi="Arial Narrow" w:cs="Times New Roman"/>
        </w:rPr>
        <w:t>enters it into the</w:t>
      </w:r>
      <w:r w:rsidR="00541975" w:rsidRPr="00B019FE">
        <w:rPr>
          <w:rFonts w:ascii="Arial Narrow" w:eastAsia="Calibri" w:hAnsi="Arial Narrow" w:cs="Times New Roman"/>
        </w:rPr>
        <w:t xml:space="preserve"> General Fund, the </w:t>
      </w:r>
      <w:r w:rsidR="00541975">
        <w:rPr>
          <w:rFonts w:ascii="Arial Narrow" w:eastAsia="Calibri" w:hAnsi="Arial Narrow" w:cs="Times New Roman"/>
        </w:rPr>
        <w:t xml:space="preserve">federal </w:t>
      </w:r>
      <w:r w:rsidR="00541975" w:rsidRPr="00B019FE">
        <w:rPr>
          <w:rFonts w:ascii="Arial Narrow" w:eastAsia="Calibri" w:hAnsi="Arial Narrow" w:cs="Times New Roman"/>
        </w:rPr>
        <w:t>government’s basic operating fund. The General Fund pays for roughly two-thirds of all federal expenditures, including the US military,</w:t>
      </w:r>
      <w:r w:rsidR="00541975">
        <w:rPr>
          <w:rFonts w:ascii="Arial Narrow" w:eastAsia="Calibri" w:hAnsi="Arial Narrow" w:cs="Times New Roman"/>
        </w:rPr>
        <w:t xml:space="preserve"> national</w:t>
      </w:r>
      <w:r w:rsidR="00541975" w:rsidRPr="00B019FE">
        <w:rPr>
          <w:rFonts w:ascii="Arial Narrow" w:eastAsia="Calibri" w:hAnsi="Arial Narrow" w:cs="Times New Roman"/>
        </w:rPr>
        <w:t xml:space="preserve"> parks, and schools.</w:t>
      </w:r>
    </w:p>
    <w:p w:rsidR="00BE5049" w:rsidRDefault="00BE5049" w:rsidP="00072C0D">
      <w:pPr>
        <w:rPr>
          <w:b/>
        </w:rPr>
      </w:pPr>
      <w:r>
        <w:rPr>
          <w:b/>
        </w:rPr>
        <w:t>Land and Water Conservation Fund-</w:t>
      </w:r>
      <w:r w:rsidR="004601DE" w:rsidRPr="004601DE">
        <w:t xml:space="preserve"> </w:t>
      </w:r>
      <w:r w:rsidR="00541975" w:rsidRPr="00B019FE">
        <w:rPr>
          <w:rFonts w:ascii="Arial Narrow" w:eastAsia="Calibri" w:hAnsi="Arial Narrow" w:cs="Times New Roman"/>
        </w:rPr>
        <w:t>This fund provides matching grants to states and local governments to buy and develop public outdoor recreation areas across the 50 states.</w:t>
      </w:r>
    </w:p>
    <w:p w:rsidR="004601DE" w:rsidRDefault="00BE5049" w:rsidP="00072C0D">
      <w:pPr>
        <w:rPr>
          <w:b/>
        </w:rPr>
      </w:pPr>
      <w:r>
        <w:rPr>
          <w:b/>
        </w:rPr>
        <w:lastRenderedPageBreak/>
        <w:t>Historic Preservation Fund-</w:t>
      </w:r>
      <w:r w:rsidR="00541975">
        <w:rPr>
          <w:b/>
        </w:rPr>
        <w:t xml:space="preserve"> </w:t>
      </w:r>
      <w:r w:rsidR="00541975" w:rsidRPr="00B019FE">
        <w:rPr>
          <w:rFonts w:ascii="Arial Narrow" w:eastAsia="Calibri" w:hAnsi="Arial Narrow" w:cs="Times New Roman"/>
        </w:rPr>
        <w:t xml:space="preserve">This fund helps preserve </w:t>
      </w:r>
      <w:r w:rsidR="00541975">
        <w:rPr>
          <w:rFonts w:ascii="Arial Narrow" w:eastAsia="Calibri" w:hAnsi="Arial Narrow" w:cs="Times New Roman"/>
        </w:rPr>
        <w:t>US</w:t>
      </w:r>
      <w:r w:rsidR="00541975" w:rsidRPr="00B019FE">
        <w:rPr>
          <w:rFonts w:ascii="Arial Narrow" w:eastAsia="Calibri" w:hAnsi="Arial Narrow" w:cs="Times New Roman"/>
        </w:rPr>
        <w:t xml:space="preserve"> historical and archaeological sites and cultural heritage through grants to state and tribal historic preservation offices.</w:t>
      </w:r>
    </w:p>
    <w:p w:rsidR="004601DE" w:rsidRDefault="004601DE" w:rsidP="00072C0D">
      <w:pPr>
        <w:rPr>
          <w:b/>
        </w:rPr>
      </w:pPr>
      <w:r>
        <w:rPr>
          <w:b/>
        </w:rPr>
        <w:t>States-</w:t>
      </w:r>
      <w:r w:rsidR="00541975">
        <w:rPr>
          <w:b/>
        </w:rPr>
        <w:t xml:space="preserve"> </w:t>
      </w:r>
      <w:r w:rsidR="00541975" w:rsidRPr="00B019FE">
        <w:rPr>
          <w:rFonts w:ascii="Arial Narrow" w:eastAsia="Calibri" w:hAnsi="Arial Narrow" w:cs="Times New Roman"/>
        </w:rPr>
        <w:t>States receive federal O</w:t>
      </w:r>
      <w:r w:rsidR="00541975">
        <w:rPr>
          <w:rFonts w:ascii="Arial Narrow" w:eastAsia="Calibri" w:hAnsi="Arial Narrow" w:cs="Times New Roman"/>
        </w:rPr>
        <w:t>uter Continental Shelf</w:t>
      </w:r>
      <w:r w:rsidR="00541975" w:rsidRPr="00B019FE">
        <w:rPr>
          <w:rFonts w:ascii="Arial Narrow" w:eastAsia="Calibri" w:hAnsi="Arial Narrow" w:cs="Times New Roman"/>
        </w:rPr>
        <w:t xml:space="preserve"> revenue in two ways: </w:t>
      </w:r>
      <w:r w:rsidR="00541975">
        <w:rPr>
          <w:rFonts w:ascii="Arial Narrow" w:eastAsia="Calibri" w:hAnsi="Arial Narrow" w:cs="Times New Roman"/>
        </w:rPr>
        <w:t>(</w:t>
      </w:r>
      <w:r w:rsidR="00541975" w:rsidRPr="00B019FE">
        <w:rPr>
          <w:rFonts w:ascii="Arial Narrow" w:eastAsia="Calibri" w:hAnsi="Arial Narrow" w:cs="Times New Roman"/>
        </w:rPr>
        <w:t xml:space="preserve">1) 27% of revenue from leases in the 8(g) </w:t>
      </w:r>
      <w:r w:rsidR="00541975">
        <w:rPr>
          <w:rFonts w:ascii="Arial Narrow" w:eastAsia="Calibri" w:hAnsi="Arial Narrow" w:cs="Times New Roman"/>
        </w:rPr>
        <w:t>Z</w:t>
      </w:r>
      <w:r w:rsidR="00541975" w:rsidRPr="00B019FE">
        <w:rPr>
          <w:rFonts w:ascii="Arial Narrow" w:eastAsia="Calibri" w:hAnsi="Arial Narrow" w:cs="Times New Roman"/>
        </w:rPr>
        <w:t xml:space="preserve">one (the first three nautical miles of the </w:t>
      </w:r>
      <w:r w:rsidR="00541975">
        <w:rPr>
          <w:rFonts w:ascii="Arial Narrow" w:eastAsia="Calibri" w:hAnsi="Arial Narrow" w:cs="Times New Roman"/>
        </w:rPr>
        <w:t>Outer Continental Shelf</w:t>
      </w:r>
      <w:r w:rsidR="00541975" w:rsidRPr="00B019FE">
        <w:rPr>
          <w:rFonts w:ascii="Arial Narrow" w:eastAsia="Calibri" w:hAnsi="Arial Narrow" w:cs="Times New Roman"/>
        </w:rPr>
        <w:t xml:space="preserve">) </w:t>
      </w:r>
      <w:proofErr w:type="gramStart"/>
      <w:r w:rsidR="00541975" w:rsidRPr="00B019FE">
        <w:rPr>
          <w:rFonts w:ascii="Arial Narrow" w:eastAsia="Calibri" w:hAnsi="Arial Narrow" w:cs="Times New Roman"/>
        </w:rPr>
        <w:t>are</w:t>
      </w:r>
      <w:proofErr w:type="gramEnd"/>
      <w:r w:rsidR="00541975" w:rsidRPr="00B019FE">
        <w:rPr>
          <w:rFonts w:ascii="Arial Narrow" w:eastAsia="Calibri" w:hAnsi="Arial Narrow" w:cs="Times New Roman"/>
        </w:rPr>
        <w:t xml:space="preserve"> shared with states</w:t>
      </w:r>
      <w:r w:rsidR="00541975">
        <w:rPr>
          <w:rFonts w:ascii="Arial Narrow" w:eastAsia="Calibri" w:hAnsi="Arial Narrow" w:cs="Times New Roman"/>
        </w:rPr>
        <w:t>;</w:t>
      </w:r>
      <w:r w:rsidR="00541975" w:rsidRPr="00B019FE">
        <w:rPr>
          <w:rFonts w:ascii="Arial Narrow" w:eastAsia="Calibri" w:hAnsi="Arial Narrow" w:cs="Times New Roman"/>
        </w:rPr>
        <w:t xml:space="preserve"> and </w:t>
      </w:r>
      <w:r w:rsidR="00541975">
        <w:rPr>
          <w:rFonts w:ascii="Arial Narrow" w:eastAsia="Calibri" w:hAnsi="Arial Narrow" w:cs="Times New Roman"/>
        </w:rPr>
        <w:t>(</w:t>
      </w:r>
      <w:r w:rsidR="00541975" w:rsidRPr="00B019FE">
        <w:rPr>
          <w:rFonts w:ascii="Arial Narrow" w:eastAsia="Calibri" w:hAnsi="Arial Narrow" w:cs="Times New Roman"/>
        </w:rPr>
        <w:t>2) 37.5% of revenue from certain leases in the Gulf of Mexico are shared with Alabama, Louisiana, Mississippi, and Texas</w:t>
      </w:r>
      <w:r w:rsidR="00541975">
        <w:rPr>
          <w:rFonts w:ascii="Arial Narrow" w:eastAsia="Calibri" w:hAnsi="Arial Narrow" w:cs="Times New Roman"/>
        </w:rPr>
        <w:t>.</w:t>
      </w:r>
    </w:p>
    <w:p w:rsidR="00C07071" w:rsidRPr="00072C0D" w:rsidRDefault="004601DE" w:rsidP="00072C0D">
      <w:r>
        <w:rPr>
          <w:b/>
        </w:rPr>
        <w:t>Other-</w:t>
      </w:r>
      <w:r w:rsidR="00BE5049">
        <w:rPr>
          <w:b/>
        </w:rPr>
        <w:t xml:space="preserve"> </w:t>
      </w:r>
      <w:r w:rsidR="00541975" w:rsidRPr="00B019FE">
        <w:rPr>
          <w:rFonts w:ascii="Arial Narrow" w:eastAsia="Calibri" w:hAnsi="Arial Narrow" w:cs="Times New Roman"/>
        </w:rPr>
        <w:t>Certain offshore funds are directed back to the federal agencies that administer these lands (</w:t>
      </w:r>
      <w:r w:rsidR="00541975">
        <w:rPr>
          <w:rFonts w:ascii="Arial Narrow" w:eastAsia="Calibri" w:hAnsi="Arial Narrow" w:cs="Times New Roman"/>
        </w:rPr>
        <w:t xml:space="preserve">e.g., </w:t>
      </w:r>
      <w:r w:rsidR="00541975" w:rsidRPr="00B019FE">
        <w:rPr>
          <w:rFonts w:ascii="Arial Narrow" w:eastAsia="Calibri" w:hAnsi="Arial Narrow" w:cs="Times New Roman"/>
        </w:rPr>
        <w:t xml:space="preserve">BOEM and BSEE) to help cover </w:t>
      </w:r>
      <w:r w:rsidR="00541975">
        <w:rPr>
          <w:rFonts w:ascii="Arial Narrow" w:eastAsia="Calibri" w:hAnsi="Arial Narrow" w:cs="Times New Roman"/>
        </w:rPr>
        <w:t xml:space="preserve">the agencies’ </w:t>
      </w:r>
      <w:r w:rsidR="00541975" w:rsidRPr="00B019FE">
        <w:rPr>
          <w:rFonts w:ascii="Arial Narrow" w:eastAsia="Calibri" w:hAnsi="Arial Narrow" w:cs="Times New Roman"/>
        </w:rPr>
        <w:t>operational costs.</w:t>
      </w:r>
    </w:p>
    <w:p w:rsidR="00234C7E" w:rsidRDefault="00234C7E"/>
    <w:sectPr w:rsidR="0023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96F52"/>
    <w:multiLevelType w:val="hybridMultilevel"/>
    <w:tmpl w:val="C1A6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12AE0"/>
    <w:multiLevelType w:val="hybridMultilevel"/>
    <w:tmpl w:val="2FFE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43B9B"/>
    <w:multiLevelType w:val="hybridMultilevel"/>
    <w:tmpl w:val="F694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2A68"/>
    <w:multiLevelType w:val="multilevel"/>
    <w:tmpl w:val="0A7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30"/>
    <w:rsid w:val="00072C0D"/>
    <w:rsid w:val="00116957"/>
    <w:rsid w:val="0012641B"/>
    <w:rsid w:val="00142BAE"/>
    <w:rsid w:val="00181552"/>
    <w:rsid w:val="00234C7E"/>
    <w:rsid w:val="00286497"/>
    <w:rsid w:val="002E2130"/>
    <w:rsid w:val="004601DE"/>
    <w:rsid w:val="0048381E"/>
    <w:rsid w:val="00541975"/>
    <w:rsid w:val="00577E9D"/>
    <w:rsid w:val="00590B4E"/>
    <w:rsid w:val="005C3F87"/>
    <w:rsid w:val="006E77D5"/>
    <w:rsid w:val="00797336"/>
    <w:rsid w:val="00857F6C"/>
    <w:rsid w:val="008F543F"/>
    <w:rsid w:val="00BE5049"/>
    <w:rsid w:val="00C07071"/>
    <w:rsid w:val="00C26593"/>
    <w:rsid w:val="00D8399D"/>
    <w:rsid w:val="00E17CF2"/>
    <w:rsid w:val="00E27901"/>
    <w:rsid w:val="00F753E8"/>
    <w:rsid w:val="00FA1058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7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6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7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E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6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F0FD5-5E26-4F4F-BCFA-D2E372EF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Mentasti, Chris</dc:creator>
  <cp:lastModifiedBy>Mentasti, Chris</cp:lastModifiedBy>
  <cp:revision>2</cp:revision>
  <dcterms:created xsi:type="dcterms:W3CDTF">2015-11-25T17:04:00Z</dcterms:created>
  <dcterms:modified xsi:type="dcterms:W3CDTF">2015-11-25T17:04:00Z</dcterms:modified>
</cp:coreProperties>
</file>