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9AE6B" w14:textId="77777777" w:rsidR="00072C0D" w:rsidRPr="00B4150D" w:rsidRDefault="00072C0D" w:rsidP="00072C0D">
      <w:pPr>
        <w:rPr>
          <w:b/>
          <w:sz w:val="28"/>
        </w:rPr>
      </w:pPr>
      <w:r w:rsidRPr="00B4150D">
        <w:rPr>
          <w:b/>
          <w:sz w:val="28"/>
        </w:rPr>
        <w:t>Federal Production by location</w:t>
      </w:r>
    </w:p>
    <w:p w14:paraId="0F352E4B" w14:textId="77777777" w:rsidR="00072C0D" w:rsidRPr="00B4150D" w:rsidRDefault="00072C0D" w:rsidP="00072C0D">
      <w:pPr>
        <w:rPr>
          <w:b/>
        </w:rPr>
      </w:pPr>
      <w:r w:rsidRPr="00B4150D">
        <w:rPr>
          <w:b/>
        </w:rPr>
        <w:t>General information</w:t>
      </w:r>
    </w:p>
    <w:p w14:paraId="063DAA9F" w14:textId="19A04B52" w:rsidR="00072C0D" w:rsidRPr="00072C0D" w:rsidRDefault="00072C0D" w:rsidP="00072C0D">
      <w:r>
        <w:t>The dataset</w:t>
      </w:r>
      <w:r w:rsidR="00577E9D">
        <w:t>s</w:t>
      </w:r>
      <w:r w:rsidRPr="00072C0D">
        <w:t xml:space="preserve"> contain</w:t>
      </w:r>
      <w:r w:rsidR="005C3F87">
        <w:t xml:space="preserve">s production </w:t>
      </w:r>
      <w:r w:rsidR="005C3F87" w:rsidRPr="00072C0D">
        <w:t>information</w:t>
      </w:r>
      <w:r w:rsidRPr="00072C0D">
        <w:t xml:space="preserve"> for calendar year</w:t>
      </w:r>
      <w:r w:rsidR="005C3F87">
        <w:t>s</w:t>
      </w:r>
      <w:r w:rsidRPr="00072C0D">
        <w:t xml:space="preserve"> </w:t>
      </w:r>
      <w:r w:rsidR="005C3F87">
        <w:t>2005-2014</w:t>
      </w:r>
      <w:r w:rsidRPr="00072C0D">
        <w:t xml:space="preserve"> </w:t>
      </w:r>
      <w:r w:rsidR="005C3F87">
        <w:t xml:space="preserve">as of </w:t>
      </w:r>
      <w:r w:rsidR="00D8399D">
        <w:t xml:space="preserve">July 11, 2015 for </w:t>
      </w:r>
      <w:r w:rsidR="000246E8">
        <w:t>c</w:t>
      </w:r>
      <w:r w:rsidR="00B4150D">
        <w:t xml:space="preserve">oal and </w:t>
      </w:r>
      <w:proofErr w:type="spellStart"/>
      <w:r w:rsidR="00D8399D">
        <w:t>hardrock</w:t>
      </w:r>
      <w:proofErr w:type="spellEnd"/>
      <w:r w:rsidR="00D8399D">
        <w:t xml:space="preserve"> production and </w:t>
      </w:r>
      <w:r w:rsidR="00B4150D" w:rsidRPr="00B4150D">
        <w:t>August 25, 2015</w:t>
      </w:r>
      <w:r w:rsidR="00D8399D">
        <w:t xml:space="preserve"> for </w:t>
      </w:r>
      <w:r w:rsidR="00B4150D">
        <w:t>Oil and Gas</w:t>
      </w:r>
      <w:r w:rsidR="00D8399D">
        <w:t xml:space="preserve"> production</w:t>
      </w:r>
      <w:r w:rsidRPr="00072C0D">
        <w:t xml:space="preserve">. If you are looking for datasets organized by the U.S. government’s fiscal year, please </w:t>
      </w:r>
      <w:r w:rsidR="00C26E99">
        <w:t xml:space="preserve">visit </w:t>
      </w:r>
      <w:hyperlink r:id="rId7" w:history="1">
        <w:r w:rsidR="00C26E99" w:rsidRPr="00C26E99">
          <w:rPr>
            <w:rStyle w:val="Hyperlink"/>
          </w:rPr>
          <w:t>statistics.onrr.gov</w:t>
        </w:r>
      </w:hyperlink>
      <w:r w:rsidRPr="00072C0D">
        <w:t>.</w:t>
      </w:r>
    </w:p>
    <w:p w14:paraId="06C75228" w14:textId="77777777" w:rsidR="00072C0D" w:rsidRPr="00B4150D" w:rsidRDefault="00072C0D" w:rsidP="00072C0D">
      <w:pPr>
        <w:rPr>
          <w:b/>
        </w:rPr>
      </w:pPr>
      <w:r w:rsidRPr="00B4150D">
        <w:rPr>
          <w:b/>
        </w:rPr>
        <w:t>Scope</w:t>
      </w:r>
    </w:p>
    <w:p w14:paraId="27A78B72" w14:textId="77777777" w:rsidR="00072C0D" w:rsidRDefault="005C3F87" w:rsidP="00072C0D">
      <w:r>
        <w:t>These dataset</w:t>
      </w:r>
      <w:r w:rsidR="00577E9D">
        <w:t>s</w:t>
      </w:r>
      <w:r w:rsidR="00072C0D" w:rsidRPr="00072C0D">
        <w:t xml:space="preserve"> include natural resource </w:t>
      </w:r>
      <w:r>
        <w:t>production</w:t>
      </w:r>
      <w:r w:rsidR="00072C0D" w:rsidRPr="00072C0D">
        <w:t xml:space="preserve"> for U.S. Federal lands and offshore areas. It does not include Indian lands, privately-owned lands</w:t>
      </w:r>
      <w:r w:rsidR="00577E9D">
        <w:t>,</w:t>
      </w:r>
      <w:r w:rsidR="00072C0D" w:rsidRPr="00072C0D">
        <w:t xml:space="preserve"> or </w:t>
      </w:r>
      <w:bookmarkStart w:id="0" w:name="_GoBack"/>
      <w:bookmarkEnd w:id="0"/>
      <w:r w:rsidR="00072C0D" w:rsidRPr="00072C0D">
        <w:t>U.S. state lands. The datasets currently include data tracked and managed by the Department of the Interior’s Office of Natural Resource</w:t>
      </w:r>
      <w:r w:rsidR="00577E9D">
        <w:t>s</w:t>
      </w:r>
      <w:r w:rsidR="00072C0D" w:rsidRPr="00072C0D">
        <w:t xml:space="preserve"> Revenue.</w:t>
      </w:r>
      <w:r>
        <w:t xml:space="preserve"> The production data for </w:t>
      </w:r>
      <w:r w:rsidR="00B4150D">
        <w:t>Oil and Gas</w:t>
      </w:r>
      <w:r>
        <w:t xml:space="preserve"> is collected on </w:t>
      </w:r>
      <w:r w:rsidR="00577E9D">
        <w:t>F</w:t>
      </w:r>
      <w:r>
        <w:t>orm ONRR-4054</w:t>
      </w:r>
      <w:r w:rsidR="00577E9D">
        <w:t xml:space="preserve"> (Oil and Gas Operations Report)</w:t>
      </w:r>
      <w:r>
        <w:t xml:space="preserve">, </w:t>
      </w:r>
      <w:r w:rsidR="00B4150D">
        <w:t xml:space="preserve">Coal and </w:t>
      </w:r>
      <w:proofErr w:type="spellStart"/>
      <w:r>
        <w:t>hardrock</w:t>
      </w:r>
      <w:proofErr w:type="spellEnd"/>
      <w:r>
        <w:t xml:space="preserve"> production is collected on </w:t>
      </w:r>
      <w:r w:rsidR="00577E9D">
        <w:t xml:space="preserve">Form </w:t>
      </w:r>
      <w:r>
        <w:t>ONRR-4430</w:t>
      </w:r>
      <w:r w:rsidR="00FD5BE2">
        <w:t xml:space="preserve"> (Solid Minerals Production and Royalty Report)</w:t>
      </w:r>
      <w:r>
        <w:t>.</w:t>
      </w:r>
    </w:p>
    <w:p w14:paraId="619D4FC1" w14:textId="77777777" w:rsidR="00116957" w:rsidRPr="00B4150D" w:rsidRDefault="00116957" w:rsidP="00072C0D">
      <w:pPr>
        <w:rPr>
          <w:b/>
        </w:rPr>
      </w:pPr>
      <w:r w:rsidRPr="00B4150D">
        <w:rPr>
          <w:b/>
        </w:rPr>
        <w:t>Data Publication</w:t>
      </w:r>
    </w:p>
    <w:p w14:paraId="6B0999EB" w14:textId="77777777" w:rsidR="00116957" w:rsidRPr="00072C0D" w:rsidRDefault="00116957" w:rsidP="00072C0D">
      <w:r>
        <w:t xml:space="preserve">The production data set is updated 6 months after the end of the year. </w:t>
      </w:r>
      <w:r w:rsidR="00FD5BE2">
        <w:t>F</w:t>
      </w:r>
      <w:r>
        <w:t>iscal year 2015 data will be published in March 2016</w:t>
      </w:r>
      <w:r w:rsidR="00FD5BE2">
        <w:t xml:space="preserve"> </w:t>
      </w:r>
      <w:proofErr w:type="gramStart"/>
      <w:r w:rsidR="00FD5BE2">
        <w:t xml:space="preserve">and </w:t>
      </w:r>
      <w:r>
        <w:t xml:space="preserve"> calendar</w:t>
      </w:r>
      <w:proofErr w:type="gramEnd"/>
      <w:r>
        <w:t xml:space="preserve"> year 2015 data will be published in June 2016. </w:t>
      </w:r>
    </w:p>
    <w:p w14:paraId="6A62C168" w14:textId="77777777" w:rsidR="00072C0D" w:rsidRPr="00B4150D" w:rsidRDefault="00072C0D" w:rsidP="00072C0D">
      <w:pPr>
        <w:rPr>
          <w:b/>
        </w:rPr>
      </w:pPr>
      <w:r w:rsidRPr="00B4150D">
        <w:rPr>
          <w:b/>
        </w:rPr>
        <w:t xml:space="preserve">Why </w:t>
      </w:r>
      <w:r w:rsidR="005C3F87" w:rsidRPr="00B4150D">
        <w:rPr>
          <w:b/>
        </w:rPr>
        <w:t>was some solids data withheld</w:t>
      </w:r>
      <w:r w:rsidRPr="00B4150D">
        <w:rPr>
          <w:b/>
        </w:rPr>
        <w:t>?</w:t>
      </w:r>
    </w:p>
    <w:p w14:paraId="69A2A87E" w14:textId="77777777" w:rsidR="00072C0D" w:rsidRDefault="005C3F87" w:rsidP="00072C0D">
      <w:r>
        <w:t xml:space="preserve">The Office of Natural Resources Revenue withheld some solids production information out of an abundance of caution to ensure that there were no violations of the Trade Secrets Act. </w:t>
      </w:r>
    </w:p>
    <w:p w14:paraId="2026D154" w14:textId="77777777" w:rsidR="00C07071" w:rsidRPr="00C07071" w:rsidRDefault="00C07071" w:rsidP="00C07071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07071">
        <w:rPr>
          <w:rFonts w:ascii="Calibri" w:eastAsia="Times New Roman" w:hAnsi="Calibri" w:cs="Times New Roman"/>
          <w:color w:val="000000"/>
        </w:rPr>
        <w:t xml:space="preserve">"W" is displayed in the Production Volume column for those products that reveal proprietary data at the county level </w:t>
      </w:r>
    </w:p>
    <w:p w14:paraId="0C39380B" w14:textId="77777777" w:rsidR="00C07071" w:rsidRPr="00C07071" w:rsidRDefault="00C07071" w:rsidP="00C07071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07071">
        <w:rPr>
          <w:rFonts w:ascii="Calibri" w:eastAsia="Times New Roman" w:hAnsi="Calibri" w:cs="Times New Roman"/>
          <w:color w:val="000000"/>
        </w:rPr>
        <w:t>All "W" volumes are accounted for in separate line totals where state and county have been "Withheld" (columns C, D and E)</w:t>
      </w:r>
    </w:p>
    <w:p w14:paraId="0A27BE23" w14:textId="77777777" w:rsidR="00C07071" w:rsidRPr="00072C0D" w:rsidRDefault="00C07071" w:rsidP="00072C0D"/>
    <w:p w14:paraId="31B60AC6" w14:textId="77777777" w:rsidR="00072C0D" w:rsidRPr="00B4150D" w:rsidRDefault="00072C0D" w:rsidP="00072C0D">
      <w:pPr>
        <w:rPr>
          <w:b/>
        </w:rPr>
      </w:pPr>
      <w:r w:rsidRPr="00B4150D">
        <w:rPr>
          <w:b/>
        </w:rPr>
        <w:t>Offshore data dictionary</w:t>
      </w:r>
    </w:p>
    <w:p w14:paraId="2FC82167" w14:textId="77777777" w:rsidR="00072C0D" w:rsidRDefault="00072C0D" w:rsidP="00072C0D">
      <w:r w:rsidRPr="00072C0D">
        <w:t xml:space="preserve">The offshore dataset is organized by offshore planning areas. There are more offshore planning areas than are represented in our data. Those not represented had no </w:t>
      </w:r>
      <w:r w:rsidR="005C3F87">
        <w:t>production</w:t>
      </w:r>
      <w:r w:rsidRPr="00072C0D">
        <w:t xml:space="preserve"> </w:t>
      </w:r>
      <w:r w:rsidR="00E27901">
        <w:t>during the time period</w:t>
      </w:r>
      <w:r w:rsidRPr="00072C0D">
        <w:t>. For more information on offshore planning areas, including spatial boundaries, see the Bureau of Ocean Energy Management's </w:t>
      </w:r>
      <w:hyperlink r:id="rId8" w:history="1">
        <w:r w:rsidRPr="00072C0D">
          <w:rPr>
            <w:rStyle w:val="Hyperlink"/>
          </w:rPr>
          <w:t>maps and GIS data</w:t>
        </w:r>
      </w:hyperlink>
      <w:r w:rsidRPr="00072C0D">
        <w:t>.</w:t>
      </w:r>
    </w:p>
    <w:p w14:paraId="2BB62D3C" w14:textId="77777777" w:rsidR="00E27901" w:rsidRPr="00B4150D" w:rsidRDefault="00E27901" w:rsidP="00072C0D">
      <w:pPr>
        <w:rPr>
          <w:b/>
        </w:rPr>
      </w:pPr>
      <w:r w:rsidRPr="00B4150D">
        <w:rPr>
          <w:b/>
        </w:rPr>
        <w:t>FIPS Code</w:t>
      </w:r>
    </w:p>
    <w:p w14:paraId="06F20ED9" w14:textId="77777777" w:rsidR="00E27901" w:rsidRDefault="00E27901" w:rsidP="00072C0D">
      <w:r w:rsidRPr="00E27901">
        <w:t>Federal Information Processing Standard (FIPS) code is a five-digit code which uniquely identifies counties and county equivalents in the U</w:t>
      </w:r>
      <w:r w:rsidR="0012641B">
        <w:t>.</w:t>
      </w:r>
      <w:r w:rsidRPr="00E27901">
        <w:t>S</w:t>
      </w:r>
      <w:r w:rsidR="0012641B">
        <w:t>.</w:t>
      </w:r>
      <w:r w:rsidRPr="00E27901">
        <w:t xml:space="preserve">, certain U.S. possessions, and certain freely associated states. The first two digits are the FIPS state code and the last three are the county code within the state or possession. </w:t>
      </w:r>
    </w:p>
    <w:p w14:paraId="0F304937" w14:textId="77777777" w:rsidR="0012641B" w:rsidRDefault="0012641B" w:rsidP="00072C0D">
      <w:pPr>
        <w:rPr>
          <w:b/>
          <w:bCs/>
        </w:rPr>
      </w:pPr>
    </w:p>
    <w:p w14:paraId="4A75872A" w14:textId="77777777" w:rsidR="0012641B" w:rsidRDefault="00072C0D" w:rsidP="00072C0D">
      <w:pPr>
        <w:rPr>
          <w:b/>
          <w:bCs/>
        </w:rPr>
      </w:pPr>
      <w:r w:rsidRPr="00072C0D">
        <w:rPr>
          <w:b/>
          <w:bCs/>
        </w:rPr>
        <w:t>Region</w:t>
      </w:r>
    </w:p>
    <w:p w14:paraId="19CF3B57" w14:textId="77777777" w:rsidR="00072C0D" w:rsidRPr="00072C0D" w:rsidRDefault="00072C0D" w:rsidP="00072C0D">
      <w:r w:rsidRPr="00072C0D">
        <w:t>The Bureau of Ocean Energy Management separates offshore area into four regions: Gulf of Mexico, Atlantic, Pacific</w:t>
      </w:r>
      <w:r w:rsidR="0012641B">
        <w:t>,</w:t>
      </w:r>
      <w:r w:rsidRPr="00072C0D">
        <w:t xml:space="preserve"> and Alaska. For more information on offshore regions, including spatial boundaries, see the Bureau of Ocean Energy Management's </w:t>
      </w:r>
      <w:hyperlink r:id="rId9" w:history="1">
        <w:r w:rsidRPr="00072C0D">
          <w:rPr>
            <w:rStyle w:val="Hyperlink"/>
          </w:rPr>
          <w:t>maps and GIS data</w:t>
        </w:r>
      </w:hyperlink>
      <w:r w:rsidRPr="00072C0D">
        <w:t>.</w:t>
      </w:r>
    </w:p>
    <w:p w14:paraId="3E242D5B" w14:textId="77777777" w:rsidR="0012641B" w:rsidRDefault="00072C0D" w:rsidP="00072C0D">
      <w:pPr>
        <w:rPr>
          <w:b/>
          <w:bCs/>
        </w:rPr>
      </w:pPr>
      <w:r w:rsidRPr="00072C0D">
        <w:rPr>
          <w:b/>
          <w:bCs/>
        </w:rPr>
        <w:t>Planning Area</w:t>
      </w:r>
    </w:p>
    <w:p w14:paraId="0CECD11B" w14:textId="77777777" w:rsidR="00072C0D" w:rsidRDefault="00072C0D" w:rsidP="00072C0D">
      <w:r w:rsidRPr="00072C0D">
        <w:t>Offshore regions are broken out into planning areas. For more information on offshore planning areas, including spatial boundaries, see the Bureau of Ocean Energy Management's </w:t>
      </w:r>
      <w:hyperlink r:id="rId10" w:history="1">
        <w:r w:rsidRPr="00072C0D">
          <w:rPr>
            <w:rStyle w:val="Hyperlink"/>
          </w:rPr>
          <w:t>maps and GIS data</w:t>
        </w:r>
      </w:hyperlink>
      <w:r w:rsidRPr="00072C0D">
        <w:t>.</w:t>
      </w:r>
    </w:p>
    <w:p w14:paraId="741EB280" w14:textId="77777777" w:rsidR="00C07071" w:rsidRPr="00B4150D" w:rsidRDefault="00C07071" w:rsidP="00C07071">
      <w:pPr>
        <w:rPr>
          <w:b/>
        </w:rPr>
      </w:pPr>
      <w:r w:rsidRPr="00B4150D">
        <w:rPr>
          <w:b/>
        </w:rPr>
        <w:t>Product Groupings</w:t>
      </w:r>
    </w:p>
    <w:p w14:paraId="58B2D375" w14:textId="77777777" w:rsidR="00C07071" w:rsidRPr="00C07071" w:rsidRDefault="00C07071" w:rsidP="00C0707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07071">
        <w:rPr>
          <w:rFonts w:ascii="Calibri" w:eastAsia="Times New Roman" w:hAnsi="Calibri" w:cs="Times New Roman"/>
          <w:color w:val="000000"/>
        </w:rPr>
        <w:t>Borate Products include: Borax-Anhydrous, Borax-</w:t>
      </w:r>
      <w:proofErr w:type="spellStart"/>
      <w:r w:rsidRPr="00C07071">
        <w:rPr>
          <w:rFonts w:ascii="Calibri" w:eastAsia="Times New Roman" w:hAnsi="Calibri" w:cs="Times New Roman"/>
          <w:color w:val="000000"/>
        </w:rPr>
        <w:t>Decahydrate</w:t>
      </w:r>
      <w:proofErr w:type="spellEnd"/>
      <w:r w:rsidRPr="00C07071">
        <w:rPr>
          <w:rFonts w:ascii="Calibri" w:eastAsia="Times New Roman" w:hAnsi="Calibri" w:cs="Times New Roman"/>
          <w:color w:val="000000"/>
        </w:rPr>
        <w:t>, Borax-Pentahydrate and Boric Acid</w:t>
      </w:r>
    </w:p>
    <w:p w14:paraId="5F670C30" w14:textId="77777777" w:rsidR="00C07071" w:rsidRPr="00C07071" w:rsidRDefault="00C07071" w:rsidP="00C0707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07071">
        <w:rPr>
          <w:rFonts w:ascii="Calibri" w:eastAsia="Times New Roman" w:hAnsi="Calibri" w:cs="Times New Roman"/>
          <w:color w:val="000000"/>
        </w:rPr>
        <w:t>Brine Products include: Brine Barrels (converted to ton equivalent) and Magnesium Chloride Brine</w:t>
      </w:r>
    </w:p>
    <w:p w14:paraId="0F4B81BB" w14:textId="77777777" w:rsidR="00C07071" w:rsidRPr="00C07071" w:rsidRDefault="00C07071" w:rsidP="00C0707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07071">
        <w:rPr>
          <w:rFonts w:ascii="Calibri" w:eastAsia="Times New Roman" w:hAnsi="Calibri" w:cs="Times New Roman"/>
          <w:color w:val="000000"/>
        </w:rPr>
        <w:t>Gold and Silver Products (</w:t>
      </w:r>
      <w:proofErr w:type="spellStart"/>
      <w:r w:rsidRPr="00C07071">
        <w:rPr>
          <w:rFonts w:ascii="Calibri" w:eastAsia="Times New Roman" w:hAnsi="Calibri" w:cs="Times New Roman"/>
          <w:color w:val="000000"/>
        </w:rPr>
        <w:t>oz</w:t>
      </w:r>
      <w:proofErr w:type="spellEnd"/>
      <w:r w:rsidRPr="00C07071">
        <w:rPr>
          <w:rFonts w:ascii="Calibri" w:eastAsia="Times New Roman" w:hAnsi="Calibri" w:cs="Times New Roman"/>
          <w:color w:val="000000"/>
        </w:rPr>
        <w:t>) include: Gold, Gold Placer</w:t>
      </w:r>
      <w:r w:rsidR="00142BAE">
        <w:rPr>
          <w:rFonts w:ascii="Calibri" w:eastAsia="Times New Roman" w:hAnsi="Calibri" w:cs="Times New Roman"/>
          <w:color w:val="000000"/>
        </w:rPr>
        <w:t>,</w:t>
      </w:r>
      <w:r w:rsidRPr="00C07071">
        <w:rPr>
          <w:rFonts w:ascii="Calibri" w:eastAsia="Times New Roman" w:hAnsi="Calibri" w:cs="Times New Roman"/>
          <w:color w:val="000000"/>
        </w:rPr>
        <w:t xml:space="preserve"> and Silver</w:t>
      </w:r>
    </w:p>
    <w:p w14:paraId="5EBC92D0" w14:textId="77777777" w:rsidR="00C07071" w:rsidRPr="00C07071" w:rsidRDefault="00C07071" w:rsidP="00C0707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 w:rsidRPr="00C07071">
        <w:rPr>
          <w:rFonts w:ascii="Calibri" w:eastAsia="Times New Roman" w:hAnsi="Calibri" w:cs="Times New Roman"/>
          <w:color w:val="000000"/>
        </w:rPr>
        <w:t>Hardrock</w:t>
      </w:r>
      <w:proofErr w:type="spellEnd"/>
      <w:r w:rsidRPr="00C07071">
        <w:rPr>
          <w:rFonts w:ascii="Calibri" w:eastAsia="Times New Roman" w:hAnsi="Calibri" w:cs="Times New Roman"/>
          <w:color w:val="000000"/>
        </w:rPr>
        <w:t xml:space="preserve"> Products include: Limestone and </w:t>
      </w:r>
      <w:proofErr w:type="spellStart"/>
      <w:r w:rsidRPr="00C07071">
        <w:rPr>
          <w:rFonts w:ascii="Calibri" w:eastAsia="Times New Roman" w:hAnsi="Calibri" w:cs="Times New Roman"/>
          <w:color w:val="000000"/>
        </w:rPr>
        <w:t>Wavelite</w:t>
      </w:r>
      <w:proofErr w:type="spellEnd"/>
    </w:p>
    <w:p w14:paraId="03591207" w14:textId="77777777" w:rsidR="00C07071" w:rsidRPr="00C07071" w:rsidRDefault="00C07071" w:rsidP="00C0707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07071">
        <w:rPr>
          <w:rFonts w:ascii="Calibri" w:eastAsia="Times New Roman" w:hAnsi="Calibri" w:cs="Times New Roman"/>
          <w:color w:val="000000"/>
        </w:rPr>
        <w:t xml:space="preserve">Other Coal Products include: </w:t>
      </w:r>
      <w:proofErr w:type="spellStart"/>
      <w:r w:rsidRPr="00C07071">
        <w:rPr>
          <w:rFonts w:ascii="Calibri" w:eastAsia="Times New Roman" w:hAnsi="Calibri" w:cs="Times New Roman"/>
          <w:color w:val="000000"/>
        </w:rPr>
        <w:t>Leonardite</w:t>
      </w:r>
      <w:proofErr w:type="spellEnd"/>
      <w:r w:rsidRPr="00C07071">
        <w:rPr>
          <w:rFonts w:ascii="Calibri" w:eastAsia="Times New Roman" w:hAnsi="Calibri" w:cs="Times New Roman"/>
          <w:color w:val="000000"/>
        </w:rPr>
        <w:t xml:space="preserve"> and Coal Waste (Sub-Econ)</w:t>
      </w:r>
    </w:p>
    <w:p w14:paraId="0B154F91" w14:textId="77777777" w:rsidR="00C07071" w:rsidRPr="00C07071" w:rsidRDefault="00C07071" w:rsidP="00C0707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07071">
        <w:rPr>
          <w:rFonts w:ascii="Calibri" w:eastAsia="Times New Roman" w:hAnsi="Calibri" w:cs="Times New Roman"/>
          <w:color w:val="000000"/>
        </w:rPr>
        <w:t>Gold Products (tons) includes: Gold Ore</w:t>
      </w:r>
    </w:p>
    <w:p w14:paraId="4B9A29EB" w14:textId="77777777" w:rsidR="00C07071" w:rsidRPr="00C07071" w:rsidRDefault="00C07071" w:rsidP="00C0707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07071">
        <w:rPr>
          <w:rFonts w:ascii="Calibri" w:eastAsia="Times New Roman" w:hAnsi="Calibri" w:cs="Times New Roman"/>
          <w:color w:val="000000"/>
        </w:rPr>
        <w:t xml:space="preserve">Other Potassium Products include: Manure Salts and </w:t>
      </w:r>
      <w:proofErr w:type="spellStart"/>
      <w:r w:rsidRPr="00C07071">
        <w:rPr>
          <w:rFonts w:ascii="Calibri" w:eastAsia="Times New Roman" w:hAnsi="Calibri" w:cs="Times New Roman"/>
          <w:color w:val="000000"/>
        </w:rPr>
        <w:t>Sylvite</w:t>
      </w:r>
      <w:proofErr w:type="spellEnd"/>
      <w:r w:rsidRPr="00C07071">
        <w:rPr>
          <w:rFonts w:ascii="Calibri" w:eastAsia="Times New Roman" w:hAnsi="Calibri" w:cs="Times New Roman"/>
          <w:color w:val="000000"/>
        </w:rPr>
        <w:t>-Raw Ore</w:t>
      </w:r>
    </w:p>
    <w:p w14:paraId="7446F7B5" w14:textId="77777777" w:rsidR="00C07071" w:rsidRPr="00C07071" w:rsidRDefault="00C07071" w:rsidP="00C0707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07071">
        <w:rPr>
          <w:rFonts w:ascii="Calibri" w:eastAsia="Times New Roman" w:hAnsi="Calibri" w:cs="Times New Roman"/>
          <w:color w:val="000000"/>
        </w:rPr>
        <w:t xml:space="preserve">Other Sodium Products include: Anhydrous Sodium Sulfate, Sodium Bisulfite, Sodium </w:t>
      </w:r>
      <w:proofErr w:type="spellStart"/>
      <w:r w:rsidRPr="00C07071">
        <w:rPr>
          <w:rFonts w:ascii="Calibri" w:eastAsia="Times New Roman" w:hAnsi="Calibri" w:cs="Times New Roman"/>
          <w:color w:val="000000"/>
        </w:rPr>
        <w:t>Decahydrate</w:t>
      </w:r>
      <w:proofErr w:type="spellEnd"/>
      <w:r w:rsidRPr="00C07071">
        <w:rPr>
          <w:rFonts w:ascii="Calibri" w:eastAsia="Times New Roman" w:hAnsi="Calibri" w:cs="Times New Roman"/>
          <w:color w:val="000000"/>
        </w:rPr>
        <w:t xml:space="preserve">, Sodium </w:t>
      </w:r>
      <w:proofErr w:type="spellStart"/>
      <w:r w:rsidRPr="00C07071">
        <w:rPr>
          <w:rFonts w:ascii="Calibri" w:eastAsia="Times New Roman" w:hAnsi="Calibri" w:cs="Times New Roman"/>
          <w:color w:val="000000"/>
        </w:rPr>
        <w:t>Sesquicarbonate</w:t>
      </w:r>
      <w:proofErr w:type="spellEnd"/>
      <w:r w:rsidRPr="00C07071">
        <w:rPr>
          <w:rFonts w:ascii="Calibri" w:eastAsia="Times New Roman" w:hAnsi="Calibri" w:cs="Times New Roman"/>
          <w:color w:val="000000"/>
        </w:rPr>
        <w:t xml:space="preserve">, Sulfide and </w:t>
      </w:r>
      <w:proofErr w:type="spellStart"/>
      <w:r w:rsidRPr="00C07071">
        <w:rPr>
          <w:rFonts w:ascii="Calibri" w:eastAsia="Times New Roman" w:hAnsi="Calibri" w:cs="Times New Roman"/>
          <w:color w:val="000000"/>
        </w:rPr>
        <w:t>Trona</w:t>
      </w:r>
      <w:proofErr w:type="spellEnd"/>
      <w:r w:rsidRPr="00C07071">
        <w:rPr>
          <w:rFonts w:ascii="Calibri" w:eastAsia="Times New Roman" w:hAnsi="Calibri" w:cs="Times New Roman"/>
          <w:color w:val="000000"/>
        </w:rPr>
        <w:t xml:space="preserve"> Ore</w:t>
      </w:r>
    </w:p>
    <w:p w14:paraId="6199C4B3" w14:textId="77777777" w:rsidR="00C07071" w:rsidRPr="00072C0D" w:rsidRDefault="00C07071" w:rsidP="00072C0D"/>
    <w:p w14:paraId="631C013C" w14:textId="77777777" w:rsidR="00234C7E" w:rsidRDefault="00234C7E"/>
    <w:sectPr w:rsidR="00234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96F52"/>
    <w:multiLevelType w:val="hybridMultilevel"/>
    <w:tmpl w:val="C1A6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12AE0"/>
    <w:multiLevelType w:val="hybridMultilevel"/>
    <w:tmpl w:val="2FFEB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043B9B"/>
    <w:multiLevelType w:val="hybridMultilevel"/>
    <w:tmpl w:val="F694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AB2A68"/>
    <w:multiLevelType w:val="multilevel"/>
    <w:tmpl w:val="0A7E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130"/>
    <w:rsid w:val="000246E8"/>
    <w:rsid w:val="00072C0D"/>
    <w:rsid w:val="00116957"/>
    <w:rsid w:val="0012641B"/>
    <w:rsid w:val="00142BAE"/>
    <w:rsid w:val="00234C7E"/>
    <w:rsid w:val="002E2130"/>
    <w:rsid w:val="00577E9D"/>
    <w:rsid w:val="005C3F87"/>
    <w:rsid w:val="006E77D5"/>
    <w:rsid w:val="00797336"/>
    <w:rsid w:val="00857F6C"/>
    <w:rsid w:val="008F543F"/>
    <w:rsid w:val="00B4150D"/>
    <w:rsid w:val="00C07071"/>
    <w:rsid w:val="00C26593"/>
    <w:rsid w:val="00C26E99"/>
    <w:rsid w:val="00D8399D"/>
    <w:rsid w:val="00E17CF2"/>
    <w:rsid w:val="00E27901"/>
    <w:rsid w:val="00FD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30B1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C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0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7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E9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77E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E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7E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E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E9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264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C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0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7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E9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77E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E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7E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E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E9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264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statistics.onrr.gov" TargetMode="External"/><Relationship Id="rId8" Type="http://schemas.openxmlformats.org/officeDocument/2006/relationships/hyperlink" Target="http://www.boem.gov/Maps-and-GIS-Data/" TargetMode="External"/><Relationship Id="rId9" Type="http://schemas.openxmlformats.org/officeDocument/2006/relationships/hyperlink" Target="http://www.boem.gov/Maps-and-GIS-Data/" TargetMode="External"/><Relationship Id="rId10" Type="http://schemas.openxmlformats.org/officeDocument/2006/relationships/hyperlink" Target="http://www.boem.gov/Maps-and-GIS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BB3BA-21F5-F84E-A71D-5D5297149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529</Words>
  <Characters>3017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DOI</Company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Mentasti, Chris</dc:creator>
  <cp:lastModifiedBy>Michelle Hertzfeld</cp:lastModifiedBy>
  <cp:revision>4</cp:revision>
  <dcterms:created xsi:type="dcterms:W3CDTF">2015-11-23T15:03:00Z</dcterms:created>
  <dcterms:modified xsi:type="dcterms:W3CDTF">2015-11-25T22:26:00Z</dcterms:modified>
</cp:coreProperties>
</file>