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C786E" w14:textId="77777777" w:rsidR="00286321" w:rsidRPr="00226772" w:rsidRDefault="00286321" w:rsidP="00286321">
      <w:pPr>
        <w:rPr>
          <w:b/>
          <w:sz w:val="28"/>
        </w:rPr>
      </w:pPr>
      <w:r w:rsidRPr="00226772">
        <w:rPr>
          <w:b/>
          <w:sz w:val="28"/>
        </w:rPr>
        <w:t>Total revenues by company</w:t>
      </w:r>
    </w:p>
    <w:p w14:paraId="1FD4DB85" w14:textId="77777777" w:rsidR="00286321" w:rsidRPr="00226772" w:rsidRDefault="00286321" w:rsidP="00286321">
      <w:pPr>
        <w:rPr>
          <w:b/>
        </w:rPr>
      </w:pPr>
      <w:r w:rsidRPr="00226772">
        <w:rPr>
          <w:b/>
        </w:rPr>
        <w:t>General concept and purpose</w:t>
      </w:r>
    </w:p>
    <w:p w14:paraId="43F642B3" w14:textId="77777777" w:rsidR="00286321" w:rsidRPr="00286321" w:rsidRDefault="00286321" w:rsidP="00286321">
      <w:r w:rsidRPr="00286321">
        <w:t>The </w:t>
      </w:r>
      <w:hyperlink r:id="rId6" w:history="1">
        <w:r w:rsidRPr="00286321">
          <w:rPr>
            <w:rStyle w:val="Hyperlink"/>
          </w:rPr>
          <w:t>"total revenues by company"</w:t>
        </w:r>
      </w:hyperlink>
      <w:r w:rsidRPr="00286321">
        <w:t> dataset on this site provides calendar year 2013 natural resource revenues data by company. This new dataset is a product of the </w:t>
      </w:r>
      <w:hyperlink r:id="rId7" w:history="1">
        <w:r w:rsidRPr="00286321">
          <w:rPr>
            <w:rStyle w:val="Hyperlink"/>
          </w:rPr>
          <w:t>U.S. Extractive Industries Transparency Initiative</w:t>
        </w:r>
      </w:hyperlink>
      <w:r w:rsidR="00744A0B">
        <w:rPr>
          <w:rStyle w:val="Hyperlink"/>
        </w:rPr>
        <w:t xml:space="preserve"> (USEITI)</w:t>
      </w:r>
      <w:r w:rsidR="00C477E7">
        <w:rPr>
          <w:rStyle w:val="Hyperlink"/>
        </w:rPr>
        <w:t xml:space="preserve"> </w:t>
      </w:r>
      <w:bookmarkStart w:id="0" w:name="_GoBack"/>
      <w:bookmarkEnd w:id="0"/>
      <w:r w:rsidR="00744A0B">
        <w:t xml:space="preserve">and </w:t>
      </w:r>
      <w:r w:rsidRPr="00286321">
        <w:t>represents cooperation between government, industry</w:t>
      </w:r>
      <w:r w:rsidR="00744A0B">
        <w:t>,</w:t>
      </w:r>
      <w:r w:rsidRPr="00286321">
        <w:t xml:space="preserve"> and civil society to create and confirm this information, and provide it in a way that adds to the national dialogue on natural resource extraction.</w:t>
      </w:r>
      <w:r w:rsidR="00D948AA">
        <w:t xml:space="preserve"> This data set will be updated in the first quarter of the calendar year. </w:t>
      </w:r>
    </w:p>
    <w:p w14:paraId="5969AE82" w14:textId="77777777" w:rsidR="00286321" w:rsidRPr="00226772" w:rsidRDefault="00286321" w:rsidP="00286321">
      <w:pPr>
        <w:rPr>
          <w:b/>
        </w:rPr>
      </w:pPr>
      <w:r w:rsidRPr="00226772">
        <w:rPr>
          <w:b/>
        </w:rPr>
        <w:t>Scope</w:t>
      </w:r>
    </w:p>
    <w:p w14:paraId="46589721" w14:textId="77777777" w:rsidR="00286321" w:rsidRPr="00286321" w:rsidRDefault="00286321" w:rsidP="00286321">
      <w:r w:rsidRPr="00286321">
        <w:t>These datasets include revenues for U.S. Federal lands and offshore areas. It does not include Indian lands, privately-owned lands</w:t>
      </w:r>
      <w:r w:rsidR="00744A0B">
        <w:t>,</w:t>
      </w:r>
      <w:r w:rsidRPr="00286321">
        <w:t xml:space="preserve"> or U.S. state lands. The datasets currently include data tracked and managed by the Department of the Interior’s </w:t>
      </w:r>
      <w:r w:rsidR="00744A0B">
        <w:t xml:space="preserve">(DOI) </w:t>
      </w:r>
      <w:r w:rsidRPr="00286321">
        <w:t>Office of Natural Resource</w:t>
      </w:r>
      <w:r w:rsidR="00744A0B">
        <w:t>s</w:t>
      </w:r>
      <w:r w:rsidRPr="00286321">
        <w:t xml:space="preserve"> Revenue</w:t>
      </w:r>
      <w:r>
        <w:t xml:space="preserve"> (ONRR), Bureau of Land Management (BLM)</w:t>
      </w:r>
      <w:r w:rsidR="00744A0B">
        <w:t>,</w:t>
      </w:r>
      <w:r>
        <w:t xml:space="preserve"> and </w:t>
      </w:r>
      <w:r w:rsidRPr="00286321">
        <w:t>Office of Surface Mining</w:t>
      </w:r>
      <w:r w:rsidR="00241210">
        <w:t>,</w:t>
      </w:r>
      <w:r w:rsidRPr="00286321">
        <w:t xml:space="preserve"> Reclamation</w:t>
      </w:r>
      <w:r w:rsidR="00241210">
        <w:t>,</w:t>
      </w:r>
      <w:r w:rsidRPr="00286321">
        <w:t xml:space="preserve"> and Enforcement</w:t>
      </w:r>
      <w:r>
        <w:t xml:space="preserve"> (OSMRE).</w:t>
      </w:r>
    </w:p>
    <w:p w14:paraId="4FAAA807" w14:textId="77777777" w:rsidR="00744A0B" w:rsidRDefault="00286321" w:rsidP="00286321">
      <w:pPr>
        <w:rPr>
          <w:b/>
          <w:bCs/>
        </w:rPr>
      </w:pPr>
      <w:r w:rsidRPr="00286321">
        <w:rPr>
          <w:b/>
          <w:bCs/>
        </w:rPr>
        <w:t>Companies below threshold</w:t>
      </w:r>
    </w:p>
    <w:p w14:paraId="60FCE29E" w14:textId="77777777" w:rsidR="00286321" w:rsidRPr="00286321" w:rsidRDefault="00286321" w:rsidP="00286321">
      <w:r w:rsidRPr="00286321">
        <w:t xml:space="preserve">The </w:t>
      </w:r>
      <w:r w:rsidR="00744A0B">
        <w:t>USEITI</w:t>
      </w:r>
      <w:r w:rsidRPr="00286321">
        <w:t xml:space="preserve"> Multi-Stakeholder Group agreed to an annual reporting threshold of $100,000 because these aggregated payments make up less than one quarter of one percent of total payments. Many of the companies that fall below this threshold are </w:t>
      </w:r>
      <w:r w:rsidR="00744A0B">
        <w:t xml:space="preserve">small companies, </w:t>
      </w:r>
      <w:r w:rsidRPr="00286321">
        <w:t>individuals</w:t>
      </w:r>
      <w:r w:rsidR="00744A0B">
        <w:t>,</w:t>
      </w:r>
      <w:r w:rsidRPr="00286321">
        <w:t xml:space="preserve"> and family trusts. Payments made by </w:t>
      </w:r>
      <w:r w:rsidR="00744A0B">
        <w:t>entities</w:t>
      </w:r>
      <w:r w:rsidR="00744A0B" w:rsidRPr="00286321">
        <w:t xml:space="preserve"> </w:t>
      </w:r>
      <w:r w:rsidRPr="00286321">
        <w:t>that reported less than $100,000 are aggregated (rolled up) into this category.</w:t>
      </w:r>
    </w:p>
    <w:p w14:paraId="608EAB93" w14:textId="77777777" w:rsidR="00744A0B" w:rsidRDefault="00286321" w:rsidP="00286321">
      <w:pPr>
        <w:rPr>
          <w:b/>
          <w:bCs/>
        </w:rPr>
      </w:pPr>
      <w:r w:rsidRPr="00286321">
        <w:rPr>
          <w:b/>
          <w:bCs/>
        </w:rPr>
        <w:t>One mine one product</w:t>
      </w:r>
    </w:p>
    <w:p w14:paraId="5C5920FC" w14:textId="77777777" w:rsidR="00286321" w:rsidRPr="00286321" w:rsidRDefault="00286321" w:rsidP="00286321">
      <w:r w:rsidRPr="00286321">
        <w:t xml:space="preserve">Disclosing payments of solid mineral companies who only produce and sell </w:t>
      </w:r>
      <w:r w:rsidR="00744A0B">
        <w:t xml:space="preserve">only </w:t>
      </w:r>
      <w:r w:rsidRPr="00286321">
        <w:t>one product from one mine can reveal proprietary sales price and contracting information and cause competitive harm to</w:t>
      </w:r>
      <w:r w:rsidR="00744A0B">
        <w:t xml:space="preserve"> these</w:t>
      </w:r>
      <w:r w:rsidRPr="00286321">
        <w:t xml:space="preserve"> small companies. The </w:t>
      </w:r>
      <w:r w:rsidR="00744A0B">
        <w:t>DOI</w:t>
      </w:r>
      <w:r w:rsidRPr="00286321">
        <w:t xml:space="preserve"> is legally obligated through the Trades Secrets Act to safeguard this data, so payments from these companies are aggregated (rolled</w:t>
      </w:r>
      <w:r w:rsidR="00744A0B">
        <w:t>-</w:t>
      </w:r>
      <w:r w:rsidRPr="00286321">
        <w:t>up) in this category. These aggregated payments make up less than three thousandths of one percent of all payments.</w:t>
      </w:r>
    </w:p>
    <w:p w14:paraId="625343AE" w14:textId="77777777" w:rsidR="00286321" w:rsidRPr="00226772" w:rsidRDefault="00286321" w:rsidP="00286321">
      <w:pPr>
        <w:rPr>
          <w:b/>
        </w:rPr>
      </w:pPr>
      <w:r w:rsidRPr="00226772">
        <w:rPr>
          <w:b/>
        </w:rPr>
        <w:t>Why are some values negative?</w:t>
      </w:r>
    </w:p>
    <w:p w14:paraId="2F5845C6" w14:textId="77777777" w:rsidR="00286321" w:rsidRPr="00286321" w:rsidRDefault="00286321" w:rsidP="00286321">
      <w:r w:rsidRPr="00286321">
        <w:t xml:space="preserve">Companies can adjust and correct their payments for up to seven years after a transaction takes place. If a company overpays their royalty, rent, or bonus, they are entitled to recoup their overpayment. If the overpayment and recoupment happen in different years, the recoupment will appear as a negative amount in </w:t>
      </w:r>
      <w:r w:rsidR="001A7D44">
        <w:t>ONRR’s</w:t>
      </w:r>
      <w:r w:rsidRPr="00286321">
        <w:t xml:space="preserve"> revenue summaries.</w:t>
      </w:r>
    </w:p>
    <w:p w14:paraId="6879956B" w14:textId="77777777" w:rsidR="00286321" w:rsidRPr="00226772" w:rsidRDefault="00286321" w:rsidP="00286321">
      <w:pPr>
        <w:rPr>
          <w:b/>
        </w:rPr>
      </w:pPr>
      <w:r w:rsidRPr="00226772">
        <w:rPr>
          <w:b/>
        </w:rPr>
        <w:t>Why is there a Gas value, an Oil value and an Oil &amp; Gas value?</w:t>
      </w:r>
    </w:p>
    <w:p w14:paraId="1B661792" w14:textId="77777777" w:rsidR="00286321" w:rsidRPr="00286321" w:rsidRDefault="00286321" w:rsidP="00286321">
      <w:r w:rsidRPr="00286321">
        <w:t>“Oil &amp; Gas” is the commodity category used for offshore oil and gas rents and bonuses. At the time of lease sale, it isn’t known whether a lease will produce oil, gas</w:t>
      </w:r>
      <w:r w:rsidR="001A7D44">
        <w:t>,</w:t>
      </w:r>
      <w:r w:rsidRPr="00286321">
        <w:t xml:space="preserve"> or both oil and gas. After a lease starts producing a commodity (or commodities), the lease owner starts paying</w:t>
      </w:r>
      <w:r>
        <w:t xml:space="preserve"> </w:t>
      </w:r>
      <w:r w:rsidRPr="00286321">
        <w:t>royalties</w:t>
      </w:r>
      <w:r w:rsidR="001A7D44">
        <w:t>, and</w:t>
      </w:r>
      <w:r w:rsidRPr="00286321">
        <w:t xml:space="preserve"> </w:t>
      </w:r>
      <w:r w:rsidR="001A7D44">
        <w:t>t</w:t>
      </w:r>
      <w:r w:rsidRPr="00286321">
        <w:t>hese</w:t>
      </w:r>
      <w:r w:rsidR="001A7D44">
        <w:t xml:space="preserve"> royalties</w:t>
      </w:r>
      <w:r w:rsidRPr="00286321">
        <w:t xml:space="preserve"> can then be associated with either oil or gas. Hence, rent and bonus lines of data will be associated with </w:t>
      </w:r>
      <w:r w:rsidRPr="00286321">
        <w:lastRenderedPageBreak/>
        <w:t>an “Oil &amp; Gas” commodity type, while royalty lines of data will be associated with either “Oil” or “Gas” commodity types.</w:t>
      </w:r>
    </w:p>
    <w:p w14:paraId="36A2EC85" w14:textId="77777777" w:rsidR="00286321" w:rsidRPr="00226772" w:rsidRDefault="00286321" w:rsidP="00286321">
      <w:pPr>
        <w:rPr>
          <w:b/>
        </w:rPr>
      </w:pPr>
      <w:r w:rsidRPr="00226772">
        <w:rPr>
          <w:b/>
        </w:rPr>
        <w:t>Data dictionary</w:t>
      </w:r>
    </w:p>
    <w:p w14:paraId="235871CD" w14:textId="77777777" w:rsidR="00286321" w:rsidRPr="00226772" w:rsidRDefault="00286321" w:rsidP="00286321">
      <w:pPr>
        <w:rPr>
          <w:b/>
        </w:rPr>
      </w:pPr>
      <w:r w:rsidRPr="00226772">
        <w:rPr>
          <w:b/>
        </w:rPr>
        <w:t>Fields and definitions</w:t>
      </w:r>
    </w:p>
    <w:p w14:paraId="131283E4" w14:textId="77777777" w:rsidR="00286321" w:rsidRPr="00286321" w:rsidRDefault="00286321" w:rsidP="00286321">
      <w:r w:rsidRPr="00286321">
        <w:rPr>
          <w:b/>
          <w:bCs/>
        </w:rPr>
        <w:t>Company Name. </w:t>
      </w:r>
      <w:r w:rsidRPr="00286321">
        <w:t>Name of company.</w:t>
      </w:r>
    </w:p>
    <w:p w14:paraId="485A8111" w14:textId="77777777" w:rsidR="00286321" w:rsidRPr="00286321" w:rsidRDefault="00286321" w:rsidP="00286321">
      <w:r w:rsidRPr="00286321">
        <w:rPr>
          <w:b/>
          <w:bCs/>
        </w:rPr>
        <w:t>Revenue Type. </w:t>
      </w:r>
      <w:r w:rsidRPr="00286321">
        <w:t>Revenues from U.S. natural resources fall into one of several types:</w:t>
      </w:r>
    </w:p>
    <w:p w14:paraId="53164EB4" w14:textId="77777777" w:rsidR="00286321" w:rsidRPr="00286321" w:rsidRDefault="00286321" w:rsidP="00286321">
      <w:pPr>
        <w:numPr>
          <w:ilvl w:val="0"/>
          <w:numId w:val="1"/>
        </w:numPr>
      </w:pPr>
      <w:r w:rsidRPr="00286321">
        <w:rPr>
          <w:b/>
          <w:bCs/>
        </w:rPr>
        <w:t>Royalties. </w:t>
      </w:r>
      <w:r w:rsidRPr="00286321">
        <w:t>A natural resource lease owner pays royalties after the lease starts producing a commodity in paying quantities. The amount is based on a percentage of the revenue from the commodity sold. Th</w:t>
      </w:r>
      <w:r w:rsidR="00280E9C">
        <w:t>is royalty rate</w:t>
      </w:r>
      <w:r w:rsidRPr="00286321">
        <w:t>is set in the original lease document that went along with the lease sale</w:t>
      </w:r>
      <w:r w:rsidR="00280E9C">
        <w:t>, the onshore royalty rate is 12.5%, offshore leases can have a royalty rates of 12.5%, 16.67%, 18.75%.</w:t>
      </w:r>
    </w:p>
    <w:p w14:paraId="19D62DF4" w14:textId="77777777" w:rsidR="00286321" w:rsidRPr="00286321" w:rsidRDefault="00286321" w:rsidP="00286321">
      <w:pPr>
        <w:numPr>
          <w:ilvl w:val="0"/>
          <w:numId w:val="1"/>
        </w:numPr>
      </w:pPr>
      <w:r w:rsidRPr="00286321">
        <w:rPr>
          <w:b/>
          <w:bCs/>
        </w:rPr>
        <w:t>Bonus. </w:t>
      </w:r>
      <w:r w:rsidRPr="00286321">
        <w:t>The amount paid by the highest successful bidder for a natural resource lease. The winning bid.</w:t>
      </w:r>
      <w:r>
        <w:t xml:space="preserve"> Collected by BLM (Onshore) and ONRR (Offshore).</w:t>
      </w:r>
    </w:p>
    <w:p w14:paraId="48ADA5F5" w14:textId="77777777" w:rsidR="00286321" w:rsidRPr="00286321" w:rsidRDefault="00286321" w:rsidP="00286321">
      <w:pPr>
        <w:numPr>
          <w:ilvl w:val="0"/>
          <w:numId w:val="1"/>
        </w:numPr>
      </w:pPr>
      <w:r w:rsidRPr="00286321">
        <w:rPr>
          <w:b/>
          <w:bCs/>
        </w:rPr>
        <w:t>Rents. </w:t>
      </w:r>
      <w:r w:rsidRPr="00286321">
        <w:t xml:space="preserve">A natural resource lease might not produce </w:t>
      </w:r>
      <w:r w:rsidR="001A7D44">
        <w:t>a commodity</w:t>
      </w:r>
      <w:r w:rsidR="001A7D44" w:rsidRPr="00286321">
        <w:t xml:space="preserve"> </w:t>
      </w:r>
      <w:r w:rsidRPr="00286321">
        <w:t>in paying quantities for some time after it is sold. Until it does, periodic payments are made for the right to continue exploration and development of the land for future natural resource production. These payments are called rent.</w:t>
      </w:r>
      <w:r>
        <w:t xml:space="preserve"> </w:t>
      </w:r>
      <w:r w:rsidR="001A7D44">
        <w:t>The f</w:t>
      </w:r>
      <w:r>
        <w:t xml:space="preserve">irst year rental </w:t>
      </w:r>
      <w:r w:rsidR="001A7D44">
        <w:t xml:space="preserve">is </w:t>
      </w:r>
      <w:r>
        <w:t>collected by BLM</w:t>
      </w:r>
      <w:r w:rsidR="001A7D44">
        <w:t xml:space="preserve"> and the</w:t>
      </w:r>
      <w:r>
        <w:t xml:space="preserve"> remaining rental payments </w:t>
      </w:r>
      <w:r w:rsidR="001A7D44">
        <w:t xml:space="preserve">are </w:t>
      </w:r>
      <w:r>
        <w:t>collected by ONRR.</w:t>
      </w:r>
    </w:p>
    <w:p w14:paraId="48C48A4F" w14:textId="77777777" w:rsidR="00286321" w:rsidRPr="00286321" w:rsidRDefault="00286321" w:rsidP="00286321">
      <w:pPr>
        <w:numPr>
          <w:ilvl w:val="0"/>
          <w:numId w:val="1"/>
        </w:numPr>
      </w:pPr>
      <w:r w:rsidRPr="00286321">
        <w:rPr>
          <w:b/>
          <w:bCs/>
        </w:rPr>
        <w:t>Other revenues. </w:t>
      </w:r>
      <w:r w:rsidRPr="00286321">
        <w:t>This category includes revenues that are not included in the royalty, rent, or bonus categories, such as</w:t>
      </w:r>
      <w:r w:rsidR="00B83D7A">
        <w:t>;</w:t>
      </w:r>
      <w:r w:rsidRPr="00286321">
        <w:t xml:space="preserve"> minimum royalties, estimated royalties, settlement agreements, and interest.</w:t>
      </w:r>
    </w:p>
    <w:p w14:paraId="36FADE87" w14:textId="77777777" w:rsidR="00286321" w:rsidRPr="00286321" w:rsidRDefault="00286321" w:rsidP="00286321">
      <w:pPr>
        <w:numPr>
          <w:ilvl w:val="0"/>
          <w:numId w:val="1"/>
        </w:numPr>
      </w:pPr>
      <w:r w:rsidRPr="00286321">
        <w:rPr>
          <w:b/>
          <w:bCs/>
        </w:rPr>
        <w:t>Inspection fees. </w:t>
      </w:r>
      <w:r w:rsidRPr="00286321">
        <w:t>This category includes fees for annual inspections performed by the Bureau of Safety and Environmental Enforcement (BSEE) on each offshore permanent structure and drilling rig that conducts drilling, completion, or workover operations. ONRR collects these fees on behalf of BSEE.</w:t>
      </w:r>
    </w:p>
    <w:p w14:paraId="5137B51D" w14:textId="77777777" w:rsidR="00286321" w:rsidRDefault="00286321" w:rsidP="00286321">
      <w:pPr>
        <w:numPr>
          <w:ilvl w:val="0"/>
          <w:numId w:val="1"/>
        </w:numPr>
      </w:pPr>
      <w:r w:rsidRPr="00286321">
        <w:rPr>
          <w:b/>
          <w:bCs/>
        </w:rPr>
        <w:t>Civil penalties. </w:t>
      </w:r>
      <w:r w:rsidRPr="00286321">
        <w:t>Civil penalties are assessed for violations of laws applicable to extractive activities. These penalties are issued by ONRR, BOEM, and/or BSEE, and are collected by ONRR.</w:t>
      </w:r>
    </w:p>
    <w:p w14:paraId="612BEBBB" w14:textId="77777777" w:rsidR="00A5735B" w:rsidRDefault="00A5735B" w:rsidP="00286321">
      <w:pPr>
        <w:numPr>
          <w:ilvl w:val="0"/>
          <w:numId w:val="1"/>
        </w:numPr>
      </w:pPr>
      <w:r>
        <w:rPr>
          <w:b/>
          <w:bCs/>
        </w:rPr>
        <w:t>Permit Fees.</w:t>
      </w:r>
      <w:r>
        <w:t xml:space="preserve"> </w:t>
      </w:r>
      <w:r w:rsidR="00226772">
        <w:t>Include</w:t>
      </w:r>
      <w:r w:rsidR="007D45ED">
        <w:t xml:space="preserve"> mining claim fees  paid when </w:t>
      </w:r>
      <w:r w:rsidR="007D45ED" w:rsidRPr="007D45ED">
        <w:t>mining hardrock minerals, applicants pay a set fee to stake a claim rather than bid on a lease.</w:t>
      </w:r>
      <w:r w:rsidR="00226772">
        <w:t xml:space="preserve"> Also included in this category are Applications to Drill. </w:t>
      </w:r>
    </w:p>
    <w:p w14:paraId="6CFF48BC" w14:textId="77777777" w:rsidR="00934E44" w:rsidRPr="007D45ED" w:rsidRDefault="007D45ED" w:rsidP="00934E44">
      <w:pPr>
        <w:numPr>
          <w:ilvl w:val="0"/>
          <w:numId w:val="1"/>
        </w:numPr>
      </w:pPr>
      <w:r>
        <w:rPr>
          <w:b/>
        </w:rPr>
        <w:t>A</w:t>
      </w:r>
      <w:r w:rsidR="00934E44" w:rsidRPr="00934E44">
        <w:rPr>
          <w:b/>
        </w:rPr>
        <w:t>bandoned mine lands (AML) fees.</w:t>
      </w:r>
      <w:r w:rsidR="00934E44">
        <w:rPr>
          <w:b/>
        </w:rPr>
        <w:t xml:space="preserve"> </w:t>
      </w:r>
      <w:r w:rsidRPr="007D45ED">
        <w:t xml:space="preserve">A fee paid by </w:t>
      </w:r>
      <w:r>
        <w:t xml:space="preserve">coal companies, </w:t>
      </w:r>
      <w:r w:rsidRPr="007D45ED">
        <w:t>$0.28 per ton of surface coal produced</w:t>
      </w:r>
      <w:r w:rsidR="00B83D7A">
        <w:t>,</w:t>
      </w:r>
      <w:r w:rsidRPr="007D45ED">
        <w:t xml:space="preserve"> and $0.12 per </w:t>
      </w:r>
      <w:r>
        <w:t>ton of subsurface coal produced. These fees are placed in the AML fund</w:t>
      </w:r>
      <w:r w:rsidRPr="007D45ED">
        <w:t xml:space="preserve"> </w:t>
      </w:r>
      <w:r>
        <w:t>t</w:t>
      </w:r>
      <w:r w:rsidRPr="007D45ED">
        <w:t xml:space="preserve">o address </w:t>
      </w:r>
      <w:r w:rsidR="00B83D7A">
        <w:t xml:space="preserve">reclamation of </w:t>
      </w:r>
      <w:r w:rsidRPr="007D45ED">
        <w:t>abandoned mine</w:t>
      </w:r>
      <w:r>
        <w:t>s from operations prior to 1977.</w:t>
      </w:r>
    </w:p>
    <w:p w14:paraId="18965267" w14:textId="77777777" w:rsidR="00286321" w:rsidRPr="00286321" w:rsidRDefault="00286321" w:rsidP="00286321">
      <w:r w:rsidRPr="00286321">
        <w:rPr>
          <w:b/>
          <w:bCs/>
        </w:rPr>
        <w:lastRenderedPageBreak/>
        <w:t>Commodity Type. </w:t>
      </w:r>
      <w:r w:rsidRPr="00286321">
        <w:t xml:space="preserve">The </w:t>
      </w:r>
      <w:r w:rsidR="00B83D7A">
        <w:t>DOI</w:t>
      </w:r>
      <w:r w:rsidRPr="00286321">
        <w:t xml:space="preserve"> collects revenues on over 60 different products. The majority of revenues come from Oil</w:t>
      </w:r>
      <w:r w:rsidR="00B83D7A">
        <w:t>,</w:t>
      </w:r>
      <w:r w:rsidRPr="00286321">
        <w:t xml:space="preserve"> Gas, Coal</w:t>
      </w:r>
      <w:r w:rsidR="00B83D7A">
        <w:t>,</w:t>
      </w:r>
      <w:r w:rsidRPr="00286321">
        <w:t xml:space="preserve"> and Renewables (Geothermal and Wind), but you will find many other product categories in these datasets.</w:t>
      </w:r>
    </w:p>
    <w:p w14:paraId="59E407DE" w14:textId="77777777" w:rsidR="00286321" w:rsidRPr="00286321" w:rsidRDefault="00286321" w:rsidP="00286321">
      <w:r w:rsidRPr="00286321">
        <w:rPr>
          <w:b/>
          <w:bCs/>
        </w:rPr>
        <w:t>Revenue.</w:t>
      </w:r>
      <w:r w:rsidRPr="00286321">
        <w:t> Total revenue.</w:t>
      </w:r>
    </w:p>
    <w:p w14:paraId="1C0EB04F" w14:textId="77777777" w:rsidR="00241210" w:rsidRDefault="00241210" w:rsidP="00286321">
      <w:pPr>
        <w:rPr>
          <w:b/>
          <w:u w:val="single"/>
        </w:rPr>
      </w:pPr>
    </w:p>
    <w:p w14:paraId="7A8E864F" w14:textId="77777777" w:rsidR="00286321" w:rsidRPr="00241210" w:rsidRDefault="00286321" w:rsidP="00286321">
      <w:pPr>
        <w:rPr>
          <w:b/>
          <w:u w:val="single"/>
        </w:rPr>
      </w:pPr>
      <w:r w:rsidRPr="00241210">
        <w:rPr>
          <w:b/>
          <w:u w:val="single"/>
        </w:rPr>
        <w:t>Advanced information</w:t>
      </w:r>
    </w:p>
    <w:p w14:paraId="48C38D12" w14:textId="77777777" w:rsidR="00286321" w:rsidRPr="00286321" w:rsidRDefault="00286321" w:rsidP="00286321">
      <w:r w:rsidRPr="00286321">
        <w:t>Commodities can be further broken down into products. These are the products that could fall into the commodity categories found in these datasets.</w:t>
      </w:r>
    </w:p>
    <w:p w14:paraId="1107B57F" w14:textId="77777777" w:rsidR="00286321" w:rsidRPr="00286321" w:rsidRDefault="00286321" w:rsidP="00286321">
      <w:r w:rsidRPr="00286321">
        <w:rPr>
          <w:b/>
          <w:bCs/>
        </w:rPr>
        <w:t>Coal.</w:t>
      </w:r>
      <w:r w:rsidRPr="00286321">
        <w:t> Coal (ton), Coal-Bituminous-Raw (ton).</w:t>
      </w:r>
    </w:p>
    <w:p w14:paraId="6FCA8753" w14:textId="77777777" w:rsidR="00286321" w:rsidRPr="00286321" w:rsidRDefault="00286321" w:rsidP="00286321">
      <w:r w:rsidRPr="00286321">
        <w:rPr>
          <w:b/>
          <w:bCs/>
        </w:rPr>
        <w:t>Gas.</w:t>
      </w:r>
      <w:r w:rsidRPr="00286321">
        <w:t> Coal Bed Methane (mcf), Flash Gas (mcf), Fuel Gas (mcf), Gas Hydrate (mcf), Gas Lost - Flared or Vented (mcf), Nitrogen (mcf), Processed (Residue) Gas (mcf), Unprocessed (Wet) Gas (mcf), NGL (Gas Plant Products).</w:t>
      </w:r>
    </w:p>
    <w:p w14:paraId="47B67237" w14:textId="77777777" w:rsidR="00286321" w:rsidRPr="00286321" w:rsidRDefault="00286321" w:rsidP="00286321">
      <w:r w:rsidRPr="00286321">
        <w:rPr>
          <w:b/>
          <w:bCs/>
        </w:rPr>
        <w:t>Oil.</w:t>
      </w:r>
      <w:r w:rsidRPr="00286321">
        <w:t> Asphaltic Crude (bbl), Black Wax Crude (bbl), Condensate (bbl), Drip or Scrubber Condensate (bbl), Drip or Scrubber Condensate (bbl), Fuel Oil (bbl), Inlet Scrubber (bbl), Oil (bbl), Oil Lost (bbl), Other Liquid Hydrocarbons (bbl), Sour Crude (bbl), Sweet Crude (bbl), Yellow Wax Crude (bbl).</w:t>
      </w:r>
    </w:p>
    <w:p w14:paraId="3D487395" w14:textId="77777777" w:rsidR="00286321" w:rsidRPr="00286321" w:rsidRDefault="00286321" w:rsidP="00286321">
      <w:r w:rsidRPr="00286321">
        <w:rPr>
          <w:b/>
          <w:bCs/>
        </w:rPr>
        <w:t>Geothermal.</w:t>
      </w:r>
      <w:r w:rsidRPr="00286321">
        <w:t> Geothermal - Direct Utilization, Hundreds of Gallons (cgal), Geothermal - Direct Utilization, Millions of BTUs (mmbtu), Geothermal - Electrical Generation, Kilowatt Hours (kwh), Geothermal - Electrical Generation, Thousands of Pounds (klb), Geothermal - sulfur (lton).</w:t>
      </w:r>
    </w:p>
    <w:p w14:paraId="1F86FF89" w14:textId="77777777" w:rsidR="00286321" w:rsidRDefault="00286321" w:rsidP="00286321">
      <w:r w:rsidRPr="00286321">
        <w:rPr>
          <w:b/>
          <w:bCs/>
        </w:rPr>
        <w:t>Wind.</w:t>
      </w:r>
      <w:r w:rsidRPr="00286321">
        <w:t> Wind.</w:t>
      </w:r>
    </w:p>
    <w:p w14:paraId="1905ED89" w14:textId="77777777" w:rsidR="00934E44" w:rsidRPr="00934E44" w:rsidRDefault="00934E44" w:rsidP="00934E44">
      <w:pPr>
        <w:shd w:val="clear" w:color="auto" w:fill="FFFFFF"/>
        <w:spacing w:after="0" w:line="240" w:lineRule="auto"/>
      </w:pPr>
      <w:r w:rsidRPr="00934E44">
        <w:rPr>
          <w:b/>
        </w:rPr>
        <w:t>Locatable Minerals</w:t>
      </w:r>
      <w:r>
        <w:rPr>
          <w:b/>
        </w:rPr>
        <w:t>.</w:t>
      </w:r>
      <w:r w:rsidRPr="00934E44">
        <w:t>  The federal law governing locatable minerals is the General Mining Law of 1872 (May 10, 1872), which declared all valuable mineral deposits belonging to the United States ... to be free and open to citizens of the United States to explore for, discover, and purchase.  Mineral deposits subject to acquisition in this manner are generally referred to as “locatable minerals.” Locatable minerals include metallic minerals (gold, silver, lead, copper, zinc, nickel, etc.), nonmetallic minerals (fluorspar, mica, certain limestones and gypsum, tantalum, heavy minerals in placer form and gemstones) and certain uncommon variety minerals. It is very difficult to prepare a complete list of locatable minerals because the history of the law has resulted in a definition of minerals that includes economics.</w:t>
      </w:r>
    </w:p>
    <w:p w14:paraId="13764E2E" w14:textId="77777777" w:rsidR="00934E44" w:rsidRPr="00934E44" w:rsidRDefault="00934E44" w:rsidP="00934E44">
      <w:pPr>
        <w:shd w:val="clear" w:color="auto" w:fill="FFFFFF"/>
        <w:spacing w:after="0" w:line="240" w:lineRule="auto"/>
      </w:pPr>
    </w:p>
    <w:p w14:paraId="3CA1F109" w14:textId="77777777" w:rsidR="00934E44" w:rsidRPr="00934E44" w:rsidRDefault="00934E44" w:rsidP="00934E44">
      <w:pPr>
        <w:shd w:val="clear" w:color="auto" w:fill="FFFFFF"/>
        <w:spacing w:after="0" w:line="240" w:lineRule="auto"/>
      </w:pPr>
      <w:r w:rsidRPr="00934E44">
        <w:rPr>
          <w:b/>
        </w:rPr>
        <w:t>Mineral Materials</w:t>
      </w:r>
      <w:r>
        <w:t>.</w:t>
      </w:r>
      <w:r w:rsidRPr="00934E44">
        <w:t>  The BLM makes mineral materials located on public lands, such as sand, gravel, crushed stone, decorative stone, clay</w:t>
      </w:r>
      <w:r w:rsidR="00B83D7A">
        <w:t>,</w:t>
      </w:r>
      <w:r w:rsidRPr="00934E44">
        <w:t xml:space="preserve"> and pumice available for sale under the authority of the Materials Act of 1947.  This law authorizes the BLM to sell these mineral materials at fair market value and to grant free-use permits to Government agencies and nonprofit organizations, so long as public land resources, the environment and the public are protected.  Mineral materials are among our most basic natural resources.  In particular, sand, gravel, and crushed stone, also known as construction aggregate, extracted on BLM administered public lands are necessary for making ready-mixed concrete, asphalt, and many other building materials.  By making locally available aggregate supplies available on public </w:t>
      </w:r>
      <w:r w:rsidRPr="00934E44">
        <w:lastRenderedPageBreak/>
        <w:t>lands, BLM can help reduce consumer costs (fuel and energy costs), and reduce environmental impacts (air quality emissions and greenhouse gases). </w:t>
      </w:r>
    </w:p>
    <w:p w14:paraId="2BA8B432" w14:textId="77777777" w:rsidR="00934E44" w:rsidRPr="00286321" w:rsidRDefault="00934E44" w:rsidP="00286321"/>
    <w:p w14:paraId="0215B869" w14:textId="77777777" w:rsidR="00286321" w:rsidRPr="00286321" w:rsidRDefault="00286321" w:rsidP="00286321">
      <w:r w:rsidRPr="00286321">
        <w:rPr>
          <w:b/>
          <w:bCs/>
        </w:rPr>
        <w:t>Other Commodities.</w:t>
      </w:r>
      <w:r w:rsidRPr="00286321">
        <w:t> Anhydrous Sodium Sulfate (ton), Borax-Decahydrate (ton), Borax-Pentahydrate (ton), Boric Acid (ton), Carbon Dioxide Gas (CO2) (mcf), Cinders (ton), Clay (ton), Copper Concentrate (ton), Gilsonite (ton), Gold (ton), Gypsum (ton), Helium (bbl), Langbeinite (ton), Lead Concentrate (ton), Leonardite (ton), Limestone (ton), Magnesium Chloride Brine (ton), Manure Salts (ton), Muriate Of Potash-Granular (ton), Muriate Of Potash-Standard (ton), Other (ton), Phosphate Raw Ore (ton), Potash (ton), Purge Liquor (ton), Quartz Crystal (lb), Salt (ton), Sand/Gravel (ton), Sand/Gravel-Cubic Yards (cyd), Silver (oz), Soda Ash (ton), Sodium Bi-Carbonate (ton), Sodium Bisulfite (ton), Sodium Sesquicarbonate (ton), Sulfide (ton), Sulfur (lton), Sylvite-Raw Ore (ton), Trona Ore (ton), Zinc Concentrate (ton).</w:t>
      </w:r>
    </w:p>
    <w:p w14:paraId="16504A3F" w14:textId="77777777" w:rsidR="00234C7E" w:rsidRDefault="00234C7E"/>
    <w:sectPr w:rsidR="0023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5AB7"/>
    <w:multiLevelType w:val="multilevel"/>
    <w:tmpl w:val="B7F0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21"/>
    <w:rsid w:val="001A7D44"/>
    <w:rsid w:val="00226772"/>
    <w:rsid w:val="00234C7E"/>
    <w:rsid w:val="00241210"/>
    <w:rsid w:val="00280E9C"/>
    <w:rsid w:val="00286321"/>
    <w:rsid w:val="00744A0B"/>
    <w:rsid w:val="007D45ED"/>
    <w:rsid w:val="008F543F"/>
    <w:rsid w:val="00934E44"/>
    <w:rsid w:val="00A5735B"/>
    <w:rsid w:val="00B83D7A"/>
    <w:rsid w:val="00C15F3C"/>
    <w:rsid w:val="00C26593"/>
    <w:rsid w:val="00C477E7"/>
    <w:rsid w:val="00D9338D"/>
    <w:rsid w:val="00D9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E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321"/>
    <w:rPr>
      <w:color w:val="0000FF" w:themeColor="hyperlink"/>
      <w:u w:val="single"/>
    </w:rPr>
  </w:style>
  <w:style w:type="character" w:styleId="Emphasis">
    <w:name w:val="Emphasis"/>
    <w:basedOn w:val="DefaultParagraphFont"/>
    <w:uiPriority w:val="20"/>
    <w:qFormat/>
    <w:rsid w:val="00286321"/>
    <w:rPr>
      <w:i/>
      <w:iCs/>
    </w:rPr>
  </w:style>
  <w:style w:type="paragraph" w:styleId="BalloonText">
    <w:name w:val="Balloon Text"/>
    <w:basedOn w:val="Normal"/>
    <w:link w:val="BalloonTextChar"/>
    <w:uiPriority w:val="99"/>
    <w:semiHidden/>
    <w:unhideWhenUsed/>
    <w:rsid w:val="0074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0B"/>
    <w:rPr>
      <w:rFonts w:ascii="Tahoma" w:hAnsi="Tahoma" w:cs="Tahoma"/>
      <w:sz w:val="16"/>
      <w:szCs w:val="16"/>
    </w:rPr>
  </w:style>
  <w:style w:type="character" w:styleId="FollowedHyperlink">
    <w:name w:val="FollowedHyperlink"/>
    <w:basedOn w:val="DefaultParagraphFont"/>
    <w:uiPriority w:val="99"/>
    <w:semiHidden/>
    <w:unhideWhenUsed/>
    <w:rsid w:val="00744A0B"/>
    <w:rPr>
      <w:color w:val="800080" w:themeColor="followedHyperlink"/>
      <w:u w:val="single"/>
    </w:rPr>
  </w:style>
  <w:style w:type="character" w:styleId="CommentReference">
    <w:name w:val="annotation reference"/>
    <w:basedOn w:val="DefaultParagraphFont"/>
    <w:uiPriority w:val="99"/>
    <w:semiHidden/>
    <w:unhideWhenUsed/>
    <w:rsid w:val="001A7D44"/>
    <w:rPr>
      <w:sz w:val="16"/>
      <w:szCs w:val="16"/>
    </w:rPr>
  </w:style>
  <w:style w:type="paragraph" w:styleId="CommentText">
    <w:name w:val="annotation text"/>
    <w:basedOn w:val="Normal"/>
    <w:link w:val="CommentTextChar"/>
    <w:uiPriority w:val="99"/>
    <w:semiHidden/>
    <w:unhideWhenUsed/>
    <w:rsid w:val="001A7D44"/>
    <w:pPr>
      <w:spacing w:line="240" w:lineRule="auto"/>
    </w:pPr>
    <w:rPr>
      <w:sz w:val="20"/>
      <w:szCs w:val="20"/>
    </w:rPr>
  </w:style>
  <w:style w:type="character" w:customStyle="1" w:styleId="CommentTextChar">
    <w:name w:val="Comment Text Char"/>
    <w:basedOn w:val="DefaultParagraphFont"/>
    <w:link w:val="CommentText"/>
    <w:uiPriority w:val="99"/>
    <w:semiHidden/>
    <w:rsid w:val="001A7D44"/>
    <w:rPr>
      <w:sz w:val="20"/>
      <w:szCs w:val="20"/>
    </w:rPr>
  </w:style>
  <w:style w:type="paragraph" w:styleId="CommentSubject">
    <w:name w:val="annotation subject"/>
    <w:basedOn w:val="CommentText"/>
    <w:next w:val="CommentText"/>
    <w:link w:val="CommentSubjectChar"/>
    <w:uiPriority w:val="99"/>
    <w:semiHidden/>
    <w:unhideWhenUsed/>
    <w:rsid w:val="001A7D44"/>
    <w:rPr>
      <w:b/>
      <w:bCs/>
    </w:rPr>
  </w:style>
  <w:style w:type="character" w:customStyle="1" w:styleId="CommentSubjectChar">
    <w:name w:val="Comment Subject Char"/>
    <w:basedOn w:val="CommentTextChar"/>
    <w:link w:val="CommentSubject"/>
    <w:uiPriority w:val="99"/>
    <w:semiHidden/>
    <w:rsid w:val="001A7D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321"/>
    <w:rPr>
      <w:color w:val="0000FF" w:themeColor="hyperlink"/>
      <w:u w:val="single"/>
    </w:rPr>
  </w:style>
  <w:style w:type="character" w:styleId="Emphasis">
    <w:name w:val="Emphasis"/>
    <w:basedOn w:val="DefaultParagraphFont"/>
    <w:uiPriority w:val="20"/>
    <w:qFormat/>
    <w:rsid w:val="00286321"/>
    <w:rPr>
      <w:i/>
      <w:iCs/>
    </w:rPr>
  </w:style>
  <w:style w:type="paragraph" w:styleId="BalloonText">
    <w:name w:val="Balloon Text"/>
    <w:basedOn w:val="Normal"/>
    <w:link w:val="BalloonTextChar"/>
    <w:uiPriority w:val="99"/>
    <w:semiHidden/>
    <w:unhideWhenUsed/>
    <w:rsid w:val="0074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0B"/>
    <w:rPr>
      <w:rFonts w:ascii="Tahoma" w:hAnsi="Tahoma" w:cs="Tahoma"/>
      <w:sz w:val="16"/>
      <w:szCs w:val="16"/>
    </w:rPr>
  </w:style>
  <w:style w:type="character" w:styleId="FollowedHyperlink">
    <w:name w:val="FollowedHyperlink"/>
    <w:basedOn w:val="DefaultParagraphFont"/>
    <w:uiPriority w:val="99"/>
    <w:semiHidden/>
    <w:unhideWhenUsed/>
    <w:rsid w:val="00744A0B"/>
    <w:rPr>
      <w:color w:val="800080" w:themeColor="followedHyperlink"/>
      <w:u w:val="single"/>
    </w:rPr>
  </w:style>
  <w:style w:type="character" w:styleId="CommentReference">
    <w:name w:val="annotation reference"/>
    <w:basedOn w:val="DefaultParagraphFont"/>
    <w:uiPriority w:val="99"/>
    <w:semiHidden/>
    <w:unhideWhenUsed/>
    <w:rsid w:val="001A7D44"/>
    <w:rPr>
      <w:sz w:val="16"/>
      <w:szCs w:val="16"/>
    </w:rPr>
  </w:style>
  <w:style w:type="paragraph" w:styleId="CommentText">
    <w:name w:val="annotation text"/>
    <w:basedOn w:val="Normal"/>
    <w:link w:val="CommentTextChar"/>
    <w:uiPriority w:val="99"/>
    <w:semiHidden/>
    <w:unhideWhenUsed/>
    <w:rsid w:val="001A7D44"/>
    <w:pPr>
      <w:spacing w:line="240" w:lineRule="auto"/>
    </w:pPr>
    <w:rPr>
      <w:sz w:val="20"/>
      <w:szCs w:val="20"/>
    </w:rPr>
  </w:style>
  <w:style w:type="character" w:customStyle="1" w:styleId="CommentTextChar">
    <w:name w:val="Comment Text Char"/>
    <w:basedOn w:val="DefaultParagraphFont"/>
    <w:link w:val="CommentText"/>
    <w:uiPriority w:val="99"/>
    <w:semiHidden/>
    <w:rsid w:val="001A7D44"/>
    <w:rPr>
      <w:sz w:val="20"/>
      <w:szCs w:val="20"/>
    </w:rPr>
  </w:style>
  <w:style w:type="paragraph" w:styleId="CommentSubject">
    <w:name w:val="annotation subject"/>
    <w:basedOn w:val="CommentText"/>
    <w:next w:val="CommentText"/>
    <w:link w:val="CommentSubjectChar"/>
    <w:uiPriority w:val="99"/>
    <w:semiHidden/>
    <w:unhideWhenUsed/>
    <w:rsid w:val="001A7D44"/>
    <w:rPr>
      <w:b/>
      <w:bCs/>
    </w:rPr>
  </w:style>
  <w:style w:type="character" w:customStyle="1" w:styleId="CommentSubjectChar">
    <w:name w:val="Comment Subject Char"/>
    <w:basedOn w:val="CommentTextChar"/>
    <w:link w:val="CommentSubject"/>
    <w:uiPriority w:val="99"/>
    <w:semiHidden/>
    <w:rsid w:val="001A7D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205806">
      <w:bodyDiv w:val="1"/>
      <w:marLeft w:val="0"/>
      <w:marRight w:val="0"/>
      <w:marTop w:val="0"/>
      <w:marBottom w:val="0"/>
      <w:divBdr>
        <w:top w:val="none" w:sz="0" w:space="0" w:color="auto"/>
        <w:left w:val="none" w:sz="0" w:space="0" w:color="auto"/>
        <w:bottom w:val="none" w:sz="0" w:space="0" w:color="auto"/>
        <w:right w:val="none" w:sz="0" w:space="0" w:color="auto"/>
      </w:divBdr>
      <w:divsChild>
        <w:div w:id="1917862241">
          <w:marLeft w:val="0"/>
          <w:marRight w:val="0"/>
          <w:marTop w:val="0"/>
          <w:marBottom w:val="0"/>
          <w:divBdr>
            <w:top w:val="none" w:sz="0" w:space="0" w:color="auto"/>
            <w:left w:val="none" w:sz="0" w:space="0" w:color="auto"/>
            <w:bottom w:val="none" w:sz="0" w:space="0" w:color="auto"/>
            <w:right w:val="none" w:sz="0" w:space="0" w:color="auto"/>
          </w:divBdr>
        </w:div>
        <w:div w:id="821312862">
          <w:marLeft w:val="0"/>
          <w:marRight w:val="0"/>
          <w:marTop w:val="0"/>
          <w:marBottom w:val="0"/>
          <w:divBdr>
            <w:top w:val="none" w:sz="0" w:space="0" w:color="auto"/>
            <w:left w:val="none" w:sz="0" w:space="0" w:color="auto"/>
            <w:bottom w:val="none" w:sz="0" w:space="0" w:color="auto"/>
            <w:right w:val="none" w:sz="0" w:space="0" w:color="auto"/>
          </w:divBdr>
        </w:div>
        <w:div w:id="1809391860">
          <w:marLeft w:val="0"/>
          <w:marRight w:val="0"/>
          <w:marTop w:val="0"/>
          <w:marBottom w:val="0"/>
          <w:divBdr>
            <w:top w:val="none" w:sz="0" w:space="0" w:color="auto"/>
            <w:left w:val="none" w:sz="0" w:space="0" w:color="auto"/>
            <w:bottom w:val="none" w:sz="0" w:space="0" w:color="auto"/>
            <w:right w:val="none" w:sz="0" w:space="0" w:color="auto"/>
          </w:divBdr>
        </w:div>
      </w:divsChild>
    </w:div>
    <w:div w:id="14648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seiti.doi.gov/data/" TargetMode="External"/><Relationship Id="rId7" Type="http://schemas.openxmlformats.org/officeDocument/2006/relationships/hyperlink" Target="http://www.doi.gov/eiti/index.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DOI</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Mentasti, Chris</dc:creator>
  <cp:lastModifiedBy>Michelle Hertzfeld</cp:lastModifiedBy>
  <cp:revision>3</cp:revision>
  <dcterms:created xsi:type="dcterms:W3CDTF">2015-11-23T14:57:00Z</dcterms:created>
  <dcterms:modified xsi:type="dcterms:W3CDTF">2015-11-30T03:53:00Z</dcterms:modified>
</cp:coreProperties>
</file>