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7A" w:rsidRPr="00A55756" w:rsidRDefault="00ED737A" w:rsidP="00A55756">
      <w:pPr>
        <w:pStyle w:val="Heading1"/>
      </w:pPr>
      <w:bookmarkStart w:id="0" w:name="_GoBack"/>
      <w:bookmarkEnd w:id="0"/>
      <w:r w:rsidRPr="00A55756">
        <w:t xml:space="preserve">CHAPTER </w:t>
      </w:r>
      <w:proofErr w:type="gramStart"/>
      <w:r w:rsidRPr="00A55756">
        <w:t>16</w:t>
      </w:r>
      <w:r w:rsidR="00A55756" w:rsidRPr="00A55756">
        <w:t xml:space="preserve">  -</w:t>
      </w:r>
      <w:proofErr w:type="gramEnd"/>
      <w:r w:rsidR="00A55756" w:rsidRPr="00A55756">
        <w:t xml:space="preserve"> </w:t>
      </w:r>
      <w:r w:rsidRPr="00A55756">
        <w:t xml:space="preserve">TITLE III - CONSUMER CREDIT PROTECTION ACT (WAGE </w:t>
      </w:r>
      <w:r w:rsidR="00A55756" w:rsidRPr="00A55756">
        <w:t>G</w:t>
      </w:r>
      <w:r w:rsidRPr="00A55756">
        <w:t>ARNISHMENT)</w:t>
      </w:r>
    </w:p>
    <w:p w:rsidR="00ED737A" w:rsidRPr="00A55756" w:rsidRDefault="00ED737A" w:rsidP="00A55756">
      <w:pPr>
        <w:spacing w:after="0" w:line="240" w:lineRule="auto"/>
        <w:rPr>
          <w:sz w:val="24"/>
          <w:szCs w:val="24"/>
        </w:rPr>
      </w:pPr>
    </w:p>
    <w:p w:rsidR="00ED737A" w:rsidRPr="00A55756" w:rsidRDefault="00ED737A" w:rsidP="00A55756">
      <w:pPr>
        <w:pStyle w:val="Heading2"/>
      </w:pPr>
      <w:r w:rsidRPr="00A55756">
        <w:t>TABLE OF CONTENTS</w:t>
      </w:r>
    </w:p>
    <w:p w:rsidR="00534909" w:rsidRPr="00A55756" w:rsidRDefault="00534909" w:rsidP="00A55756">
      <w:pPr>
        <w:spacing w:after="0" w:line="240" w:lineRule="auto"/>
        <w:rPr>
          <w:sz w:val="24"/>
          <w:szCs w:val="24"/>
        </w:rPr>
      </w:pPr>
    </w:p>
    <w:p w:rsidR="00534909" w:rsidRPr="00A55756" w:rsidRDefault="00ED737A" w:rsidP="00AD1308">
      <w:pPr>
        <w:pStyle w:val="Heading3"/>
      </w:pPr>
      <w:r w:rsidRPr="00AD1308">
        <w:t>16a</w:t>
      </w:r>
      <w:r w:rsidR="00AD1308">
        <w:t xml:space="preserve"> - G</w:t>
      </w:r>
      <w:r w:rsidRPr="00AD1308">
        <w:t>ENERAL</w:t>
      </w:r>
    </w:p>
    <w:p w:rsidR="00ED737A" w:rsidRPr="00AD1308" w:rsidRDefault="00534909" w:rsidP="00807694">
      <w:pPr>
        <w:pStyle w:val="Heading4"/>
        <w:numPr>
          <w:ilvl w:val="0"/>
          <w:numId w:val="1"/>
        </w:numPr>
        <w:spacing w:before="0" w:after="0"/>
        <w:rPr>
          <w:b w:val="0"/>
        </w:rPr>
      </w:pPr>
      <w:proofErr w:type="gramStart"/>
      <w:r w:rsidRPr="00A55756">
        <w:t>16a00</w:t>
      </w:r>
      <w:r w:rsidR="00AD1308">
        <w:t xml:space="preserve"> - </w:t>
      </w:r>
      <w:r w:rsidR="00ED737A" w:rsidRPr="00AD1308">
        <w:rPr>
          <w:b w:val="0"/>
        </w:rPr>
        <w:t>Use of Chapter 16.</w:t>
      </w:r>
      <w:proofErr w:type="gramEnd"/>
    </w:p>
    <w:p w:rsidR="00ED737A" w:rsidRPr="00A55756" w:rsidRDefault="00534909" w:rsidP="00807694">
      <w:pPr>
        <w:pStyle w:val="Heading4"/>
        <w:numPr>
          <w:ilvl w:val="0"/>
          <w:numId w:val="1"/>
        </w:numPr>
        <w:spacing w:before="0" w:after="0"/>
      </w:pPr>
      <w:proofErr w:type="gramStart"/>
      <w:r w:rsidRPr="00A55756">
        <w:t>16a01</w:t>
      </w:r>
      <w:r w:rsidR="00AD1308">
        <w:t xml:space="preserve"> - </w:t>
      </w:r>
      <w:r w:rsidR="00ED737A" w:rsidRPr="00AD1308">
        <w:rPr>
          <w:b w:val="0"/>
        </w:rPr>
        <w:t>CCPA general provisions and Wage-Hour’s authority</w:t>
      </w:r>
      <w:r w:rsidR="00ED737A" w:rsidRPr="00A55756">
        <w:t>.</w:t>
      </w:r>
      <w:proofErr w:type="gramEnd"/>
    </w:p>
    <w:p w:rsidR="00ED737A" w:rsidRPr="00A55756" w:rsidRDefault="00534909" w:rsidP="00807694">
      <w:pPr>
        <w:pStyle w:val="Heading4"/>
        <w:numPr>
          <w:ilvl w:val="0"/>
          <w:numId w:val="1"/>
        </w:numPr>
        <w:spacing w:before="0" w:after="0"/>
      </w:pPr>
      <w:proofErr w:type="gramStart"/>
      <w:r w:rsidRPr="00A55756">
        <w:t>16a02</w:t>
      </w:r>
      <w:r w:rsidR="00AD1308">
        <w:t xml:space="preserve"> - </w:t>
      </w:r>
      <w:r w:rsidR="00ED737A" w:rsidRPr="00AD1308">
        <w:rPr>
          <w:b w:val="0"/>
        </w:rPr>
        <w:t>Coverage.</w:t>
      </w:r>
      <w:proofErr w:type="gramEnd"/>
    </w:p>
    <w:p w:rsidR="00ED737A" w:rsidRPr="00A55756" w:rsidRDefault="00534909" w:rsidP="00807694">
      <w:pPr>
        <w:pStyle w:val="Heading4"/>
        <w:numPr>
          <w:ilvl w:val="0"/>
          <w:numId w:val="1"/>
        </w:numPr>
        <w:spacing w:before="0" w:after="0"/>
      </w:pPr>
      <w:proofErr w:type="gramStart"/>
      <w:r w:rsidRPr="00A55756">
        <w:t>16a03</w:t>
      </w:r>
      <w:r w:rsidR="00AD1308">
        <w:t xml:space="preserve"> - </w:t>
      </w:r>
      <w:r w:rsidR="00ED737A" w:rsidRPr="00AD1308">
        <w:rPr>
          <w:b w:val="0"/>
        </w:rPr>
        <w:t>Geographical application.</w:t>
      </w:r>
      <w:proofErr w:type="gramEnd"/>
    </w:p>
    <w:p w:rsidR="00ED737A" w:rsidRPr="00A55756" w:rsidRDefault="00534909" w:rsidP="00807694">
      <w:pPr>
        <w:pStyle w:val="Heading4"/>
        <w:numPr>
          <w:ilvl w:val="0"/>
          <w:numId w:val="1"/>
        </w:numPr>
        <w:spacing w:before="0" w:after="0"/>
      </w:pPr>
      <w:proofErr w:type="gramStart"/>
      <w:r w:rsidRPr="00A55756">
        <w:t>16a04</w:t>
      </w:r>
      <w:r w:rsidR="00AD1308">
        <w:t xml:space="preserve"> - </w:t>
      </w:r>
      <w:r w:rsidR="00ED737A" w:rsidRPr="00AD1308">
        <w:rPr>
          <w:b w:val="0"/>
        </w:rPr>
        <w:t>Exempt States.</w:t>
      </w:r>
      <w:proofErr w:type="gramEnd"/>
    </w:p>
    <w:p w:rsidR="00ED737A" w:rsidRPr="00AD1308" w:rsidRDefault="00534909" w:rsidP="00807694">
      <w:pPr>
        <w:pStyle w:val="Heading4"/>
        <w:numPr>
          <w:ilvl w:val="0"/>
          <w:numId w:val="1"/>
        </w:numPr>
        <w:spacing w:before="0" w:after="0"/>
        <w:rPr>
          <w:b w:val="0"/>
        </w:rPr>
      </w:pPr>
      <w:r w:rsidRPr="00A55756">
        <w:t>16a05</w:t>
      </w:r>
      <w:r w:rsidR="00AD1308">
        <w:t xml:space="preserve"> - </w:t>
      </w:r>
      <w:r w:rsidR="00ED737A" w:rsidRPr="00AD1308">
        <w:rPr>
          <w:b w:val="0"/>
        </w:rPr>
        <w:t>Garnishments, wage attachments and federal administrative garnishments</w:t>
      </w:r>
      <w:r w:rsidR="00AD1308" w:rsidRPr="00AD1308">
        <w:rPr>
          <w:b w:val="0"/>
        </w:rPr>
        <w:t xml:space="preserve"> </w:t>
      </w:r>
      <w:r w:rsidR="00ED737A" w:rsidRPr="00AD1308">
        <w:rPr>
          <w:b w:val="0"/>
        </w:rPr>
        <w:t>distinguished from wage assignments.</w:t>
      </w:r>
    </w:p>
    <w:p w:rsidR="00ED737A" w:rsidRPr="00A55756" w:rsidRDefault="00534909" w:rsidP="00807694">
      <w:pPr>
        <w:pStyle w:val="Heading4"/>
        <w:numPr>
          <w:ilvl w:val="0"/>
          <w:numId w:val="1"/>
        </w:numPr>
        <w:spacing w:before="0" w:after="0"/>
      </w:pPr>
      <w:r w:rsidRPr="00A55756">
        <w:t>16a06</w:t>
      </w:r>
      <w:r w:rsidR="00AD1308">
        <w:t xml:space="preserve"> - </w:t>
      </w:r>
      <w:r w:rsidR="00ED737A" w:rsidRPr="00AD1308">
        <w:rPr>
          <w:b w:val="0"/>
        </w:rPr>
        <w:t>Restrictions of the CCPA are self-executing.</w:t>
      </w:r>
    </w:p>
    <w:p w:rsidR="00ED737A" w:rsidRPr="00A55756" w:rsidRDefault="00534909" w:rsidP="00807694">
      <w:pPr>
        <w:pStyle w:val="Heading4"/>
        <w:numPr>
          <w:ilvl w:val="0"/>
          <w:numId w:val="1"/>
        </w:numPr>
        <w:spacing w:before="0" w:after="0"/>
      </w:pPr>
      <w:proofErr w:type="gramStart"/>
      <w:r w:rsidRPr="00A55756">
        <w:t>16a07</w:t>
      </w:r>
      <w:r w:rsidR="00AD1308">
        <w:t xml:space="preserve"> - </w:t>
      </w:r>
      <w:r w:rsidR="00ED737A" w:rsidRPr="00AD1308">
        <w:rPr>
          <w:b w:val="0"/>
        </w:rPr>
        <w:t>Applicability of CCPA to tips and gratuities.</w:t>
      </w:r>
      <w:proofErr w:type="gramEnd"/>
    </w:p>
    <w:p w:rsidR="00ED737A" w:rsidRPr="00A55756" w:rsidRDefault="00534909" w:rsidP="00807694">
      <w:pPr>
        <w:pStyle w:val="Heading4"/>
        <w:numPr>
          <w:ilvl w:val="0"/>
          <w:numId w:val="1"/>
        </w:numPr>
        <w:spacing w:before="0" w:after="0"/>
      </w:pPr>
      <w:proofErr w:type="gramStart"/>
      <w:r w:rsidRPr="00A55756">
        <w:t>16a08</w:t>
      </w:r>
      <w:r w:rsidR="00AD1308">
        <w:t xml:space="preserve"> </w:t>
      </w:r>
      <w:r w:rsidR="00AD1308" w:rsidRPr="00AD1308">
        <w:rPr>
          <w:b w:val="0"/>
        </w:rPr>
        <w:t xml:space="preserve">- </w:t>
      </w:r>
      <w:r w:rsidR="00ED737A" w:rsidRPr="00AD1308">
        <w:rPr>
          <w:b w:val="0"/>
        </w:rPr>
        <w:t>Garnishment of federal employees.</w:t>
      </w:r>
      <w:proofErr w:type="gramEnd"/>
    </w:p>
    <w:p w:rsidR="00ED737A" w:rsidRPr="00A55756" w:rsidRDefault="00534909" w:rsidP="00807694">
      <w:pPr>
        <w:pStyle w:val="Heading4"/>
        <w:numPr>
          <w:ilvl w:val="0"/>
          <w:numId w:val="1"/>
        </w:numPr>
        <w:spacing w:before="0" w:after="0"/>
      </w:pPr>
      <w:proofErr w:type="gramStart"/>
      <w:r w:rsidRPr="00A55756">
        <w:t>16a09</w:t>
      </w:r>
      <w:r w:rsidR="00AD1308">
        <w:t xml:space="preserve"> - </w:t>
      </w:r>
      <w:r w:rsidR="00ED737A" w:rsidRPr="00AD1308">
        <w:rPr>
          <w:b w:val="0"/>
        </w:rPr>
        <w:t>Garnishment of employees of states or their political subdivisions.</w:t>
      </w:r>
      <w:proofErr w:type="gramEnd"/>
    </w:p>
    <w:p w:rsidR="00ED737A" w:rsidRPr="00A55756" w:rsidRDefault="00534909" w:rsidP="00807694">
      <w:pPr>
        <w:pStyle w:val="Heading4"/>
        <w:numPr>
          <w:ilvl w:val="0"/>
          <w:numId w:val="1"/>
        </w:numPr>
        <w:spacing w:before="0" w:after="0"/>
      </w:pPr>
      <w:r w:rsidRPr="00A55756">
        <w:t>16a10</w:t>
      </w:r>
      <w:r w:rsidR="00AD1308">
        <w:t xml:space="preserve"> - </w:t>
      </w:r>
      <w:r w:rsidR="00ED737A" w:rsidRPr="00AD1308">
        <w:rPr>
          <w:b w:val="0"/>
        </w:rPr>
        <w:t>Earnings deposited in a bank account.</w:t>
      </w:r>
    </w:p>
    <w:p w:rsidR="00ED737A" w:rsidRPr="00A55756" w:rsidRDefault="00534909" w:rsidP="00807694">
      <w:pPr>
        <w:pStyle w:val="Heading4"/>
        <w:numPr>
          <w:ilvl w:val="0"/>
          <w:numId w:val="1"/>
        </w:numPr>
        <w:spacing w:before="0" w:after="0"/>
      </w:pPr>
      <w:r w:rsidRPr="00A55756">
        <w:t>16a11</w:t>
      </w:r>
      <w:r w:rsidR="00AD1308">
        <w:t xml:space="preserve"> - </w:t>
      </w:r>
      <w:r w:rsidR="00ED737A" w:rsidRPr="00AD1308">
        <w:rPr>
          <w:b w:val="0"/>
        </w:rPr>
        <w:t>Sick and vacation pay considered earnings under CCPA.</w:t>
      </w:r>
    </w:p>
    <w:p w:rsidR="00534909" w:rsidRPr="00A55756" w:rsidRDefault="00534909" w:rsidP="00A55756">
      <w:pPr>
        <w:spacing w:after="0" w:line="240" w:lineRule="auto"/>
        <w:rPr>
          <w:sz w:val="24"/>
          <w:szCs w:val="24"/>
        </w:rPr>
      </w:pPr>
    </w:p>
    <w:p w:rsidR="00785A50" w:rsidRPr="00A55756" w:rsidRDefault="00AD1308" w:rsidP="00AD1308">
      <w:pPr>
        <w:pStyle w:val="Heading3"/>
      </w:pPr>
      <w:r>
        <w:t xml:space="preserve">16b - </w:t>
      </w:r>
      <w:r w:rsidR="00ED737A" w:rsidRPr="00A55756">
        <w:t>SECTION 303 (RESTRICTION ON GARNISHMENT PROVISIONS)</w:t>
      </w:r>
    </w:p>
    <w:p w:rsidR="00ED737A" w:rsidRPr="00AD1308" w:rsidRDefault="00785A50" w:rsidP="00807694">
      <w:pPr>
        <w:pStyle w:val="Heading4"/>
        <w:numPr>
          <w:ilvl w:val="0"/>
          <w:numId w:val="2"/>
        </w:numPr>
        <w:spacing w:before="0" w:after="0"/>
        <w:rPr>
          <w:b w:val="0"/>
        </w:rPr>
      </w:pPr>
      <w:proofErr w:type="gramStart"/>
      <w:r w:rsidRPr="00AD1308">
        <w:t>16b00</w:t>
      </w:r>
      <w:r w:rsidR="00AD1308" w:rsidRPr="00AD1308">
        <w:t xml:space="preserve"> - </w:t>
      </w:r>
      <w:r w:rsidR="00ED737A" w:rsidRPr="00AD1308">
        <w:rPr>
          <w:b w:val="0"/>
        </w:rPr>
        <w:t>Garnishment restrictions for consumer debts, support payments and federal and</w:t>
      </w:r>
      <w:r w:rsidRPr="00AD1308">
        <w:rPr>
          <w:b w:val="0"/>
        </w:rPr>
        <w:t xml:space="preserve"> </w:t>
      </w:r>
      <w:r w:rsidR="00ED737A" w:rsidRPr="00AD1308">
        <w:rPr>
          <w:b w:val="0"/>
        </w:rPr>
        <w:t>state taxes.</w:t>
      </w:r>
      <w:proofErr w:type="gramEnd"/>
    </w:p>
    <w:p w:rsidR="00ED737A" w:rsidRPr="00AD1308" w:rsidRDefault="00785A50" w:rsidP="00807694">
      <w:pPr>
        <w:pStyle w:val="Heading4"/>
        <w:numPr>
          <w:ilvl w:val="0"/>
          <w:numId w:val="2"/>
        </w:numPr>
        <w:spacing w:before="0" w:after="0"/>
      </w:pPr>
      <w:proofErr w:type="gramStart"/>
      <w:r w:rsidRPr="00AD1308">
        <w:t>16b01</w:t>
      </w:r>
      <w:r w:rsidR="00AD1308" w:rsidRPr="00AD1308">
        <w:t xml:space="preserve"> - </w:t>
      </w:r>
      <w:r w:rsidR="00ED737A" w:rsidRPr="00AD1308">
        <w:rPr>
          <w:b w:val="0"/>
        </w:rPr>
        <w:t>Disposable earnings.</w:t>
      </w:r>
      <w:proofErr w:type="gramEnd"/>
    </w:p>
    <w:p w:rsidR="00ED737A" w:rsidRPr="00AD1308" w:rsidRDefault="00785A50" w:rsidP="00807694">
      <w:pPr>
        <w:pStyle w:val="Heading4"/>
        <w:numPr>
          <w:ilvl w:val="0"/>
          <w:numId w:val="2"/>
        </w:numPr>
        <w:spacing w:before="0" w:after="0"/>
      </w:pPr>
      <w:proofErr w:type="gramStart"/>
      <w:r w:rsidRPr="00AD1308">
        <w:t>16b02</w:t>
      </w:r>
      <w:r w:rsidR="00AD1308" w:rsidRPr="00AD1308">
        <w:t xml:space="preserve"> - </w:t>
      </w:r>
      <w:r w:rsidR="00ED737A" w:rsidRPr="00AD1308">
        <w:rPr>
          <w:b w:val="0"/>
        </w:rPr>
        <w:t>Disposable earnings in partial weeks</w:t>
      </w:r>
      <w:r w:rsidR="00ED737A" w:rsidRPr="00AD1308">
        <w:t>.</w:t>
      </w:r>
      <w:proofErr w:type="gramEnd"/>
    </w:p>
    <w:p w:rsidR="00ED737A" w:rsidRPr="00AD1308" w:rsidRDefault="00785A50" w:rsidP="00807694">
      <w:pPr>
        <w:pStyle w:val="Heading4"/>
        <w:numPr>
          <w:ilvl w:val="0"/>
          <w:numId w:val="2"/>
        </w:numPr>
        <w:spacing w:before="0" w:after="0"/>
      </w:pPr>
      <w:proofErr w:type="gramStart"/>
      <w:r w:rsidRPr="00AD1308">
        <w:t>16b03</w:t>
      </w:r>
      <w:r w:rsidR="00AD1308" w:rsidRPr="00AD1308">
        <w:t xml:space="preserve"> -</w:t>
      </w:r>
      <w:r w:rsidR="00AD1308" w:rsidRPr="00AD1308">
        <w:rPr>
          <w:b w:val="0"/>
        </w:rPr>
        <w:t xml:space="preserve"> </w:t>
      </w:r>
      <w:r w:rsidR="00ED737A" w:rsidRPr="00AD1308">
        <w:rPr>
          <w:b w:val="0"/>
        </w:rPr>
        <w:t>Determining earnings that may be subjected to garnishment for consumer</w:t>
      </w:r>
      <w:r w:rsidRPr="00AD1308">
        <w:rPr>
          <w:b w:val="0"/>
        </w:rPr>
        <w:t xml:space="preserve"> </w:t>
      </w:r>
      <w:r w:rsidR="00ED737A" w:rsidRPr="00AD1308">
        <w:rPr>
          <w:b w:val="0"/>
        </w:rPr>
        <w:t>debts.</w:t>
      </w:r>
      <w:proofErr w:type="gramEnd"/>
    </w:p>
    <w:p w:rsidR="00ED737A" w:rsidRPr="00AD1308" w:rsidRDefault="00785A50" w:rsidP="00807694">
      <w:pPr>
        <w:pStyle w:val="Heading4"/>
        <w:numPr>
          <w:ilvl w:val="0"/>
          <w:numId w:val="2"/>
        </w:numPr>
        <w:spacing w:before="0" w:after="0"/>
        <w:rPr>
          <w:b w:val="0"/>
        </w:rPr>
      </w:pPr>
      <w:proofErr w:type="gramStart"/>
      <w:r w:rsidRPr="00AD1308">
        <w:t>16b04</w:t>
      </w:r>
      <w:r w:rsidR="00AD1308" w:rsidRPr="00AD1308">
        <w:t xml:space="preserve"> - </w:t>
      </w:r>
      <w:r w:rsidR="00ED737A" w:rsidRPr="00AD1308">
        <w:rPr>
          <w:b w:val="0"/>
        </w:rPr>
        <w:t>Withholding taxes - required by law to be withheld.</w:t>
      </w:r>
      <w:proofErr w:type="gramEnd"/>
    </w:p>
    <w:p w:rsidR="00ED737A" w:rsidRPr="00AD1308" w:rsidRDefault="00785A50" w:rsidP="00807694">
      <w:pPr>
        <w:pStyle w:val="Heading4"/>
        <w:numPr>
          <w:ilvl w:val="0"/>
          <w:numId w:val="2"/>
        </w:numPr>
        <w:spacing w:before="0" w:after="0"/>
      </w:pPr>
      <w:r w:rsidRPr="00AD1308">
        <w:t>16b05</w:t>
      </w:r>
      <w:r w:rsidR="00AD1308" w:rsidRPr="00AD1308">
        <w:t xml:space="preserve"> -</w:t>
      </w:r>
      <w:r w:rsidR="00AD1308" w:rsidRPr="00AD1308">
        <w:rPr>
          <w:b w:val="0"/>
        </w:rPr>
        <w:t xml:space="preserve"> </w:t>
      </w:r>
      <w:r w:rsidR="00ED737A" w:rsidRPr="00AD1308">
        <w:rPr>
          <w:b w:val="0"/>
        </w:rPr>
        <w:t>Garnishee’s attorney fees are subject to “consumer debt” restrictions of</w:t>
      </w:r>
      <w:r w:rsidRPr="00AD1308">
        <w:rPr>
          <w:b w:val="0"/>
        </w:rPr>
        <w:t xml:space="preserve"> sec</w:t>
      </w:r>
      <w:r w:rsidR="00ED737A" w:rsidRPr="00AD1308">
        <w:rPr>
          <w:b w:val="0"/>
        </w:rPr>
        <w:t xml:space="preserve"> 303(a).</w:t>
      </w:r>
    </w:p>
    <w:p w:rsidR="00ED737A" w:rsidRPr="00AD1308" w:rsidRDefault="00785A50" w:rsidP="00807694">
      <w:pPr>
        <w:pStyle w:val="Heading4"/>
        <w:numPr>
          <w:ilvl w:val="0"/>
          <w:numId w:val="2"/>
        </w:numPr>
        <w:spacing w:before="0" w:after="0"/>
      </w:pPr>
      <w:proofErr w:type="gramStart"/>
      <w:r w:rsidRPr="00AD1308">
        <w:t>16b06</w:t>
      </w:r>
      <w:r w:rsidR="00AD1308" w:rsidRPr="00AD1308">
        <w:t xml:space="preserve"> - </w:t>
      </w:r>
      <w:r w:rsidR="00ED737A" w:rsidRPr="00AD1308">
        <w:rPr>
          <w:b w:val="0"/>
        </w:rPr>
        <w:t>Creditor’s attorney fees.</w:t>
      </w:r>
      <w:proofErr w:type="gramEnd"/>
    </w:p>
    <w:p w:rsidR="00ED737A" w:rsidRPr="00AD1308" w:rsidRDefault="00785A50" w:rsidP="00807694">
      <w:pPr>
        <w:pStyle w:val="Heading4"/>
        <w:numPr>
          <w:ilvl w:val="0"/>
          <w:numId w:val="2"/>
        </w:numPr>
        <w:spacing w:before="0" w:after="0"/>
      </w:pPr>
      <w:r w:rsidRPr="00AD1308">
        <w:t>16b07</w:t>
      </w:r>
      <w:r w:rsidR="00AD1308" w:rsidRPr="00AD1308">
        <w:t xml:space="preserve"> - </w:t>
      </w:r>
      <w:r w:rsidR="00ED737A" w:rsidRPr="00AD1308">
        <w:rPr>
          <w:b w:val="0"/>
        </w:rPr>
        <w:t>Attorney fees in support cases (alimony and child support).</w:t>
      </w:r>
    </w:p>
    <w:p w:rsidR="00ED737A" w:rsidRPr="00AD1308" w:rsidRDefault="00785A50" w:rsidP="00807694">
      <w:pPr>
        <w:pStyle w:val="Heading4"/>
        <w:numPr>
          <w:ilvl w:val="0"/>
          <w:numId w:val="2"/>
        </w:numPr>
        <w:spacing w:before="0" w:after="0"/>
        <w:rPr>
          <w:b w:val="0"/>
        </w:rPr>
      </w:pPr>
      <w:r w:rsidRPr="00AD1308">
        <w:t>16b08</w:t>
      </w:r>
      <w:r w:rsidR="00AD1308" w:rsidRPr="00AD1308">
        <w:t xml:space="preserve"> - </w:t>
      </w:r>
      <w:r w:rsidR="00ED737A" w:rsidRPr="00AD1308">
        <w:rPr>
          <w:b w:val="0"/>
        </w:rPr>
        <w:t>Service charges deducted pursuant to state law.</w:t>
      </w:r>
    </w:p>
    <w:p w:rsidR="00ED737A" w:rsidRPr="00AD1308" w:rsidRDefault="00785A50" w:rsidP="00807694">
      <w:pPr>
        <w:pStyle w:val="Heading4"/>
        <w:numPr>
          <w:ilvl w:val="0"/>
          <w:numId w:val="2"/>
        </w:numPr>
        <w:spacing w:before="0" w:after="0"/>
      </w:pPr>
      <w:r w:rsidRPr="00AD1308">
        <w:t>16b09</w:t>
      </w:r>
      <w:r w:rsidR="00AD1308" w:rsidRPr="00AD1308">
        <w:t xml:space="preserve"> - </w:t>
      </w:r>
      <w:r w:rsidR="00ED737A" w:rsidRPr="00AD1308">
        <w:rPr>
          <w:b w:val="0"/>
        </w:rPr>
        <w:t>Excess garnishment withholdings are not wages.</w:t>
      </w:r>
    </w:p>
    <w:p w:rsidR="00ED737A" w:rsidRPr="00AD1308" w:rsidRDefault="00785A50" w:rsidP="00807694">
      <w:pPr>
        <w:pStyle w:val="Heading4"/>
        <w:numPr>
          <w:ilvl w:val="0"/>
          <w:numId w:val="2"/>
        </w:numPr>
        <w:spacing w:before="0" w:after="0"/>
        <w:rPr>
          <w:b w:val="0"/>
        </w:rPr>
      </w:pPr>
      <w:proofErr w:type="gramStart"/>
      <w:r w:rsidRPr="00AD1308">
        <w:t>16b10</w:t>
      </w:r>
      <w:r w:rsidR="00AD1308" w:rsidRPr="00AD1308">
        <w:t xml:space="preserve"> - </w:t>
      </w:r>
      <w:r w:rsidR="00ED737A" w:rsidRPr="00AD1308">
        <w:rPr>
          <w:b w:val="0"/>
        </w:rPr>
        <w:t>Draw against commission.</w:t>
      </w:r>
      <w:proofErr w:type="gramEnd"/>
    </w:p>
    <w:p w:rsidR="00ED737A" w:rsidRPr="00AD1308" w:rsidRDefault="00785A50" w:rsidP="00807694">
      <w:pPr>
        <w:pStyle w:val="Heading4"/>
        <w:numPr>
          <w:ilvl w:val="0"/>
          <w:numId w:val="2"/>
        </w:numPr>
        <w:spacing w:before="0" w:after="0"/>
        <w:rPr>
          <w:b w:val="0"/>
        </w:rPr>
      </w:pPr>
      <w:r w:rsidRPr="00AD1308">
        <w:t>16b11</w:t>
      </w:r>
      <w:r w:rsidR="00AD1308" w:rsidRPr="00AD1308">
        <w:t xml:space="preserve"> </w:t>
      </w:r>
      <w:r w:rsidR="00AD1308" w:rsidRPr="00AD1308">
        <w:rPr>
          <w:b w:val="0"/>
        </w:rPr>
        <w:t xml:space="preserve">- </w:t>
      </w:r>
      <w:r w:rsidRPr="00AD1308">
        <w:rPr>
          <w:b w:val="0"/>
        </w:rPr>
        <w:t>Sec</w:t>
      </w:r>
      <w:r w:rsidR="00ED737A" w:rsidRPr="00AD1308">
        <w:rPr>
          <w:b w:val="0"/>
        </w:rPr>
        <w:t xml:space="preserve"> 303 restrictions are separately applicable to each employment situation.</w:t>
      </w:r>
    </w:p>
    <w:p w:rsidR="00ED737A" w:rsidRPr="00AD1308" w:rsidRDefault="00785A50" w:rsidP="00807694">
      <w:pPr>
        <w:pStyle w:val="Heading4"/>
        <w:numPr>
          <w:ilvl w:val="0"/>
          <w:numId w:val="2"/>
        </w:numPr>
        <w:spacing w:before="0" w:after="0"/>
      </w:pPr>
      <w:proofErr w:type="gramStart"/>
      <w:r w:rsidRPr="00AD1308">
        <w:t>16b12</w:t>
      </w:r>
      <w:r w:rsidR="00AD1308" w:rsidRPr="00AD1308">
        <w:t xml:space="preserve"> - </w:t>
      </w:r>
      <w:r w:rsidR="00ED737A" w:rsidRPr="00AD1308">
        <w:rPr>
          <w:b w:val="0"/>
        </w:rPr>
        <w:t>Effect of “excepted” (set 303(b)) garnishments.</w:t>
      </w:r>
      <w:proofErr w:type="gramEnd"/>
    </w:p>
    <w:p w:rsidR="00ED737A" w:rsidRPr="00AD1308" w:rsidRDefault="00785A50" w:rsidP="00807694">
      <w:pPr>
        <w:pStyle w:val="Heading4"/>
        <w:numPr>
          <w:ilvl w:val="0"/>
          <w:numId w:val="2"/>
        </w:numPr>
        <w:spacing w:before="0" w:after="0"/>
      </w:pPr>
      <w:r w:rsidRPr="00AD1308">
        <w:t>16b13</w:t>
      </w:r>
      <w:r w:rsidR="00AD1308" w:rsidRPr="00AD1308">
        <w:t xml:space="preserve"> - </w:t>
      </w:r>
      <w:r w:rsidR="00ED737A" w:rsidRPr="00AD1308">
        <w:rPr>
          <w:b w:val="0"/>
        </w:rPr>
        <w:t>Court orders involving family support and property settlement agreements.</w:t>
      </w:r>
    </w:p>
    <w:p w:rsidR="00ED737A" w:rsidRPr="00AD1308" w:rsidRDefault="00785A50" w:rsidP="00807694">
      <w:pPr>
        <w:pStyle w:val="Heading4"/>
        <w:numPr>
          <w:ilvl w:val="0"/>
          <w:numId w:val="2"/>
        </w:numPr>
        <w:spacing w:before="0" w:after="0"/>
      </w:pPr>
      <w:proofErr w:type="gramStart"/>
      <w:r w:rsidRPr="00AD1308">
        <w:t>16b14</w:t>
      </w:r>
      <w:r w:rsidR="00AD1308" w:rsidRPr="00AD1308">
        <w:t xml:space="preserve"> </w:t>
      </w:r>
      <w:r w:rsidR="00AD1308" w:rsidRPr="00AD1308">
        <w:rPr>
          <w:b w:val="0"/>
        </w:rPr>
        <w:t xml:space="preserve">- </w:t>
      </w:r>
      <w:r w:rsidR="00ED737A" w:rsidRPr="00AD1308">
        <w:rPr>
          <w:b w:val="0"/>
        </w:rPr>
        <w:t>Bankruptcy.</w:t>
      </w:r>
      <w:proofErr w:type="gramEnd"/>
    </w:p>
    <w:p w:rsidR="00B46A4E" w:rsidRPr="00A55756" w:rsidRDefault="00B46A4E" w:rsidP="00A55756">
      <w:pPr>
        <w:spacing w:after="0" w:line="240" w:lineRule="auto"/>
        <w:rPr>
          <w:sz w:val="24"/>
          <w:szCs w:val="24"/>
        </w:rPr>
      </w:pPr>
    </w:p>
    <w:p w:rsidR="00ED737A" w:rsidRPr="00A55756" w:rsidRDefault="00ED737A" w:rsidP="00AD1308">
      <w:pPr>
        <w:pStyle w:val="Heading3"/>
      </w:pPr>
      <w:r w:rsidRPr="00A55756">
        <w:lastRenderedPageBreak/>
        <w:t>16c</w:t>
      </w:r>
      <w:r w:rsidR="00AD1308">
        <w:t xml:space="preserve"> - </w:t>
      </w:r>
      <w:r w:rsidRPr="00A55756">
        <w:t>SECTION 304 (RESTRICTION ON DISCHARGE PROVISIONS)</w:t>
      </w:r>
    </w:p>
    <w:p w:rsidR="00B46A4E" w:rsidRPr="00AD1308" w:rsidRDefault="00B46A4E" w:rsidP="00807694">
      <w:pPr>
        <w:pStyle w:val="Heading4"/>
        <w:numPr>
          <w:ilvl w:val="0"/>
          <w:numId w:val="3"/>
        </w:numPr>
        <w:spacing w:before="0" w:after="0"/>
      </w:pPr>
      <w:r w:rsidRPr="00AD1308">
        <w:t>16c00</w:t>
      </w:r>
      <w:r w:rsidR="00AD1308" w:rsidRPr="00AD1308">
        <w:t xml:space="preserve"> - </w:t>
      </w:r>
      <w:r w:rsidR="00ED737A" w:rsidRPr="00AD1308">
        <w:rPr>
          <w:b w:val="0"/>
        </w:rPr>
        <w:t>“Subjected to garnishment”.</w:t>
      </w:r>
    </w:p>
    <w:p w:rsidR="00B46A4E" w:rsidRPr="00AD1308" w:rsidRDefault="00B46A4E" w:rsidP="00807694">
      <w:pPr>
        <w:pStyle w:val="Heading4"/>
        <w:numPr>
          <w:ilvl w:val="0"/>
          <w:numId w:val="3"/>
        </w:numPr>
        <w:spacing w:before="0" w:after="0"/>
      </w:pPr>
      <w:r w:rsidRPr="00AD1308">
        <w:t>16c01</w:t>
      </w:r>
      <w:r w:rsidR="00AD1308" w:rsidRPr="00AD1308">
        <w:t xml:space="preserve"> </w:t>
      </w:r>
      <w:r w:rsidR="00AD1308" w:rsidRPr="00AD1308">
        <w:rPr>
          <w:b w:val="0"/>
        </w:rPr>
        <w:t xml:space="preserve">- </w:t>
      </w:r>
      <w:r w:rsidR="00ED737A" w:rsidRPr="00AD1308">
        <w:rPr>
          <w:b w:val="0"/>
        </w:rPr>
        <w:t>Restriction on discharge applies to all garnishments.</w:t>
      </w:r>
      <w:r w:rsidRPr="00AD1308">
        <w:rPr>
          <w:b w:val="0"/>
        </w:rPr>
        <w:tab/>
      </w:r>
    </w:p>
    <w:p w:rsidR="00B46A4E" w:rsidRPr="00AD1308" w:rsidRDefault="00B46A4E" w:rsidP="00807694">
      <w:pPr>
        <w:pStyle w:val="Heading4"/>
        <w:numPr>
          <w:ilvl w:val="0"/>
          <w:numId w:val="3"/>
        </w:numPr>
        <w:spacing w:before="0" w:after="0"/>
      </w:pPr>
      <w:r w:rsidRPr="00AD1308">
        <w:t>16c02</w:t>
      </w:r>
      <w:r w:rsidR="00AD1308" w:rsidRPr="00AD1308">
        <w:t xml:space="preserve"> - </w:t>
      </w:r>
      <w:r w:rsidRPr="00AD1308">
        <w:rPr>
          <w:b w:val="0"/>
        </w:rPr>
        <w:t>Discharge for non-ta</w:t>
      </w:r>
      <w:r w:rsidR="00ED737A" w:rsidRPr="00AD1308">
        <w:rPr>
          <w:b w:val="0"/>
        </w:rPr>
        <w:t>x debts owed the federal government.</w:t>
      </w:r>
    </w:p>
    <w:p w:rsidR="00B46A4E" w:rsidRPr="00AD1308" w:rsidRDefault="00B46A4E" w:rsidP="00807694">
      <w:pPr>
        <w:pStyle w:val="Heading4"/>
        <w:numPr>
          <w:ilvl w:val="0"/>
          <w:numId w:val="3"/>
        </w:numPr>
        <w:spacing w:before="0" w:after="0"/>
      </w:pPr>
      <w:r w:rsidRPr="00AD1308">
        <w:t>16c03</w:t>
      </w:r>
      <w:r w:rsidR="00AD1308" w:rsidRPr="00AD1308">
        <w:t xml:space="preserve"> - </w:t>
      </w:r>
      <w:proofErr w:type="gramStart"/>
      <w:r w:rsidR="00ED737A" w:rsidRPr="00AD1308">
        <w:rPr>
          <w:b w:val="0"/>
        </w:rPr>
        <w:t>One indebtedness</w:t>
      </w:r>
      <w:proofErr w:type="gramEnd"/>
      <w:r w:rsidR="00ED737A" w:rsidRPr="00AD1308">
        <w:rPr>
          <w:b w:val="0"/>
        </w:rPr>
        <w:t>.</w:t>
      </w:r>
    </w:p>
    <w:p w:rsidR="00B46A4E" w:rsidRPr="00AD1308" w:rsidRDefault="00B46A4E" w:rsidP="00807694">
      <w:pPr>
        <w:pStyle w:val="Heading4"/>
        <w:numPr>
          <w:ilvl w:val="0"/>
          <w:numId w:val="3"/>
        </w:numPr>
        <w:spacing w:before="0" w:after="0"/>
      </w:pPr>
      <w:proofErr w:type="gramStart"/>
      <w:r w:rsidRPr="00AD1308">
        <w:t>16c04</w:t>
      </w:r>
      <w:r w:rsidR="00AD1308" w:rsidRPr="00AD1308">
        <w:t xml:space="preserve"> - </w:t>
      </w:r>
      <w:r w:rsidR="00ED737A" w:rsidRPr="00AD1308">
        <w:rPr>
          <w:b w:val="0"/>
        </w:rPr>
        <w:t>Discharge - suspension, demotion and/or transfer.</w:t>
      </w:r>
      <w:proofErr w:type="gramEnd"/>
      <w:r w:rsidRPr="00AD1308">
        <w:rPr>
          <w:b w:val="0"/>
        </w:rPr>
        <w:tab/>
      </w:r>
    </w:p>
    <w:p w:rsidR="00B46A4E" w:rsidRPr="00AD1308" w:rsidRDefault="00B46A4E" w:rsidP="00807694">
      <w:pPr>
        <w:pStyle w:val="Heading4"/>
        <w:numPr>
          <w:ilvl w:val="0"/>
          <w:numId w:val="3"/>
        </w:numPr>
        <w:spacing w:before="0" w:after="0"/>
      </w:pPr>
      <w:proofErr w:type="gramStart"/>
      <w:r w:rsidRPr="00AD1308">
        <w:t>16c05</w:t>
      </w:r>
      <w:r w:rsidR="00AD1308" w:rsidRPr="00AD1308">
        <w:t xml:space="preserve"> - </w:t>
      </w:r>
      <w:r w:rsidR="00ED737A" w:rsidRPr="00AD1308">
        <w:rPr>
          <w:b w:val="0"/>
        </w:rPr>
        <w:t>Filing bankruptcy.</w:t>
      </w:r>
      <w:proofErr w:type="gramEnd"/>
    </w:p>
    <w:p w:rsidR="00B46A4E" w:rsidRPr="00AD1308" w:rsidRDefault="00B46A4E" w:rsidP="00807694">
      <w:pPr>
        <w:pStyle w:val="Heading4"/>
        <w:numPr>
          <w:ilvl w:val="0"/>
          <w:numId w:val="3"/>
        </w:numPr>
        <w:spacing w:before="0" w:after="0"/>
      </w:pPr>
      <w:proofErr w:type="gramStart"/>
      <w:r w:rsidRPr="00AD1308">
        <w:t>16c06</w:t>
      </w:r>
      <w:r w:rsidR="00AD1308" w:rsidRPr="00AD1308">
        <w:t xml:space="preserve"> - </w:t>
      </w:r>
      <w:r w:rsidR="00ED737A" w:rsidRPr="00AD1308">
        <w:rPr>
          <w:b w:val="0"/>
        </w:rPr>
        <w:t>Statute of limitations.</w:t>
      </w:r>
      <w:proofErr w:type="gramEnd"/>
    </w:p>
    <w:p w:rsidR="00B46A4E" w:rsidRPr="00AD1308" w:rsidRDefault="00B46A4E" w:rsidP="00807694">
      <w:pPr>
        <w:pStyle w:val="Heading4"/>
        <w:numPr>
          <w:ilvl w:val="0"/>
          <w:numId w:val="3"/>
        </w:numPr>
        <w:spacing w:before="0" w:after="0"/>
        <w:sectPr w:rsidR="00B46A4E" w:rsidRPr="00AD1308" w:rsidSect="00ED737A">
          <w:headerReference w:type="default" r:id="rId8"/>
          <w:pgSz w:w="12240" w:h="15840"/>
          <w:pgMar w:top="1440" w:right="1440" w:bottom="1440" w:left="1440" w:header="720" w:footer="720" w:gutter="0"/>
          <w:cols w:space="720"/>
          <w:docGrid w:linePitch="360"/>
        </w:sectPr>
      </w:pPr>
      <w:r w:rsidRPr="00AD1308">
        <w:t>16c07</w:t>
      </w:r>
      <w:r w:rsidR="00AD1308" w:rsidRPr="00AD1308">
        <w:t xml:space="preserve"> - </w:t>
      </w:r>
      <w:r w:rsidR="00ED737A" w:rsidRPr="00AD1308">
        <w:rPr>
          <w:b w:val="0"/>
        </w:rPr>
        <w:t>Discharge may not be based, either wholly or partly, on a single garnishment.</w:t>
      </w:r>
    </w:p>
    <w:p w:rsidR="00E877C7" w:rsidRPr="00A55756" w:rsidRDefault="00E877C7" w:rsidP="00B30B96">
      <w:pPr>
        <w:pStyle w:val="Heading2"/>
      </w:pPr>
      <w:r w:rsidRPr="00A55756">
        <w:lastRenderedPageBreak/>
        <w:t>Chapter 16</w:t>
      </w:r>
      <w:r w:rsidR="00AD1308">
        <w:t xml:space="preserve"> - </w:t>
      </w:r>
      <w:r w:rsidRPr="00A55756">
        <w:t>TITLE III – CONSUMER CREDIT PROTECTION ACT (WAGE GARNISHMENT)</w:t>
      </w:r>
    </w:p>
    <w:p w:rsidR="00BB6569" w:rsidRPr="00A55756" w:rsidRDefault="00BB6569" w:rsidP="00A55756">
      <w:pPr>
        <w:spacing w:after="0" w:line="240" w:lineRule="auto"/>
        <w:rPr>
          <w:sz w:val="24"/>
          <w:szCs w:val="24"/>
        </w:rPr>
      </w:pPr>
    </w:p>
    <w:p w:rsidR="00BB6569" w:rsidRPr="00A55756" w:rsidRDefault="00BB6569" w:rsidP="00B30B96">
      <w:pPr>
        <w:pStyle w:val="Heading3"/>
      </w:pPr>
      <w:r w:rsidRPr="00A55756">
        <w:t>16a</w:t>
      </w:r>
      <w:r w:rsidR="008F0E3F">
        <w:t xml:space="preserve"> - </w:t>
      </w:r>
      <w:r w:rsidR="00E877C7" w:rsidRPr="00A55756">
        <w:t>GENERAL</w:t>
      </w:r>
    </w:p>
    <w:p w:rsidR="00E877C7" w:rsidRPr="00A55756" w:rsidRDefault="00BB6569" w:rsidP="00B30B96">
      <w:pPr>
        <w:pStyle w:val="Heading4"/>
      </w:pPr>
      <w:proofErr w:type="gramStart"/>
      <w:r w:rsidRPr="00A55756">
        <w:t>16a00</w:t>
      </w:r>
      <w:r w:rsidR="00B30B96">
        <w:t xml:space="preserve"> - </w:t>
      </w:r>
      <w:r w:rsidR="00E877C7" w:rsidRPr="00A55756">
        <w:t>Use of Chapter 16.</w:t>
      </w:r>
      <w:proofErr w:type="gramEnd"/>
    </w:p>
    <w:p w:rsidR="00BB6569" w:rsidRPr="00A55756" w:rsidRDefault="00BB6569" w:rsidP="00A55756">
      <w:pPr>
        <w:spacing w:after="0" w:line="240" w:lineRule="auto"/>
        <w:rPr>
          <w:sz w:val="24"/>
          <w:szCs w:val="24"/>
        </w:rPr>
      </w:pPr>
    </w:p>
    <w:p w:rsidR="00BB6569" w:rsidRPr="00B30B96" w:rsidRDefault="00E877C7" w:rsidP="00226191">
      <w:pPr>
        <w:pStyle w:val="ListParagraph"/>
        <w:spacing w:after="0" w:line="240" w:lineRule="auto"/>
        <w:rPr>
          <w:sz w:val="24"/>
          <w:szCs w:val="24"/>
        </w:rPr>
      </w:pPr>
      <w:r w:rsidRPr="00B30B96">
        <w:rPr>
          <w:sz w:val="24"/>
          <w:szCs w:val="24"/>
        </w:rPr>
        <w:t xml:space="preserve">Along with </w:t>
      </w:r>
      <w:proofErr w:type="spellStart"/>
      <w:r w:rsidRPr="00B30B96">
        <w:rPr>
          <w:sz w:val="24"/>
          <w:szCs w:val="24"/>
        </w:rPr>
        <w:t>Reg</w:t>
      </w:r>
      <w:proofErr w:type="spellEnd"/>
      <w:r w:rsidRPr="00B30B96">
        <w:rPr>
          <w:sz w:val="24"/>
          <w:szCs w:val="24"/>
        </w:rPr>
        <w:t xml:space="preserve"> 870, FOH Chapter 16 contains the Division’s interpretative positions</w:t>
      </w:r>
      <w:r w:rsidR="00BB6569" w:rsidRPr="00B30B96">
        <w:rPr>
          <w:sz w:val="24"/>
          <w:szCs w:val="24"/>
        </w:rPr>
        <w:t xml:space="preserve"> </w:t>
      </w:r>
      <w:r w:rsidRPr="00B30B96">
        <w:rPr>
          <w:sz w:val="24"/>
          <w:szCs w:val="24"/>
        </w:rPr>
        <w:t>regarding Title III of the Consumer Credit Protection Act (CCPA). The interpretations</w:t>
      </w:r>
      <w:r w:rsidR="00BB6569" w:rsidRPr="00B30B96">
        <w:rPr>
          <w:sz w:val="24"/>
          <w:szCs w:val="24"/>
        </w:rPr>
        <w:t xml:space="preserve"> </w:t>
      </w:r>
      <w:r w:rsidRPr="00B30B96">
        <w:rPr>
          <w:sz w:val="24"/>
          <w:szCs w:val="24"/>
        </w:rPr>
        <w:t>included i</w:t>
      </w:r>
      <w:r w:rsidR="00BB6569" w:rsidRPr="00B30B96">
        <w:rPr>
          <w:sz w:val="24"/>
          <w:szCs w:val="24"/>
        </w:rPr>
        <w:t xml:space="preserve">n this chapter provide guidance </w:t>
      </w:r>
      <w:r w:rsidRPr="00B30B96">
        <w:rPr>
          <w:sz w:val="24"/>
          <w:szCs w:val="24"/>
        </w:rPr>
        <w:t>in the administration and enforcement of this law.</w:t>
      </w:r>
      <w:r w:rsidR="00BB6569" w:rsidRPr="00B30B96">
        <w:rPr>
          <w:sz w:val="24"/>
          <w:szCs w:val="24"/>
        </w:rPr>
        <w:t xml:space="preserve"> </w:t>
      </w:r>
      <w:r w:rsidRPr="00B30B96">
        <w:rPr>
          <w:sz w:val="24"/>
          <w:szCs w:val="24"/>
        </w:rPr>
        <w:t>Procedural matters under</w:t>
      </w:r>
      <w:r w:rsidR="00BB6569" w:rsidRPr="00B30B96">
        <w:rPr>
          <w:sz w:val="24"/>
          <w:szCs w:val="24"/>
        </w:rPr>
        <w:t xml:space="preserve"> the CCPA are covered in FOH 52v</w:t>
      </w:r>
      <w:r w:rsidRPr="00B30B96">
        <w:rPr>
          <w:sz w:val="24"/>
          <w:szCs w:val="24"/>
        </w:rPr>
        <w:t>.</w:t>
      </w:r>
    </w:p>
    <w:p w:rsidR="00BB6569" w:rsidRPr="00A55756" w:rsidRDefault="00BB6569" w:rsidP="00A55756">
      <w:pPr>
        <w:spacing w:after="0" w:line="240" w:lineRule="auto"/>
        <w:rPr>
          <w:sz w:val="24"/>
          <w:szCs w:val="24"/>
        </w:rPr>
      </w:pPr>
    </w:p>
    <w:p w:rsidR="00E877C7" w:rsidRPr="00B30B96" w:rsidRDefault="00BB6569" w:rsidP="00A55756">
      <w:pPr>
        <w:spacing w:after="0" w:line="240" w:lineRule="auto"/>
        <w:rPr>
          <w:rFonts w:eastAsia="Times New Roman"/>
          <w:b/>
          <w:bCs/>
          <w:sz w:val="24"/>
          <w:szCs w:val="28"/>
        </w:rPr>
      </w:pPr>
      <w:proofErr w:type="gramStart"/>
      <w:r w:rsidRPr="00B30B96">
        <w:rPr>
          <w:rFonts w:eastAsia="Times New Roman"/>
          <w:b/>
          <w:bCs/>
          <w:sz w:val="24"/>
          <w:szCs w:val="28"/>
        </w:rPr>
        <w:t>16a01</w:t>
      </w:r>
      <w:r w:rsidR="00B30B96" w:rsidRPr="00B30B96">
        <w:rPr>
          <w:rFonts w:eastAsia="Times New Roman"/>
          <w:b/>
          <w:bCs/>
          <w:sz w:val="24"/>
          <w:szCs w:val="28"/>
        </w:rPr>
        <w:t xml:space="preserve"> - </w:t>
      </w:r>
      <w:r w:rsidR="00E877C7" w:rsidRPr="00B30B96">
        <w:rPr>
          <w:rFonts w:eastAsia="Times New Roman"/>
          <w:b/>
          <w:bCs/>
          <w:sz w:val="24"/>
          <w:szCs w:val="28"/>
        </w:rPr>
        <w:t>CCPA general provisions and Wage-Hour’s authority.</w:t>
      </w:r>
      <w:proofErr w:type="gramEnd"/>
    </w:p>
    <w:p w:rsidR="00BB6569" w:rsidRPr="00A55756" w:rsidRDefault="00BB6569" w:rsidP="00A55756">
      <w:pPr>
        <w:spacing w:after="0" w:line="240" w:lineRule="auto"/>
        <w:rPr>
          <w:sz w:val="24"/>
          <w:szCs w:val="24"/>
        </w:rPr>
      </w:pPr>
    </w:p>
    <w:p w:rsidR="00E877C7" w:rsidRPr="00B30B96" w:rsidRDefault="00E877C7" w:rsidP="00807694">
      <w:pPr>
        <w:pStyle w:val="ListParagraph"/>
        <w:numPr>
          <w:ilvl w:val="0"/>
          <w:numId w:val="4"/>
        </w:numPr>
        <w:spacing w:after="0" w:line="240" w:lineRule="auto"/>
        <w:rPr>
          <w:sz w:val="24"/>
          <w:szCs w:val="24"/>
        </w:rPr>
      </w:pPr>
      <w:r w:rsidRPr="00B30B96">
        <w:rPr>
          <w:sz w:val="24"/>
          <w:szCs w:val="24"/>
        </w:rPr>
        <w:t>The CCPA limits the amount of an employee’s earnings that may be garnished (see FOH</w:t>
      </w:r>
      <w:r w:rsidR="00BB6569" w:rsidRPr="00B30B96">
        <w:rPr>
          <w:sz w:val="24"/>
          <w:szCs w:val="24"/>
        </w:rPr>
        <w:t xml:space="preserve"> 16b00</w:t>
      </w:r>
      <w:r w:rsidRPr="00B30B96">
        <w:rPr>
          <w:sz w:val="24"/>
          <w:szCs w:val="24"/>
        </w:rPr>
        <w:t>) and protects an employee from being fired because wages are garnished for any single</w:t>
      </w:r>
      <w:r w:rsidR="00BD614E" w:rsidRPr="00B30B96">
        <w:rPr>
          <w:sz w:val="24"/>
          <w:szCs w:val="24"/>
        </w:rPr>
        <w:t xml:space="preserve"> debt. (See</w:t>
      </w:r>
      <w:r w:rsidR="00C801D0" w:rsidRPr="00B30B96">
        <w:rPr>
          <w:sz w:val="24"/>
          <w:szCs w:val="24"/>
        </w:rPr>
        <w:t xml:space="preserve"> FOH 16c</w:t>
      </w:r>
      <w:r w:rsidRPr="00B30B96">
        <w:rPr>
          <w:sz w:val="24"/>
          <w:szCs w:val="24"/>
        </w:rPr>
        <w:t>00.)</w:t>
      </w:r>
    </w:p>
    <w:p w:rsidR="00BD614E" w:rsidRPr="00A55756" w:rsidRDefault="00BD614E" w:rsidP="00A55756">
      <w:pPr>
        <w:spacing w:after="0" w:line="240" w:lineRule="auto"/>
        <w:rPr>
          <w:sz w:val="24"/>
          <w:szCs w:val="24"/>
        </w:rPr>
      </w:pPr>
    </w:p>
    <w:p w:rsidR="00E877C7" w:rsidRPr="00B30B96" w:rsidRDefault="00E877C7" w:rsidP="00807694">
      <w:pPr>
        <w:pStyle w:val="ListParagraph"/>
        <w:numPr>
          <w:ilvl w:val="0"/>
          <w:numId w:val="4"/>
        </w:numPr>
        <w:spacing w:after="0" w:line="240" w:lineRule="auto"/>
        <w:rPr>
          <w:sz w:val="24"/>
          <w:szCs w:val="24"/>
        </w:rPr>
      </w:pPr>
      <w:r w:rsidRPr="00B30B96">
        <w:rPr>
          <w:sz w:val="24"/>
          <w:szCs w:val="24"/>
        </w:rPr>
        <w:t>WH has no other authority with regard to garnishments. Questions over issues other than the</w:t>
      </w:r>
      <w:r w:rsidR="00BD614E" w:rsidRPr="00B30B96">
        <w:rPr>
          <w:sz w:val="24"/>
          <w:szCs w:val="24"/>
        </w:rPr>
        <w:t xml:space="preserve"> </w:t>
      </w:r>
      <w:r w:rsidRPr="00B30B96">
        <w:rPr>
          <w:sz w:val="24"/>
          <w:szCs w:val="24"/>
        </w:rPr>
        <w:t>amount being garnished under the CCPA or termination should be referred to the court or</w:t>
      </w:r>
      <w:r w:rsidR="00BD614E" w:rsidRPr="00B30B96">
        <w:rPr>
          <w:sz w:val="24"/>
          <w:szCs w:val="24"/>
        </w:rPr>
        <w:t xml:space="preserve"> </w:t>
      </w:r>
      <w:r w:rsidRPr="00B30B96">
        <w:rPr>
          <w:sz w:val="24"/>
          <w:szCs w:val="24"/>
        </w:rPr>
        <w:t>agency initiating the withholding action.</w:t>
      </w:r>
    </w:p>
    <w:p w:rsidR="00BD614E" w:rsidRPr="00A55756" w:rsidRDefault="00BD614E" w:rsidP="00A55756">
      <w:pPr>
        <w:spacing w:after="0" w:line="240" w:lineRule="auto"/>
        <w:rPr>
          <w:sz w:val="24"/>
          <w:szCs w:val="24"/>
        </w:rPr>
      </w:pPr>
    </w:p>
    <w:p w:rsidR="00E877C7" w:rsidRPr="00B30B96" w:rsidRDefault="00BD614E" w:rsidP="00A55756">
      <w:pPr>
        <w:spacing w:after="0" w:line="240" w:lineRule="auto"/>
        <w:rPr>
          <w:rFonts w:eastAsia="Times New Roman"/>
          <w:b/>
          <w:bCs/>
          <w:sz w:val="24"/>
          <w:szCs w:val="28"/>
        </w:rPr>
      </w:pPr>
      <w:proofErr w:type="gramStart"/>
      <w:r w:rsidRPr="00B30B96">
        <w:rPr>
          <w:rFonts w:eastAsia="Times New Roman"/>
          <w:b/>
          <w:bCs/>
          <w:sz w:val="24"/>
          <w:szCs w:val="28"/>
        </w:rPr>
        <w:t>16a02</w:t>
      </w:r>
      <w:r w:rsidR="00B30B96" w:rsidRPr="00B30B96">
        <w:rPr>
          <w:rFonts w:eastAsia="Times New Roman"/>
          <w:b/>
          <w:bCs/>
          <w:sz w:val="24"/>
          <w:szCs w:val="28"/>
        </w:rPr>
        <w:t xml:space="preserve"> - </w:t>
      </w:r>
      <w:r w:rsidR="00E877C7" w:rsidRPr="00B30B96">
        <w:rPr>
          <w:rFonts w:eastAsia="Times New Roman"/>
          <w:b/>
          <w:bCs/>
          <w:sz w:val="24"/>
          <w:szCs w:val="28"/>
        </w:rPr>
        <w:t>Coverage.</w:t>
      </w:r>
      <w:proofErr w:type="gramEnd"/>
    </w:p>
    <w:p w:rsidR="00BD614E" w:rsidRPr="00A55756" w:rsidRDefault="00BD614E" w:rsidP="00A55756">
      <w:pPr>
        <w:spacing w:after="0" w:line="240" w:lineRule="auto"/>
        <w:rPr>
          <w:sz w:val="24"/>
          <w:szCs w:val="24"/>
        </w:rPr>
      </w:pPr>
    </w:p>
    <w:p w:rsidR="00E877C7" w:rsidRPr="00B30B96" w:rsidRDefault="00E877C7" w:rsidP="00226191">
      <w:pPr>
        <w:pStyle w:val="ListParagraph"/>
        <w:spacing w:after="0" w:line="240" w:lineRule="auto"/>
        <w:rPr>
          <w:sz w:val="24"/>
          <w:szCs w:val="24"/>
        </w:rPr>
      </w:pPr>
      <w:r w:rsidRPr="00B30B96">
        <w:rPr>
          <w:sz w:val="24"/>
          <w:szCs w:val="24"/>
        </w:rPr>
        <w:t>Coverage is general. There are no specific exemptions for government employees at the</w:t>
      </w:r>
      <w:r w:rsidR="00BD614E" w:rsidRPr="00B30B96">
        <w:rPr>
          <w:sz w:val="24"/>
          <w:szCs w:val="24"/>
        </w:rPr>
        <w:t xml:space="preserve"> </w:t>
      </w:r>
      <w:r w:rsidRPr="00B30B96">
        <w:rPr>
          <w:sz w:val="24"/>
          <w:szCs w:val="24"/>
        </w:rPr>
        <w:t>federal, state, or local levels or their political subdivisions. (See FOH 16a08 and 16a09</w:t>
      </w:r>
      <w:r w:rsidR="00BD614E" w:rsidRPr="00B30B96">
        <w:rPr>
          <w:sz w:val="24"/>
          <w:szCs w:val="24"/>
        </w:rPr>
        <w:t xml:space="preserve"> </w:t>
      </w:r>
      <w:r w:rsidRPr="00B30B96">
        <w:rPr>
          <w:sz w:val="24"/>
          <w:szCs w:val="24"/>
        </w:rPr>
        <w:t>regarding the applicability of CCPA to such employees).</w:t>
      </w:r>
    </w:p>
    <w:p w:rsidR="00BD614E" w:rsidRPr="00A55756" w:rsidRDefault="00BD614E" w:rsidP="00A55756">
      <w:pPr>
        <w:spacing w:after="0" w:line="240" w:lineRule="auto"/>
        <w:rPr>
          <w:sz w:val="24"/>
          <w:szCs w:val="24"/>
        </w:rPr>
      </w:pPr>
    </w:p>
    <w:p w:rsidR="00E877C7" w:rsidRPr="00A55756" w:rsidRDefault="008206DA" w:rsidP="00A55756">
      <w:pPr>
        <w:spacing w:after="0" w:line="240" w:lineRule="auto"/>
        <w:rPr>
          <w:sz w:val="24"/>
          <w:szCs w:val="24"/>
        </w:rPr>
      </w:pPr>
      <w:proofErr w:type="gramStart"/>
      <w:r w:rsidRPr="00B30B96">
        <w:rPr>
          <w:rFonts w:eastAsia="Times New Roman"/>
          <w:b/>
          <w:bCs/>
          <w:sz w:val="24"/>
          <w:szCs w:val="28"/>
        </w:rPr>
        <w:t>16a03</w:t>
      </w:r>
      <w:r w:rsidR="00B30B96" w:rsidRPr="00B30B96">
        <w:rPr>
          <w:rFonts w:eastAsia="Times New Roman"/>
          <w:b/>
          <w:bCs/>
          <w:sz w:val="24"/>
          <w:szCs w:val="28"/>
        </w:rPr>
        <w:t xml:space="preserve"> - </w:t>
      </w:r>
      <w:r w:rsidR="00E877C7" w:rsidRPr="00B30B96">
        <w:rPr>
          <w:rFonts w:eastAsia="Times New Roman"/>
          <w:b/>
          <w:bCs/>
          <w:sz w:val="24"/>
          <w:szCs w:val="28"/>
        </w:rPr>
        <w:t>Geographical application.</w:t>
      </w:r>
      <w:proofErr w:type="gramEnd"/>
    </w:p>
    <w:p w:rsidR="008206DA" w:rsidRPr="00A55756" w:rsidRDefault="008206DA" w:rsidP="00A55756">
      <w:pPr>
        <w:spacing w:after="0" w:line="240" w:lineRule="auto"/>
        <w:rPr>
          <w:sz w:val="24"/>
          <w:szCs w:val="24"/>
        </w:rPr>
      </w:pPr>
    </w:p>
    <w:p w:rsidR="00E877C7" w:rsidRPr="00B30B96" w:rsidRDefault="00E877C7" w:rsidP="00226191">
      <w:pPr>
        <w:pStyle w:val="ListParagraph"/>
        <w:spacing w:after="0" w:line="240" w:lineRule="auto"/>
        <w:rPr>
          <w:sz w:val="24"/>
          <w:szCs w:val="24"/>
        </w:rPr>
      </w:pPr>
      <w:r w:rsidRPr="00B30B96">
        <w:rPr>
          <w:sz w:val="24"/>
          <w:szCs w:val="24"/>
        </w:rPr>
        <w:t>The CCPA’s restrictions apply wherever federal and state courts have jurisdiction. As used</w:t>
      </w:r>
      <w:r w:rsidR="008206DA" w:rsidRPr="00B30B96">
        <w:rPr>
          <w:sz w:val="24"/>
          <w:szCs w:val="24"/>
        </w:rPr>
        <w:t xml:space="preserve"> </w:t>
      </w:r>
      <w:r w:rsidRPr="00B30B96">
        <w:rPr>
          <w:sz w:val="24"/>
          <w:szCs w:val="24"/>
        </w:rPr>
        <w:t>in the CCPA, the term “state” includes any state, the Commonwealth of Puerto Rico, the</w:t>
      </w:r>
      <w:r w:rsidR="008206DA" w:rsidRPr="00B30B96">
        <w:rPr>
          <w:sz w:val="24"/>
          <w:szCs w:val="24"/>
        </w:rPr>
        <w:t xml:space="preserve"> </w:t>
      </w:r>
      <w:r w:rsidRPr="00B30B96">
        <w:rPr>
          <w:sz w:val="24"/>
          <w:szCs w:val="24"/>
        </w:rPr>
        <w:t>District of Columbia, and any territory or possession of the United States. The CCPA</w:t>
      </w:r>
      <w:r w:rsidR="008206DA" w:rsidRPr="00B30B96">
        <w:rPr>
          <w:sz w:val="24"/>
          <w:szCs w:val="24"/>
        </w:rPr>
        <w:t xml:space="preserve"> </w:t>
      </w:r>
      <w:r w:rsidRPr="00B30B96">
        <w:rPr>
          <w:sz w:val="24"/>
          <w:szCs w:val="24"/>
        </w:rPr>
        <w:t>definition of the term “state” is found at 15 U.S.C. 1602(r).</w:t>
      </w:r>
    </w:p>
    <w:p w:rsidR="008206DA" w:rsidRPr="00A55756" w:rsidRDefault="008206DA" w:rsidP="00A55756">
      <w:pPr>
        <w:spacing w:after="0" w:line="240" w:lineRule="auto"/>
        <w:rPr>
          <w:sz w:val="24"/>
          <w:szCs w:val="24"/>
        </w:rPr>
      </w:pPr>
    </w:p>
    <w:p w:rsidR="00E877C7" w:rsidRPr="00B30B96" w:rsidRDefault="008206DA" w:rsidP="00A55756">
      <w:pPr>
        <w:spacing w:after="0" w:line="240" w:lineRule="auto"/>
        <w:rPr>
          <w:rFonts w:eastAsia="Times New Roman"/>
          <w:b/>
          <w:bCs/>
          <w:sz w:val="24"/>
          <w:szCs w:val="28"/>
        </w:rPr>
      </w:pPr>
      <w:proofErr w:type="gramStart"/>
      <w:r w:rsidRPr="00B30B96">
        <w:rPr>
          <w:rFonts w:eastAsia="Times New Roman"/>
          <w:b/>
          <w:bCs/>
          <w:sz w:val="24"/>
          <w:szCs w:val="28"/>
        </w:rPr>
        <w:t>16a04</w:t>
      </w:r>
      <w:r w:rsidR="00B30B96" w:rsidRPr="00B30B96">
        <w:rPr>
          <w:rFonts w:eastAsia="Times New Roman"/>
          <w:b/>
          <w:bCs/>
          <w:sz w:val="24"/>
          <w:szCs w:val="28"/>
        </w:rPr>
        <w:t xml:space="preserve"> - </w:t>
      </w:r>
      <w:r w:rsidR="00E877C7" w:rsidRPr="00B30B96">
        <w:rPr>
          <w:rFonts w:eastAsia="Times New Roman"/>
          <w:b/>
          <w:bCs/>
          <w:sz w:val="24"/>
          <w:szCs w:val="28"/>
        </w:rPr>
        <w:t>Exempt States.</w:t>
      </w:r>
      <w:proofErr w:type="gramEnd"/>
    </w:p>
    <w:p w:rsidR="008206DA" w:rsidRPr="00A55756" w:rsidRDefault="008206DA" w:rsidP="00A55756">
      <w:pPr>
        <w:spacing w:after="0" w:line="240" w:lineRule="auto"/>
        <w:rPr>
          <w:sz w:val="24"/>
          <w:szCs w:val="24"/>
        </w:rPr>
      </w:pPr>
    </w:p>
    <w:p w:rsidR="008206DA" w:rsidRDefault="008206DA" w:rsidP="00226191">
      <w:pPr>
        <w:pStyle w:val="ListParagraph"/>
        <w:spacing w:after="0" w:line="240" w:lineRule="auto"/>
        <w:rPr>
          <w:sz w:val="24"/>
          <w:szCs w:val="24"/>
        </w:rPr>
      </w:pPr>
      <w:r w:rsidRPr="00B30B96">
        <w:rPr>
          <w:sz w:val="24"/>
          <w:szCs w:val="24"/>
        </w:rPr>
        <w:t>Pursuant to sec</w:t>
      </w:r>
      <w:r w:rsidR="00E877C7" w:rsidRPr="00B30B96">
        <w:rPr>
          <w:sz w:val="24"/>
          <w:szCs w:val="24"/>
        </w:rPr>
        <w:t xml:space="preserve"> 305, the Secretary of Labor has exempted certain states from the restrictions</w:t>
      </w:r>
      <w:r w:rsidRPr="00B30B96">
        <w:rPr>
          <w:sz w:val="24"/>
          <w:szCs w:val="24"/>
        </w:rPr>
        <w:t xml:space="preserve"> on garnishment contained in sec</w:t>
      </w:r>
      <w:r w:rsidR="00E877C7" w:rsidRPr="00B30B96">
        <w:rPr>
          <w:sz w:val="24"/>
          <w:szCs w:val="24"/>
        </w:rPr>
        <w:t xml:space="preserve"> 303. The list of exempt states along with the terms and</w:t>
      </w:r>
      <w:r w:rsidRPr="00B30B96">
        <w:rPr>
          <w:sz w:val="24"/>
          <w:szCs w:val="24"/>
        </w:rPr>
        <w:t xml:space="preserve"> </w:t>
      </w:r>
      <w:r w:rsidR="00E877C7" w:rsidRPr="00B30B96">
        <w:rPr>
          <w:sz w:val="24"/>
          <w:szCs w:val="24"/>
        </w:rPr>
        <w:t xml:space="preserve">conditions of the exemptions is found in </w:t>
      </w:r>
      <w:proofErr w:type="spellStart"/>
      <w:r w:rsidR="00E877C7" w:rsidRPr="00B30B96">
        <w:rPr>
          <w:sz w:val="24"/>
          <w:szCs w:val="24"/>
        </w:rPr>
        <w:t>Reg</w:t>
      </w:r>
      <w:proofErr w:type="spellEnd"/>
      <w:r w:rsidR="00E877C7" w:rsidRPr="00B30B96">
        <w:rPr>
          <w:sz w:val="24"/>
          <w:szCs w:val="24"/>
        </w:rPr>
        <w:t xml:space="preserve"> 870.57. State Representatives are listed in</w:t>
      </w:r>
      <w:r w:rsidRPr="00B30B96">
        <w:rPr>
          <w:sz w:val="24"/>
          <w:szCs w:val="24"/>
        </w:rPr>
        <w:t xml:space="preserve"> </w:t>
      </w:r>
      <w:proofErr w:type="spellStart"/>
      <w:r w:rsidR="00E877C7" w:rsidRPr="00B30B96">
        <w:rPr>
          <w:sz w:val="24"/>
          <w:szCs w:val="24"/>
        </w:rPr>
        <w:t>Reg</w:t>
      </w:r>
      <w:proofErr w:type="spellEnd"/>
      <w:r w:rsidR="00E877C7" w:rsidRPr="00B30B96">
        <w:rPr>
          <w:sz w:val="24"/>
          <w:szCs w:val="24"/>
        </w:rPr>
        <w:t xml:space="preserve"> 870.57(a). Their powers and duties are stated in </w:t>
      </w:r>
      <w:proofErr w:type="spellStart"/>
      <w:r w:rsidR="00E877C7" w:rsidRPr="00B30B96">
        <w:rPr>
          <w:sz w:val="24"/>
          <w:szCs w:val="24"/>
        </w:rPr>
        <w:t>Reg</w:t>
      </w:r>
      <w:proofErr w:type="spellEnd"/>
      <w:r w:rsidR="00E877C7" w:rsidRPr="00B30B96">
        <w:rPr>
          <w:sz w:val="24"/>
          <w:szCs w:val="24"/>
        </w:rPr>
        <w:t xml:space="preserve"> 870.55. The state exemption on</w:t>
      </w:r>
      <w:r w:rsidRPr="00B30B96">
        <w:rPr>
          <w:sz w:val="24"/>
          <w:szCs w:val="24"/>
        </w:rPr>
        <w:t xml:space="preserve"> </w:t>
      </w:r>
      <w:r w:rsidR="00E877C7" w:rsidRPr="00B30B96">
        <w:rPr>
          <w:sz w:val="24"/>
          <w:szCs w:val="24"/>
        </w:rPr>
        <w:t>garnishment amounts does not apply to the prohibition against discharge because wages were</w:t>
      </w:r>
      <w:r w:rsidRPr="00B30B96">
        <w:rPr>
          <w:sz w:val="24"/>
          <w:szCs w:val="24"/>
        </w:rPr>
        <w:t xml:space="preserve"> </w:t>
      </w:r>
      <w:r w:rsidR="00E877C7" w:rsidRPr="00B30B96">
        <w:rPr>
          <w:sz w:val="24"/>
          <w:szCs w:val="24"/>
        </w:rPr>
        <w:t>garnishe</w:t>
      </w:r>
      <w:r w:rsidRPr="00B30B96">
        <w:rPr>
          <w:sz w:val="24"/>
          <w:szCs w:val="24"/>
        </w:rPr>
        <w:t>d for any one debt. (See FOH 52v01.)</w:t>
      </w:r>
    </w:p>
    <w:p w:rsidR="00B30B96" w:rsidRDefault="00B30B96" w:rsidP="00B30B96">
      <w:pPr>
        <w:spacing w:after="0" w:line="240" w:lineRule="auto"/>
        <w:rPr>
          <w:sz w:val="24"/>
          <w:szCs w:val="24"/>
        </w:rPr>
      </w:pPr>
    </w:p>
    <w:p w:rsidR="00B30B96" w:rsidRPr="00B30B96" w:rsidRDefault="00B30B96" w:rsidP="00B30B96">
      <w:pPr>
        <w:spacing w:after="0" w:line="240" w:lineRule="auto"/>
        <w:rPr>
          <w:sz w:val="24"/>
          <w:szCs w:val="24"/>
        </w:rPr>
        <w:sectPr w:rsidR="00B30B96" w:rsidRPr="00B30B96" w:rsidSect="00ED737A">
          <w:headerReference w:type="default" r:id="rId9"/>
          <w:pgSz w:w="12240" w:h="15840"/>
          <w:pgMar w:top="1440" w:right="1440" w:bottom="1440" w:left="1440" w:header="720" w:footer="720" w:gutter="0"/>
          <w:cols w:space="720"/>
          <w:docGrid w:linePitch="360"/>
        </w:sectPr>
      </w:pPr>
    </w:p>
    <w:p w:rsidR="00430941" w:rsidRPr="00B30B96" w:rsidRDefault="00430941" w:rsidP="00A55756">
      <w:pPr>
        <w:spacing w:after="0" w:line="240" w:lineRule="auto"/>
        <w:rPr>
          <w:rFonts w:eastAsia="Times New Roman"/>
          <w:b/>
          <w:bCs/>
          <w:sz w:val="24"/>
          <w:szCs w:val="28"/>
        </w:rPr>
      </w:pPr>
      <w:r w:rsidRPr="00B30B96">
        <w:rPr>
          <w:rFonts w:eastAsia="Times New Roman"/>
          <w:b/>
          <w:bCs/>
          <w:sz w:val="24"/>
          <w:szCs w:val="28"/>
        </w:rPr>
        <w:lastRenderedPageBreak/>
        <w:t>16a05</w:t>
      </w:r>
      <w:r w:rsidR="00B30B96" w:rsidRPr="00B30B96">
        <w:rPr>
          <w:rFonts w:eastAsia="Times New Roman"/>
          <w:b/>
          <w:bCs/>
          <w:sz w:val="24"/>
          <w:szCs w:val="28"/>
        </w:rPr>
        <w:t xml:space="preserve"> - </w:t>
      </w:r>
      <w:r w:rsidRPr="00B30B96">
        <w:rPr>
          <w:rFonts w:eastAsia="Times New Roman"/>
          <w:b/>
          <w:bCs/>
          <w:sz w:val="24"/>
          <w:szCs w:val="28"/>
        </w:rPr>
        <w:t>Garnishments, wage attachments and federal administrative garnishments distinguished</w:t>
      </w:r>
      <w:r w:rsidR="00B30B96">
        <w:rPr>
          <w:rFonts w:eastAsia="Times New Roman"/>
          <w:b/>
          <w:bCs/>
          <w:sz w:val="24"/>
          <w:szCs w:val="28"/>
        </w:rPr>
        <w:t xml:space="preserve"> </w:t>
      </w:r>
      <w:r w:rsidRPr="00B30B96">
        <w:rPr>
          <w:rFonts w:eastAsia="Times New Roman"/>
          <w:b/>
          <w:bCs/>
          <w:sz w:val="24"/>
          <w:szCs w:val="28"/>
        </w:rPr>
        <w:t>from wage assignments.</w:t>
      </w:r>
    </w:p>
    <w:p w:rsidR="00430941" w:rsidRPr="00A55756" w:rsidRDefault="00430941" w:rsidP="00A55756">
      <w:pPr>
        <w:spacing w:after="0" w:line="240" w:lineRule="auto"/>
        <w:rPr>
          <w:sz w:val="24"/>
          <w:szCs w:val="24"/>
        </w:rPr>
      </w:pPr>
    </w:p>
    <w:p w:rsidR="00B30B96" w:rsidRDefault="00430941" w:rsidP="00807694">
      <w:pPr>
        <w:pStyle w:val="ListParagraph"/>
        <w:numPr>
          <w:ilvl w:val="0"/>
          <w:numId w:val="5"/>
        </w:numPr>
        <w:spacing w:after="0" w:line="240" w:lineRule="auto"/>
        <w:rPr>
          <w:sz w:val="24"/>
          <w:szCs w:val="24"/>
        </w:rPr>
      </w:pPr>
      <w:r w:rsidRPr="00B30B96">
        <w:rPr>
          <w:sz w:val="24"/>
          <w:szCs w:val="24"/>
        </w:rPr>
        <w:t>Sec 302(c) defines the term “garnishment” to mean, “</w:t>
      </w:r>
      <w:proofErr w:type="gramStart"/>
      <w:r w:rsidRPr="00B30B96">
        <w:rPr>
          <w:sz w:val="24"/>
          <w:szCs w:val="24"/>
        </w:rPr>
        <w:t>any</w:t>
      </w:r>
      <w:proofErr w:type="gramEnd"/>
      <w:r w:rsidRPr="00B30B96">
        <w:rPr>
          <w:sz w:val="24"/>
          <w:szCs w:val="24"/>
        </w:rPr>
        <w:t xml:space="preserve"> legal or equitable procedure through which the earnings of any individual are required to be withheld for payment of any debt.” Generally, this definition refers to a court proceeding.</w:t>
      </w:r>
    </w:p>
    <w:p w:rsidR="00B30B96" w:rsidRDefault="00B30B96" w:rsidP="00B30B96">
      <w:pPr>
        <w:pStyle w:val="ListParagraph"/>
        <w:spacing w:after="0" w:line="240" w:lineRule="auto"/>
        <w:rPr>
          <w:sz w:val="24"/>
          <w:szCs w:val="24"/>
        </w:rPr>
      </w:pPr>
    </w:p>
    <w:p w:rsidR="00B30B96" w:rsidRDefault="00430941" w:rsidP="00807694">
      <w:pPr>
        <w:pStyle w:val="ListParagraph"/>
        <w:numPr>
          <w:ilvl w:val="0"/>
          <w:numId w:val="5"/>
        </w:numPr>
        <w:spacing w:after="0" w:line="240" w:lineRule="auto"/>
        <w:rPr>
          <w:sz w:val="24"/>
          <w:szCs w:val="24"/>
        </w:rPr>
      </w:pPr>
      <w:r w:rsidRPr="00B30B96">
        <w:rPr>
          <w:sz w:val="24"/>
          <w:szCs w:val="24"/>
        </w:rPr>
        <w:t>WH regards a “wage attachment” for state, local/municipal or federal taxes as a “legal procedure” within the meaning of sec 302(c) of the Act. An Internal Revenue Service attachment of wages for taxes due is an example of a wage attachment. This is the case even though there may be no actual court proceeding involved in the tax lien or levy. (See FOH 16c01.) Accordingly, such attachments are garnishments for purposes of the discharge</w:t>
      </w:r>
      <w:r w:rsidR="000359C0" w:rsidRPr="00B30B96">
        <w:rPr>
          <w:sz w:val="24"/>
          <w:szCs w:val="24"/>
        </w:rPr>
        <w:t xml:space="preserve"> restriction in sec 304 of the CCPA.</w:t>
      </w:r>
    </w:p>
    <w:p w:rsidR="00B30B96" w:rsidRPr="00B30B96" w:rsidRDefault="00B30B96" w:rsidP="00B30B96">
      <w:pPr>
        <w:pStyle w:val="ListParagraph"/>
        <w:rPr>
          <w:sz w:val="24"/>
          <w:szCs w:val="24"/>
        </w:rPr>
      </w:pPr>
    </w:p>
    <w:p w:rsidR="00B30B96" w:rsidRDefault="00430941" w:rsidP="00807694">
      <w:pPr>
        <w:pStyle w:val="ListParagraph"/>
        <w:numPr>
          <w:ilvl w:val="0"/>
          <w:numId w:val="5"/>
        </w:numPr>
        <w:spacing w:after="0" w:line="240" w:lineRule="auto"/>
        <w:rPr>
          <w:sz w:val="24"/>
          <w:szCs w:val="24"/>
        </w:rPr>
      </w:pPr>
      <w:r w:rsidRPr="00B30B96">
        <w:rPr>
          <w:sz w:val="24"/>
          <w:szCs w:val="24"/>
        </w:rPr>
        <w:t>An “administrative garnishment</w:t>
      </w:r>
      <w:proofErr w:type="gramStart"/>
      <w:r w:rsidRPr="00B30B96">
        <w:rPr>
          <w:sz w:val="24"/>
          <w:szCs w:val="24"/>
        </w:rPr>
        <w:t>“ is</w:t>
      </w:r>
      <w:proofErr w:type="gramEnd"/>
      <w:r w:rsidRPr="00B30B96">
        <w:rPr>
          <w:sz w:val="24"/>
          <w:szCs w:val="24"/>
        </w:rPr>
        <w:t xml:space="preserve"> an amount of money</w:t>
      </w:r>
      <w:r w:rsidR="000359C0" w:rsidRPr="00B30B96">
        <w:rPr>
          <w:sz w:val="24"/>
          <w:szCs w:val="24"/>
        </w:rPr>
        <w:t xml:space="preserve"> withheld from a private sector </w:t>
      </w:r>
      <w:r w:rsidRPr="00B30B96">
        <w:rPr>
          <w:sz w:val="24"/>
          <w:szCs w:val="24"/>
        </w:rPr>
        <w:t xml:space="preserve">employee’s disposable earnings for the payment of </w:t>
      </w:r>
      <w:r w:rsidR="000359C0" w:rsidRPr="00B30B96">
        <w:rPr>
          <w:sz w:val="24"/>
          <w:szCs w:val="24"/>
        </w:rPr>
        <w:t xml:space="preserve">a non-tax debt owed the federal </w:t>
      </w:r>
      <w:r w:rsidRPr="00B30B96">
        <w:rPr>
          <w:sz w:val="24"/>
          <w:szCs w:val="24"/>
        </w:rPr>
        <w:t>government. Similar garnishments for federal employees are c</w:t>
      </w:r>
      <w:r w:rsidR="000359C0" w:rsidRPr="00B30B96">
        <w:rPr>
          <w:sz w:val="24"/>
          <w:szCs w:val="24"/>
        </w:rPr>
        <w:t xml:space="preserve">alled “salary offsets.” As used </w:t>
      </w:r>
      <w:r w:rsidRPr="00B30B96">
        <w:rPr>
          <w:sz w:val="24"/>
          <w:szCs w:val="24"/>
        </w:rPr>
        <w:t>in this chapter, the term “administrative garnishment” incl</w:t>
      </w:r>
      <w:r w:rsidR="000359C0" w:rsidRPr="00B30B96">
        <w:rPr>
          <w:sz w:val="24"/>
          <w:szCs w:val="24"/>
        </w:rPr>
        <w:t xml:space="preserve">udes “salary offsets.” Usually, </w:t>
      </w:r>
      <w:r w:rsidRPr="00B30B96">
        <w:rPr>
          <w:sz w:val="24"/>
          <w:szCs w:val="24"/>
        </w:rPr>
        <w:t>administrative garnishments are instituted for the repayment of loans, such as those granted</w:t>
      </w:r>
      <w:r w:rsidR="000359C0" w:rsidRPr="00B30B96">
        <w:rPr>
          <w:sz w:val="24"/>
          <w:szCs w:val="24"/>
        </w:rPr>
        <w:t xml:space="preserve"> </w:t>
      </w:r>
      <w:r w:rsidRPr="00B30B96">
        <w:rPr>
          <w:sz w:val="24"/>
          <w:szCs w:val="24"/>
        </w:rPr>
        <w:t xml:space="preserve">under the Federal Family Education Loan Program. </w:t>
      </w:r>
      <w:r w:rsidR="000359C0" w:rsidRPr="00B30B96">
        <w:rPr>
          <w:sz w:val="24"/>
          <w:szCs w:val="24"/>
        </w:rPr>
        <w:t xml:space="preserve">Administrative garnishments are </w:t>
      </w:r>
      <w:r w:rsidRPr="00B30B96">
        <w:rPr>
          <w:sz w:val="24"/>
          <w:szCs w:val="24"/>
        </w:rPr>
        <w:t>garnishments for purposes of the CCPA.</w:t>
      </w:r>
    </w:p>
    <w:p w:rsidR="00B30B96" w:rsidRPr="00B30B96" w:rsidRDefault="00B30B96" w:rsidP="00B30B96">
      <w:pPr>
        <w:pStyle w:val="ListParagraph"/>
        <w:rPr>
          <w:sz w:val="24"/>
          <w:szCs w:val="24"/>
        </w:rPr>
      </w:pPr>
    </w:p>
    <w:p w:rsidR="00B30B96" w:rsidRDefault="00430941" w:rsidP="00807694">
      <w:pPr>
        <w:pStyle w:val="ListParagraph"/>
        <w:numPr>
          <w:ilvl w:val="1"/>
          <w:numId w:val="5"/>
        </w:numPr>
        <w:spacing w:after="0" w:line="240" w:lineRule="auto"/>
        <w:rPr>
          <w:sz w:val="24"/>
          <w:szCs w:val="24"/>
        </w:rPr>
      </w:pPr>
      <w:r w:rsidRPr="00B30B96">
        <w:rPr>
          <w:sz w:val="24"/>
          <w:szCs w:val="24"/>
        </w:rPr>
        <w:t>They are authorized by and subject to the terms of the Debt Collection Improvement</w:t>
      </w:r>
      <w:r w:rsidR="000359C0" w:rsidRPr="00B30B96">
        <w:rPr>
          <w:sz w:val="24"/>
          <w:szCs w:val="24"/>
        </w:rPr>
        <w:t xml:space="preserve"> </w:t>
      </w:r>
      <w:r w:rsidRPr="00B30B96">
        <w:rPr>
          <w:sz w:val="24"/>
          <w:szCs w:val="24"/>
        </w:rPr>
        <w:t>Act (DCIA), 31 U.S.C. 3720D. For federal employees the terms are set at 5 U.S.C.</w:t>
      </w:r>
      <w:r w:rsidR="000359C0" w:rsidRPr="00B30B96">
        <w:rPr>
          <w:sz w:val="24"/>
          <w:szCs w:val="24"/>
        </w:rPr>
        <w:t xml:space="preserve"> </w:t>
      </w:r>
      <w:r w:rsidRPr="00B30B96">
        <w:rPr>
          <w:sz w:val="24"/>
          <w:szCs w:val="24"/>
        </w:rPr>
        <w:t xml:space="preserve">5514. These laws generally limit the </w:t>
      </w:r>
      <w:proofErr w:type="spellStart"/>
      <w:r w:rsidRPr="00B30B96">
        <w:rPr>
          <w:sz w:val="24"/>
          <w:szCs w:val="24"/>
        </w:rPr>
        <w:t>garnishable</w:t>
      </w:r>
      <w:proofErr w:type="spellEnd"/>
      <w:r w:rsidRPr="00B30B96">
        <w:rPr>
          <w:sz w:val="24"/>
          <w:szCs w:val="24"/>
        </w:rPr>
        <w:t xml:space="preserve"> amount to fifteen percent of</w:t>
      </w:r>
      <w:r w:rsidR="000359C0" w:rsidRPr="00B30B96">
        <w:rPr>
          <w:sz w:val="24"/>
          <w:szCs w:val="24"/>
        </w:rPr>
        <w:t xml:space="preserve"> </w:t>
      </w:r>
      <w:r w:rsidRPr="00B30B96">
        <w:rPr>
          <w:sz w:val="24"/>
          <w:szCs w:val="24"/>
        </w:rPr>
        <w:t>disposable earnings. (See (4) below.)</w:t>
      </w:r>
    </w:p>
    <w:p w:rsidR="00B30B96" w:rsidRDefault="00B30B96" w:rsidP="00B30B96">
      <w:pPr>
        <w:pStyle w:val="ListParagraph"/>
        <w:spacing w:after="0" w:line="240" w:lineRule="auto"/>
        <w:ind w:left="1440"/>
        <w:rPr>
          <w:sz w:val="24"/>
          <w:szCs w:val="24"/>
        </w:rPr>
      </w:pPr>
    </w:p>
    <w:p w:rsidR="00B30B96" w:rsidRDefault="00430941" w:rsidP="00807694">
      <w:pPr>
        <w:pStyle w:val="ListParagraph"/>
        <w:numPr>
          <w:ilvl w:val="1"/>
          <w:numId w:val="5"/>
        </w:numPr>
        <w:spacing w:after="0" w:line="240" w:lineRule="auto"/>
        <w:rPr>
          <w:sz w:val="24"/>
          <w:szCs w:val="24"/>
        </w:rPr>
      </w:pPr>
      <w:r w:rsidRPr="00B30B96">
        <w:rPr>
          <w:sz w:val="24"/>
          <w:szCs w:val="24"/>
        </w:rPr>
        <w:t>The Higher Education Act (HEA) authorizes guaranty agencies for student loans to</w:t>
      </w:r>
      <w:r w:rsidR="000359C0" w:rsidRPr="00B30B96">
        <w:rPr>
          <w:sz w:val="24"/>
          <w:szCs w:val="24"/>
        </w:rPr>
        <w:t xml:space="preserve"> </w:t>
      </w:r>
      <w:r w:rsidRPr="00B30B96">
        <w:rPr>
          <w:sz w:val="24"/>
          <w:szCs w:val="24"/>
        </w:rPr>
        <w:t>administratively garnish up to 10% of disposable earnings for defaulted student loans.</w:t>
      </w:r>
      <w:r w:rsidR="000359C0" w:rsidRPr="00B30B96">
        <w:rPr>
          <w:sz w:val="24"/>
          <w:szCs w:val="24"/>
        </w:rPr>
        <w:t xml:space="preserve"> </w:t>
      </w:r>
      <w:r w:rsidRPr="00B30B96">
        <w:rPr>
          <w:sz w:val="24"/>
          <w:szCs w:val="24"/>
        </w:rPr>
        <w:t>The Department of Education may garnish up to 15% under the DCIA.</w:t>
      </w:r>
    </w:p>
    <w:p w:rsidR="00B30B96" w:rsidRPr="00B30B96" w:rsidRDefault="00B30B96" w:rsidP="00B30B96">
      <w:pPr>
        <w:pStyle w:val="ListParagraph"/>
        <w:rPr>
          <w:sz w:val="24"/>
          <w:szCs w:val="24"/>
        </w:rPr>
      </w:pPr>
    </w:p>
    <w:p w:rsidR="00B30B96" w:rsidRDefault="00430941" w:rsidP="00807694">
      <w:pPr>
        <w:pStyle w:val="ListParagraph"/>
        <w:numPr>
          <w:ilvl w:val="1"/>
          <w:numId w:val="5"/>
        </w:numPr>
        <w:spacing w:after="0" w:line="240" w:lineRule="auto"/>
        <w:rPr>
          <w:sz w:val="24"/>
          <w:szCs w:val="24"/>
        </w:rPr>
      </w:pPr>
      <w:r w:rsidRPr="00B30B96">
        <w:rPr>
          <w:sz w:val="24"/>
          <w:szCs w:val="24"/>
        </w:rPr>
        <w:t>WH has no enforcement authority with respect to such withholdings, provided they are</w:t>
      </w:r>
      <w:r w:rsidR="000359C0" w:rsidRPr="00B30B96">
        <w:rPr>
          <w:sz w:val="24"/>
          <w:szCs w:val="24"/>
        </w:rPr>
        <w:t xml:space="preserve"> </w:t>
      </w:r>
      <w:r w:rsidRPr="00B30B96">
        <w:rPr>
          <w:sz w:val="24"/>
          <w:szCs w:val="24"/>
        </w:rPr>
        <w:t>within the CCPA’s limits. Questions over the amount of withholding on an</w:t>
      </w:r>
      <w:r w:rsidR="000359C0" w:rsidRPr="00B30B96">
        <w:rPr>
          <w:sz w:val="24"/>
          <w:szCs w:val="24"/>
        </w:rPr>
        <w:t xml:space="preserve"> </w:t>
      </w:r>
      <w:r w:rsidRPr="00B30B96">
        <w:rPr>
          <w:sz w:val="24"/>
          <w:szCs w:val="24"/>
        </w:rPr>
        <w:t>administrative garnishment, where no CCPA violations are indicated, should be</w:t>
      </w:r>
      <w:r w:rsidR="000359C0" w:rsidRPr="00B30B96">
        <w:rPr>
          <w:sz w:val="24"/>
          <w:szCs w:val="24"/>
        </w:rPr>
        <w:t xml:space="preserve"> </w:t>
      </w:r>
      <w:r w:rsidRPr="00B30B96">
        <w:rPr>
          <w:sz w:val="24"/>
          <w:szCs w:val="24"/>
        </w:rPr>
        <w:t>referred to the agency initiating the w</w:t>
      </w:r>
      <w:r w:rsidR="000359C0" w:rsidRPr="00B30B96">
        <w:rPr>
          <w:sz w:val="24"/>
          <w:szCs w:val="24"/>
        </w:rPr>
        <w:t xml:space="preserve">ithholding action. (See FOH </w:t>
      </w:r>
      <w:proofErr w:type="gramStart"/>
      <w:r w:rsidR="000359C0" w:rsidRPr="00B30B96">
        <w:rPr>
          <w:sz w:val="24"/>
          <w:szCs w:val="24"/>
        </w:rPr>
        <w:t>16a0</w:t>
      </w:r>
      <w:r w:rsidRPr="00B30B96">
        <w:rPr>
          <w:sz w:val="24"/>
          <w:szCs w:val="24"/>
        </w:rPr>
        <w:t>l(</w:t>
      </w:r>
      <w:proofErr w:type="gramEnd"/>
      <w:r w:rsidRPr="00B30B96">
        <w:rPr>
          <w:sz w:val="24"/>
          <w:szCs w:val="24"/>
        </w:rPr>
        <w:t>b).)</w:t>
      </w:r>
    </w:p>
    <w:p w:rsidR="00B30B96" w:rsidRPr="00B30B96" w:rsidRDefault="00B30B96" w:rsidP="00B30B96">
      <w:pPr>
        <w:pStyle w:val="ListParagraph"/>
        <w:rPr>
          <w:sz w:val="24"/>
          <w:szCs w:val="24"/>
        </w:rPr>
      </w:pPr>
    </w:p>
    <w:p w:rsidR="00B30B96" w:rsidRDefault="00430941" w:rsidP="00807694">
      <w:pPr>
        <w:pStyle w:val="ListParagraph"/>
        <w:numPr>
          <w:ilvl w:val="1"/>
          <w:numId w:val="5"/>
        </w:numPr>
        <w:spacing w:after="0" w:line="240" w:lineRule="auto"/>
        <w:rPr>
          <w:sz w:val="24"/>
          <w:szCs w:val="24"/>
        </w:rPr>
      </w:pPr>
      <w:r w:rsidRPr="00B30B96">
        <w:rPr>
          <w:sz w:val="24"/>
          <w:szCs w:val="24"/>
        </w:rPr>
        <w:t>When a debtor agrees in writing to allow withholding of an amount greater than the</w:t>
      </w:r>
      <w:r w:rsidR="00035A90" w:rsidRPr="00B30B96">
        <w:rPr>
          <w:sz w:val="24"/>
          <w:szCs w:val="24"/>
        </w:rPr>
        <w:t xml:space="preserve"> </w:t>
      </w:r>
      <w:r w:rsidRPr="00B30B96">
        <w:rPr>
          <w:sz w:val="24"/>
          <w:szCs w:val="24"/>
        </w:rPr>
        <w:t>DCIA or HEA limits, the deductions are considered wage assignments. (See (d)</w:t>
      </w:r>
      <w:r w:rsidR="00035A90" w:rsidRPr="00B30B96">
        <w:rPr>
          <w:sz w:val="24"/>
          <w:szCs w:val="24"/>
        </w:rPr>
        <w:t xml:space="preserve"> </w:t>
      </w:r>
      <w:r w:rsidR="00C801D0" w:rsidRPr="00B30B96">
        <w:rPr>
          <w:sz w:val="24"/>
          <w:szCs w:val="24"/>
        </w:rPr>
        <w:t>below.</w:t>
      </w:r>
      <w:r w:rsidRPr="00B30B96">
        <w:rPr>
          <w:sz w:val="24"/>
          <w:szCs w:val="24"/>
        </w:rPr>
        <w:t>)</w:t>
      </w:r>
    </w:p>
    <w:p w:rsidR="00B30B96" w:rsidRPr="00B30B96" w:rsidRDefault="00B30B96" w:rsidP="00B30B96">
      <w:pPr>
        <w:pStyle w:val="ListParagraph"/>
        <w:rPr>
          <w:sz w:val="24"/>
          <w:szCs w:val="24"/>
        </w:rPr>
      </w:pPr>
    </w:p>
    <w:p w:rsidR="00430941" w:rsidRPr="00B30B96" w:rsidRDefault="00430941" w:rsidP="00807694">
      <w:pPr>
        <w:pStyle w:val="ListParagraph"/>
        <w:numPr>
          <w:ilvl w:val="0"/>
          <w:numId w:val="5"/>
        </w:numPr>
        <w:spacing w:after="0" w:line="240" w:lineRule="auto"/>
        <w:rPr>
          <w:sz w:val="24"/>
          <w:szCs w:val="24"/>
        </w:rPr>
      </w:pPr>
      <w:r w:rsidRPr="00B30B96">
        <w:rPr>
          <w:sz w:val="24"/>
          <w:szCs w:val="24"/>
        </w:rPr>
        <w:t>A “wage assignment” is a voluntary transfer of the right to receive wages. It is ordinarily a</w:t>
      </w:r>
      <w:r w:rsidR="00035A90" w:rsidRPr="00B30B96">
        <w:rPr>
          <w:sz w:val="24"/>
          <w:szCs w:val="24"/>
        </w:rPr>
        <w:t xml:space="preserve"> </w:t>
      </w:r>
      <w:r w:rsidRPr="00B30B96">
        <w:rPr>
          <w:sz w:val="24"/>
          <w:szCs w:val="24"/>
        </w:rPr>
        <w:t>private transaction accomplished through a contract, without any court compulsion. A wage</w:t>
      </w:r>
      <w:r w:rsidR="00035A90" w:rsidRPr="00B30B96">
        <w:rPr>
          <w:sz w:val="24"/>
          <w:szCs w:val="24"/>
        </w:rPr>
        <w:t xml:space="preserve"> </w:t>
      </w:r>
      <w:r w:rsidRPr="00B30B96">
        <w:rPr>
          <w:sz w:val="24"/>
          <w:szCs w:val="24"/>
        </w:rPr>
        <w:t>assignment is not a garnishment within the meaning of the CCPA.</w:t>
      </w:r>
    </w:p>
    <w:p w:rsidR="00035A90" w:rsidRPr="00A55756" w:rsidRDefault="00035A90" w:rsidP="00A55756">
      <w:pPr>
        <w:spacing w:after="0" w:line="240" w:lineRule="auto"/>
        <w:rPr>
          <w:sz w:val="24"/>
          <w:szCs w:val="24"/>
        </w:rPr>
      </w:pPr>
    </w:p>
    <w:p w:rsidR="00035A90" w:rsidRPr="00A55756" w:rsidRDefault="00035A90" w:rsidP="00A55756">
      <w:pPr>
        <w:spacing w:after="0" w:line="240" w:lineRule="auto"/>
        <w:rPr>
          <w:sz w:val="24"/>
          <w:szCs w:val="24"/>
        </w:rPr>
      </w:pPr>
      <w:r w:rsidRPr="00B30B96">
        <w:rPr>
          <w:rFonts w:eastAsia="Times New Roman"/>
          <w:b/>
          <w:bCs/>
          <w:sz w:val="24"/>
          <w:szCs w:val="28"/>
        </w:rPr>
        <w:t>16a06</w:t>
      </w:r>
      <w:r w:rsidR="00B30B96" w:rsidRPr="00B30B96">
        <w:rPr>
          <w:rFonts w:eastAsia="Times New Roman"/>
          <w:b/>
          <w:bCs/>
          <w:sz w:val="24"/>
          <w:szCs w:val="28"/>
        </w:rPr>
        <w:t xml:space="preserve"> - </w:t>
      </w:r>
      <w:r w:rsidRPr="00B30B96">
        <w:rPr>
          <w:rFonts w:eastAsia="Times New Roman"/>
          <w:b/>
          <w:bCs/>
          <w:sz w:val="24"/>
          <w:szCs w:val="28"/>
        </w:rPr>
        <w:t>Restrictions of the CCPA are self-executing.</w:t>
      </w:r>
    </w:p>
    <w:p w:rsidR="00035A90" w:rsidRPr="00A55756" w:rsidRDefault="00035A90" w:rsidP="00A55756">
      <w:pPr>
        <w:spacing w:after="0" w:line="240" w:lineRule="auto"/>
        <w:rPr>
          <w:sz w:val="24"/>
          <w:szCs w:val="24"/>
        </w:rPr>
      </w:pPr>
    </w:p>
    <w:p w:rsidR="00035A90" w:rsidRPr="00226191" w:rsidRDefault="00035A90" w:rsidP="00226191">
      <w:pPr>
        <w:pStyle w:val="ListParagraph"/>
        <w:spacing w:after="0" w:line="240" w:lineRule="auto"/>
        <w:rPr>
          <w:sz w:val="24"/>
          <w:szCs w:val="24"/>
        </w:rPr>
      </w:pPr>
      <w:r w:rsidRPr="00226191">
        <w:rPr>
          <w:sz w:val="24"/>
          <w:szCs w:val="24"/>
        </w:rPr>
        <w:lastRenderedPageBreak/>
        <w:t>The garnishment restrictions of both sections 303 and 304 of the CCPA were enacted for the protection of the public generally. They are enforced as matters of public, as well as private, rights and thus do not have to be raised affirmatively. This differs from garnishment limitations of state laws framed as exemptions, designed solely for the protection of individual rights. Such state exemptions are privileges that must be pled affirmatively and, therefore, may be waived.</w:t>
      </w:r>
    </w:p>
    <w:p w:rsidR="00E70355" w:rsidRPr="00A55756" w:rsidRDefault="00E70355" w:rsidP="00A55756">
      <w:pPr>
        <w:spacing w:after="0" w:line="240" w:lineRule="auto"/>
        <w:rPr>
          <w:sz w:val="24"/>
          <w:szCs w:val="24"/>
        </w:rPr>
      </w:pPr>
    </w:p>
    <w:p w:rsidR="00035A90" w:rsidRPr="00B30B96" w:rsidRDefault="00035A90" w:rsidP="00A55756">
      <w:pPr>
        <w:spacing w:after="0" w:line="240" w:lineRule="auto"/>
        <w:rPr>
          <w:rFonts w:eastAsia="Times New Roman"/>
          <w:b/>
          <w:bCs/>
          <w:sz w:val="24"/>
          <w:szCs w:val="28"/>
        </w:rPr>
      </w:pPr>
      <w:proofErr w:type="gramStart"/>
      <w:r w:rsidRPr="00B30B96">
        <w:rPr>
          <w:rFonts w:eastAsia="Times New Roman"/>
          <w:b/>
          <w:bCs/>
          <w:sz w:val="24"/>
          <w:szCs w:val="28"/>
        </w:rPr>
        <w:t>16a07</w:t>
      </w:r>
      <w:r w:rsidR="00B30B96" w:rsidRPr="00B30B96">
        <w:rPr>
          <w:rFonts w:eastAsia="Times New Roman"/>
          <w:b/>
          <w:bCs/>
          <w:sz w:val="24"/>
          <w:szCs w:val="28"/>
        </w:rPr>
        <w:t xml:space="preserve"> - </w:t>
      </w:r>
      <w:r w:rsidRPr="00B30B96">
        <w:rPr>
          <w:rFonts w:eastAsia="Times New Roman"/>
          <w:b/>
          <w:bCs/>
          <w:sz w:val="24"/>
          <w:szCs w:val="28"/>
        </w:rPr>
        <w:t>Applicability of the CCPA to tips and gratuities.</w:t>
      </w:r>
      <w:proofErr w:type="gramEnd"/>
    </w:p>
    <w:p w:rsidR="00035A90" w:rsidRPr="00A55756" w:rsidRDefault="00035A90" w:rsidP="00A55756">
      <w:pPr>
        <w:spacing w:after="0" w:line="240" w:lineRule="auto"/>
        <w:rPr>
          <w:sz w:val="24"/>
          <w:szCs w:val="24"/>
        </w:rPr>
      </w:pPr>
    </w:p>
    <w:p w:rsidR="00226191" w:rsidRDefault="00035A90" w:rsidP="00226191">
      <w:pPr>
        <w:pStyle w:val="ListParagraph"/>
        <w:spacing w:after="0" w:line="240" w:lineRule="auto"/>
        <w:rPr>
          <w:sz w:val="24"/>
          <w:szCs w:val="24"/>
        </w:rPr>
      </w:pPr>
      <w:r w:rsidRPr="00226191">
        <w:rPr>
          <w:sz w:val="24"/>
          <w:szCs w:val="24"/>
        </w:rPr>
        <w:t>The application of garnishments to tips and gratuities under the CCPA is similar to the treatment of their ownership under the FLSA.</w:t>
      </w:r>
    </w:p>
    <w:p w:rsidR="00226191" w:rsidRDefault="00226191" w:rsidP="00226191">
      <w:pPr>
        <w:pStyle w:val="ListParagraph"/>
        <w:spacing w:after="0" w:line="240" w:lineRule="auto"/>
        <w:rPr>
          <w:sz w:val="24"/>
          <w:szCs w:val="24"/>
        </w:rPr>
      </w:pPr>
    </w:p>
    <w:p w:rsidR="00226191" w:rsidRDefault="00226191" w:rsidP="00807694">
      <w:pPr>
        <w:pStyle w:val="ListParagraph"/>
        <w:numPr>
          <w:ilvl w:val="0"/>
          <w:numId w:val="6"/>
        </w:numPr>
        <w:spacing w:after="0" w:line="240" w:lineRule="auto"/>
        <w:rPr>
          <w:sz w:val="24"/>
          <w:szCs w:val="24"/>
        </w:rPr>
      </w:pPr>
      <w:r w:rsidRPr="00226191">
        <w:rPr>
          <w:sz w:val="24"/>
          <w:szCs w:val="24"/>
        </w:rPr>
        <w:t>B</w:t>
      </w:r>
      <w:r w:rsidR="00035A90" w:rsidRPr="00226191">
        <w:rPr>
          <w:sz w:val="24"/>
          <w:szCs w:val="24"/>
        </w:rPr>
        <w:t>ona fide tips are not subject to the provisions of the CCPA. A garnishment is inherently a</w:t>
      </w:r>
      <w:r w:rsidR="004F2F74" w:rsidRPr="00226191">
        <w:rPr>
          <w:sz w:val="24"/>
          <w:szCs w:val="24"/>
        </w:rPr>
        <w:t xml:space="preserve"> </w:t>
      </w:r>
      <w:r w:rsidR="00035A90" w:rsidRPr="00226191">
        <w:rPr>
          <w:sz w:val="24"/>
          <w:szCs w:val="24"/>
        </w:rPr>
        <w:t>procedural device designed to reach and sequester earnings held by the garnishee (usually the</w:t>
      </w:r>
      <w:r w:rsidR="004F2F74" w:rsidRPr="00226191">
        <w:rPr>
          <w:sz w:val="24"/>
          <w:szCs w:val="24"/>
        </w:rPr>
        <w:t xml:space="preserve"> </w:t>
      </w:r>
      <w:r w:rsidR="00035A90" w:rsidRPr="00226191">
        <w:rPr>
          <w:sz w:val="24"/>
          <w:szCs w:val="24"/>
        </w:rPr>
        <w:t>employer). Tips paid directly to an employee by a customer are not “earnings” within the</w:t>
      </w:r>
      <w:r w:rsidR="004F2F74" w:rsidRPr="00226191">
        <w:rPr>
          <w:sz w:val="24"/>
          <w:szCs w:val="24"/>
        </w:rPr>
        <w:t xml:space="preserve"> meaning of sec</w:t>
      </w:r>
      <w:r w:rsidR="00035A90" w:rsidRPr="00226191">
        <w:rPr>
          <w:sz w:val="24"/>
          <w:szCs w:val="24"/>
        </w:rPr>
        <w:t xml:space="preserve"> 302 of the CCPA, since they do not pass to the employer. This includes</w:t>
      </w:r>
      <w:r w:rsidR="004F2F74" w:rsidRPr="00226191">
        <w:rPr>
          <w:sz w:val="24"/>
          <w:szCs w:val="24"/>
        </w:rPr>
        <w:t xml:space="preserve"> </w:t>
      </w:r>
      <w:r w:rsidR="00035A90" w:rsidRPr="00226191">
        <w:rPr>
          <w:sz w:val="24"/>
          <w:szCs w:val="24"/>
        </w:rPr>
        <w:t>gratuities transferred free and clear to an employee at the direction of credit customers who</w:t>
      </w:r>
      <w:r w:rsidR="004F2F74" w:rsidRPr="00226191">
        <w:rPr>
          <w:sz w:val="24"/>
          <w:szCs w:val="24"/>
        </w:rPr>
        <w:t xml:space="preserve"> </w:t>
      </w:r>
      <w:r w:rsidR="00035A90" w:rsidRPr="00226191">
        <w:rPr>
          <w:sz w:val="24"/>
          <w:szCs w:val="24"/>
        </w:rPr>
        <w:t>add tips to the bill.</w:t>
      </w:r>
    </w:p>
    <w:p w:rsidR="00226191" w:rsidRDefault="00226191" w:rsidP="00226191">
      <w:pPr>
        <w:pStyle w:val="ListParagraph"/>
        <w:spacing w:after="0" w:line="240" w:lineRule="auto"/>
        <w:rPr>
          <w:sz w:val="24"/>
          <w:szCs w:val="24"/>
        </w:rPr>
      </w:pPr>
    </w:p>
    <w:p w:rsidR="00226191" w:rsidRDefault="00035A90" w:rsidP="00807694">
      <w:pPr>
        <w:pStyle w:val="ListParagraph"/>
        <w:numPr>
          <w:ilvl w:val="0"/>
          <w:numId w:val="6"/>
        </w:numPr>
        <w:spacing w:after="0" w:line="240" w:lineRule="auto"/>
        <w:rPr>
          <w:sz w:val="24"/>
          <w:szCs w:val="24"/>
        </w:rPr>
      </w:pPr>
      <w:r w:rsidRPr="00226191">
        <w:rPr>
          <w:sz w:val="24"/>
          <w:szCs w:val="24"/>
        </w:rPr>
        <w:t>Service charges added to a customer’s bill constitute “ear</w:t>
      </w:r>
      <w:r w:rsidR="004F2F74" w:rsidRPr="00226191">
        <w:rPr>
          <w:sz w:val="24"/>
          <w:szCs w:val="24"/>
        </w:rPr>
        <w:t>nings” within the meaning of sec</w:t>
      </w:r>
      <w:r w:rsidRPr="00226191">
        <w:rPr>
          <w:sz w:val="24"/>
          <w:szCs w:val="24"/>
        </w:rPr>
        <w:t xml:space="preserve"> 302</w:t>
      </w:r>
      <w:r w:rsidR="004F2F74" w:rsidRPr="00226191">
        <w:rPr>
          <w:sz w:val="24"/>
          <w:szCs w:val="24"/>
        </w:rPr>
        <w:t xml:space="preserve"> </w:t>
      </w:r>
      <w:r w:rsidRPr="00226191">
        <w:rPr>
          <w:sz w:val="24"/>
          <w:szCs w:val="24"/>
        </w:rPr>
        <w:t>when passed on to the employee. As such, they are subject to the provisions of the CCPA.</w:t>
      </w:r>
      <w:r w:rsidR="004F2F74" w:rsidRPr="00226191">
        <w:rPr>
          <w:sz w:val="24"/>
          <w:szCs w:val="24"/>
        </w:rPr>
        <w:t xml:space="preserve"> </w:t>
      </w:r>
      <w:r w:rsidRPr="00226191">
        <w:rPr>
          <w:sz w:val="24"/>
          <w:szCs w:val="24"/>
        </w:rPr>
        <w:t>The following examples demonstrate the point.</w:t>
      </w:r>
    </w:p>
    <w:p w:rsidR="00226191" w:rsidRPr="00226191" w:rsidRDefault="00226191" w:rsidP="00226191">
      <w:pPr>
        <w:pStyle w:val="ListParagraph"/>
        <w:rPr>
          <w:sz w:val="24"/>
          <w:szCs w:val="24"/>
        </w:rPr>
      </w:pPr>
    </w:p>
    <w:p w:rsidR="00226191" w:rsidRDefault="00035A90" w:rsidP="00807694">
      <w:pPr>
        <w:pStyle w:val="ListParagraph"/>
        <w:numPr>
          <w:ilvl w:val="1"/>
          <w:numId w:val="6"/>
        </w:numPr>
        <w:spacing w:after="0" w:line="240" w:lineRule="auto"/>
        <w:rPr>
          <w:sz w:val="24"/>
          <w:szCs w:val="24"/>
        </w:rPr>
      </w:pPr>
      <w:r w:rsidRPr="00226191">
        <w:rPr>
          <w:sz w:val="24"/>
          <w:szCs w:val="24"/>
        </w:rPr>
        <w:t>A restaurant charges a customer 15% of the check, as a service charge, and in turn</w:t>
      </w:r>
      <w:r w:rsidR="004F2F74" w:rsidRPr="00226191">
        <w:rPr>
          <w:sz w:val="24"/>
          <w:szCs w:val="24"/>
        </w:rPr>
        <w:t xml:space="preserve"> </w:t>
      </w:r>
      <w:r w:rsidRPr="00226191">
        <w:rPr>
          <w:sz w:val="24"/>
          <w:szCs w:val="24"/>
        </w:rPr>
        <w:t>pays this amount to the server (debtor). Since this is an automatic charge, there is no</w:t>
      </w:r>
      <w:r w:rsidR="004F2F74" w:rsidRPr="00226191">
        <w:rPr>
          <w:sz w:val="24"/>
          <w:szCs w:val="24"/>
        </w:rPr>
        <w:t xml:space="preserve"> </w:t>
      </w:r>
      <w:r w:rsidRPr="00226191">
        <w:rPr>
          <w:sz w:val="24"/>
          <w:szCs w:val="24"/>
        </w:rPr>
        <w:t>gratuity by the customer. The compensation passed from the employer (garnishee) to</w:t>
      </w:r>
      <w:r w:rsidR="004F2F74" w:rsidRPr="00226191">
        <w:rPr>
          <w:sz w:val="24"/>
          <w:szCs w:val="24"/>
        </w:rPr>
        <w:t xml:space="preserve"> </w:t>
      </w:r>
      <w:r w:rsidRPr="00226191">
        <w:rPr>
          <w:sz w:val="24"/>
          <w:szCs w:val="24"/>
        </w:rPr>
        <w:t>the server.</w:t>
      </w:r>
    </w:p>
    <w:p w:rsidR="00226191" w:rsidRDefault="00226191" w:rsidP="00226191">
      <w:pPr>
        <w:pStyle w:val="ListParagraph"/>
        <w:spacing w:after="0" w:line="240" w:lineRule="auto"/>
        <w:ind w:left="1440"/>
        <w:rPr>
          <w:sz w:val="24"/>
          <w:szCs w:val="24"/>
        </w:rPr>
      </w:pPr>
    </w:p>
    <w:p w:rsidR="00035A90" w:rsidRPr="00226191" w:rsidRDefault="00035A90" w:rsidP="00807694">
      <w:pPr>
        <w:pStyle w:val="ListParagraph"/>
        <w:numPr>
          <w:ilvl w:val="1"/>
          <w:numId w:val="6"/>
        </w:numPr>
        <w:spacing w:after="0" w:line="240" w:lineRule="auto"/>
        <w:rPr>
          <w:sz w:val="24"/>
          <w:szCs w:val="24"/>
        </w:rPr>
      </w:pPr>
      <w:r w:rsidRPr="00226191">
        <w:rPr>
          <w:sz w:val="24"/>
          <w:szCs w:val="24"/>
        </w:rPr>
        <w:t>The employment agreement is such that the customer’s tips belong to the employer</w:t>
      </w:r>
      <w:r w:rsidR="004F2F74" w:rsidRPr="00226191">
        <w:rPr>
          <w:sz w:val="24"/>
          <w:szCs w:val="24"/>
        </w:rPr>
        <w:t xml:space="preserve"> </w:t>
      </w:r>
      <w:r w:rsidRPr="00226191">
        <w:rPr>
          <w:sz w:val="24"/>
          <w:szCs w:val="24"/>
        </w:rPr>
        <w:t>and must be credited or turned over to the employer.</w:t>
      </w:r>
    </w:p>
    <w:p w:rsidR="00E70355" w:rsidRPr="00A55756" w:rsidRDefault="00E70355" w:rsidP="00A55756">
      <w:pPr>
        <w:spacing w:after="0" w:line="240" w:lineRule="auto"/>
        <w:rPr>
          <w:sz w:val="24"/>
          <w:szCs w:val="24"/>
        </w:rPr>
      </w:pPr>
    </w:p>
    <w:p w:rsidR="00035A90" w:rsidRPr="00B30B96" w:rsidRDefault="004F2F74" w:rsidP="00A55756">
      <w:pPr>
        <w:spacing w:after="0" w:line="240" w:lineRule="auto"/>
        <w:rPr>
          <w:rFonts w:eastAsia="Times New Roman"/>
          <w:b/>
          <w:bCs/>
          <w:sz w:val="24"/>
          <w:szCs w:val="28"/>
        </w:rPr>
      </w:pPr>
      <w:proofErr w:type="gramStart"/>
      <w:r w:rsidRPr="00B30B96">
        <w:rPr>
          <w:rFonts w:eastAsia="Times New Roman"/>
          <w:b/>
          <w:bCs/>
          <w:sz w:val="24"/>
          <w:szCs w:val="28"/>
        </w:rPr>
        <w:t>16a08</w:t>
      </w:r>
      <w:r w:rsidR="00B30B96" w:rsidRPr="00B30B96">
        <w:rPr>
          <w:rFonts w:eastAsia="Times New Roman"/>
          <w:b/>
          <w:bCs/>
          <w:sz w:val="24"/>
          <w:szCs w:val="28"/>
        </w:rPr>
        <w:t xml:space="preserve"> - </w:t>
      </w:r>
      <w:r w:rsidR="00035A90" w:rsidRPr="00B30B96">
        <w:rPr>
          <w:rFonts w:eastAsia="Times New Roman"/>
          <w:b/>
          <w:bCs/>
          <w:sz w:val="24"/>
          <w:szCs w:val="28"/>
        </w:rPr>
        <w:t>Garnishment of federal employees.</w:t>
      </w:r>
      <w:proofErr w:type="gramEnd"/>
    </w:p>
    <w:p w:rsidR="004F2F74" w:rsidRPr="00A55756" w:rsidRDefault="004F2F74" w:rsidP="00A55756">
      <w:pPr>
        <w:spacing w:after="0" w:line="240" w:lineRule="auto"/>
        <w:rPr>
          <w:sz w:val="24"/>
          <w:szCs w:val="24"/>
        </w:rPr>
      </w:pPr>
    </w:p>
    <w:p w:rsidR="00035A90" w:rsidRPr="00226191" w:rsidRDefault="00035A90" w:rsidP="00226191">
      <w:pPr>
        <w:pStyle w:val="ListParagraph"/>
        <w:spacing w:after="0" w:line="240" w:lineRule="auto"/>
        <w:rPr>
          <w:sz w:val="24"/>
          <w:szCs w:val="24"/>
        </w:rPr>
      </w:pPr>
      <w:r w:rsidRPr="00226191">
        <w:rPr>
          <w:sz w:val="24"/>
          <w:szCs w:val="24"/>
        </w:rPr>
        <w:t>There are only very minor distinctions between federal and non-federal employees with</w:t>
      </w:r>
      <w:r w:rsidR="004F2F74" w:rsidRPr="00226191">
        <w:rPr>
          <w:sz w:val="24"/>
          <w:szCs w:val="24"/>
        </w:rPr>
        <w:t xml:space="preserve"> </w:t>
      </w:r>
      <w:r w:rsidRPr="00226191">
        <w:rPr>
          <w:sz w:val="24"/>
          <w:szCs w:val="24"/>
        </w:rPr>
        <w:t>respect to the reasons for or the amounts subject to garnishment. The Hatch Act Reform</w:t>
      </w:r>
      <w:r w:rsidR="004F2F74" w:rsidRPr="00226191">
        <w:rPr>
          <w:sz w:val="24"/>
          <w:szCs w:val="24"/>
        </w:rPr>
        <w:t xml:space="preserve"> </w:t>
      </w:r>
      <w:r w:rsidRPr="00226191">
        <w:rPr>
          <w:sz w:val="24"/>
          <w:szCs w:val="24"/>
        </w:rPr>
        <w:t>Amendments of 1993 included provisions allowing the wages of federal employees to be</w:t>
      </w:r>
      <w:r w:rsidR="004F2F74" w:rsidRPr="00226191">
        <w:rPr>
          <w:sz w:val="24"/>
          <w:szCs w:val="24"/>
        </w:rPr>
        <w:t xml:space="preserve"> </w:t>
      </w:r>
      <w:r w:rsidRPr="00226191">
        <w:rPr>
          <w:sz w:val="24"/>
          <w:szCs w:val="24"/>
        </w:rPr>
        <w:t>garnished for the same purposes as other individuals</w:t>
      </w:r>
      <w:r w:rsidR="004F2F74" w:rsidRPr="00226191">
        <w:rPr>
          <w:sz w:val="24"/>
          <w:szCs w:val="24"/>
        </w:rPr>
        <w:t xml:space="preserve">. The garnishment of a federal </w:t>
      </w:r>
      <w:r w:rsidRPr="00226191">
        <w:rPr>
          <w:sz w:val="24"/>
          <w:szCs w:val="24"/>
        </w:rPr>
        <w:t>employee’s wages is s</w:t>
      </w:r>
      <w:r w:rsidR="004F2F74" w:rsidRPr="00226191">
        <w:rPr>
          <w:sz w:val="24"/>
          <w:szCs w:val="24"/>
        </w:rPr>
        <w:t xml:space="preserve">ubject to the provisions of sec </w:t>
      </w:r>
      <w:r w:rsidRPr="00226191">
        <w:rPr>
          <w:sz w:val="24"/>
          <w:szCs w:val="24"/>
        </w:rPr>
        <w:t>303 of the CCPA, in the same manner</w:t>
      </w:r>
      <w:r w:rsidR="004F2F74" w:rsidRPr="00226191">
        <w:rPr>
          <w:sz w:val="24"/>
          <w:szCs w:val="24"/>
        </w:rPr>
        <w:t xml:space="preserve"> </w:t>
      </w:r>
      <w:r w:rsidRPr="00226191">
        <w:rPr>
          <w:sz w:val="24"/>
          <w:szCs w:val="24"/>
        </w:rPr>
        <w:t>and to the same extent as if the agency wer</w:t>
      </w:r>
      <w:r w:rsidR="00A65D6B" w:rsidRPr="00226191">
        <w:rPr>
          <w:sz w:val="24"/>
          <w:szCs w:val="24"/>
        </w:rPr>
        <w:t>e a private person. (See FOH 52v</w:t>
      </w:r>
      <w:r w:rsidRPr="00226191">
        <w:rPr>
          <w:sz w:val="24"/>
          <w:szCs w:val="24"/>
        </w:rPr>
        <w:t>03.)</w:t>
      </w:r>
    </w:p>
    <w:p w:rsidR="00A65D6B" w:rsidRPr="00A55756" w:rsidRDefault="00A65D6B" w:rsidP="00A55756">
      <w:pPr>
        <w:spacing w:after="0" w:line="240" w:lineRule="auto"/>
        <w:rPr>
          <w:sz w:val="24"/>
          <w:szCs w:val="24"/>
        </w:rPr>
      </w:pPr>
    </w:p>
    <w:p w:rsidR="00E70355" w:rsidRPr="00A55756" w:rsidRDefault="00E70355" w:rsidP="00A55756">
      <w:pPr>
        <w:spacing w:after="0" w:line="240" w:lineRule="auto"/>
        <w:rPr>
          <w:sz w:val="24"/>
          <w:szCs w:val="24"/>
        </w:rPr>
      </w:pPr>
    </w:p>
    <w:p w:rsidR="00A65D6B" w:rsidRPr="00B30B96" w:rsidRDefault="00A65D6B" w:rsidP="00A55756">
      <w:pPr>
        <w:spacing w:after="0" w:line="240" w:lineRule="auto"/>
        <w:rPr>
          <w:rFonts w:eastAsia="Times New Roman"/>
          <w:b/>
          <w:bCs/>
          <w:sz w:val="24"/>
          <w:szCs w:val="28"/>
        </w:rPr>
      </w:pPr>
      <w:proofErr w:type="gramStart"/>
      <w:r w:rsidRPr="00B30B96">
        <w:rPr>
          <w:rFonts w:eastAsia="Times New Roman"/>
          <w:b/>
          <w:bCs/>
          <w:sz w:val="24"/>
          <w:szCs w:val="28"/>
        </w:rPr>
        <w:t>16a09</w:t>
      </w:r>
      <w:r w:rsidR="00B30B96" w:rsidRPr="00B30B96">
        <w:rPr>
          <w:rFonts w:eastAsia="Times New Roman"/>
          <w:b/>
          <w:bCs/>
          <w:sz w:val="24"/>
          <w:szCs w:val="28"/>
        </w:rPr>
        <w:t xml:space="preserve"> - </w:t>
      </w:r>
      <w:r w:rsidR="00035A90" w:rsidRPr="00B30B96">
        <w:rPr>
          <w:rFonts w:eastAsia="Times New Roman"/>
          <w:b/>
          <w:bCs/>
          <w:sz w:val="24"/>
          <w:szCs w:val="28"/>
        </w:rPr>
        <w:t>Garnishment of employees of states or their political subdivisions.</w:t>
      </w:r>
      <w:proofErr w:type="gramEnd"/>
    </w:p>
    <w:p w:rsidR="00226191" w:rsidRDefault="00226191" w:rsidP="00226191">
      <w:pPr>
        <w:pStyle w:val="ListParagraph"/>
        <w:spacing w:after="0" w:line="240" w:lineRule="auto"/>
        <w:rPr>
          <w:sz w:val="24"/>
          <w:szCs w:val="24"/>
        </w:rPr>
      </w:pPr>
    </w:p>
    <w:p w:rsidR="00A65D6B" w:rsidRPr="00A55756" w:rsidRDefault="00035A90" w:rsidP="00226191">
      <w:pPr>
        <w:pStyle w:val="ListParagraph"/>
        <w:spacing w:after="0" w:line="240" w:lineRule="auto"/>
        <w:rPr>
          <w:sz w:val="24"/>
          <w:szCs w:val="24"/>
        </w:rPr>
      </w:pPr>
      <w:r w:rsidRPr="00226191">
        <w:rPr>
          <w:sz w:val="24"/>
          <w:szCs w:val="24"/>
        </w:rPr>
        <w:t>Applicable state or local laws regulate whether the earnings of a city, county or state employee</w:t>
      </w:r>
      <w:r w:rsidR="00A65D6B" w:rsidRPr="00226191">
        <w:rPr>
          <w:sz w:val="24"/>
          <w:szCs w:val="24"/>
        </w:rPr>
        <w:t xml:space="preserve"> </w:t>
      </w:r>
      <w:r w:rsidRPr="00226191">
        <w:rPr>
          <w:sz w:val="24"/>
          <w:szCs w:val="24"/>
        </w:rPr>
        <w:t xml:space="preserve">are subject to garnishment. To the extent that state </w:t>
      </w:r>
      <w:r w:rsidR="00C801D0" w:rsidRPr="00226191">
        <w:rPr>
          <w:sz w:val="24"/>
          <w:szCs w:val="24"/>
        </w:rPr>
        <w:t>or local law permits such</w:t>
      </w:r>
      <w:r w:rsidR="00226191">
        <w:rPr>
          <w:sz w:val="24"/>
          <w:szCs w:val="24"/>
        </w:rPr>
        <w:t xml:space="preserve"> </w:t>
      </w:r>
      <w:r w:rsidR="00A65D6B" w:rsidRPr="00A55756">
        <w:rPr>
          <w:sz w:val="24"/>
          <w:szCs w:val="24"/>
        </w:rPr>
        <w:t>garnishment, the limitations imposed by the CCPA apply.</w:t>
      </w:r>
      <w:r w:rsidR="006A7D75" w:rsidRPr="00A55756">
        <w:rPr>
          <w:sz w:val="24"/>
          <w:szCs w:val="24"/>
        </w:rPr>
        <w:t xml:space="preserve"> WH has no authority to </w:t>
      </w:r>
      <w:r w:rsidR="006A7D75" w:rsidRPr="00A55756">
        <w:rPr>
          <w:sz w:val="24"/>
          <w:szCs w:val="24"/>
        </w:rPr>
        <w:lastRenderedPageBreak/>
        <w:t xml:space="preserve">enforce </w:t>
      </w:r>
      <w:r w:rsidR="00A65D6B" w:rsidRPr="00A55756">
        <w:rPr>
          <w:sz w:val="24"/>
          <w:szCs w:val="24"/>
        </w:rPr>
        <w:t xml:space="preserve">provisions of state or local garnishment laws. (See </w:t>
      </w:r>
      <w:r w:rsidR="006A7D75" w:rsidRPr="00A55756">
        <w:rPr>
          <w:sz w:val="24"/>
          <w:szCs w:val="24"/>
        </w:rPr>
        <w:t>FOH 16a01, 52a11 and 52v</w:t>
      </w:r>
      <w:r w:rsidR="00A65D6B" w:rsidRPr="00A55756">
        <w:rPr>
          <w:sz w:val="24"/>
          <w:szCs w:val="24"/>
        </w:rPr>
        <w:t>02.)</w:t>
      </w:r>
    </w:p>
    <w:p w:rsidR="006A7D75" w:rsidRPr="00A55756" w:rsidRDefault="006A7D75" w:rsidP="00A55756">
      <w:pPr>
        <w:spacing w:after="0" w:line="240" w:lineRule="auto"/>
        <w:rPr>
          <w:sz w:val="24"/>
          <w:szCs w:val="24"/>
        </w:rPr>
      </w:pPr>
    </w:p>
    <w:p w:rsidR="00A65D6B" w:rsidRPr="00B30B96" w:rsidRDefault="006A7D75" w:rsidP="00A55756">
      <w:pPr>
        <w:spacing w:after="0" w:line="240" w:lineRule="auto"/>
        <w:rPr>
          <w:rFonts w:eastAsia="Times New Roman"/>
          <w:b/>
          <w:bCs/>
          <w:sz w:val="24"/>
          <w:szCs w:val="28"/>
        </w:rPr>
      </w:pPr>
      <w:r w:rsidRPr="00B30B96">
        <w:rPr>
          <w:rFonts w:eastAsia="Times New Roman"/>
          <w:b/>
          <w:bCs/>
          <w:sz w:val="24"/>
          <w:szCs w:val="28"/>
        </w:rPr>
        <w:t>16a10</w:t>
      </w:r>
      <w:r w:rsidR="00B30B96" w:rsidRPr="00B30B96">
        <w:rPr>
          <w:rFonts w:eastAsia="Times New Roman"/>
          <w:b/>
          <w:bCs/>
          <w:sz w:val="24"/>
          <w:szCs w:val="28"/>
        </w:rPr>
        <w:t xml:space="preserve"> - </w:t>
      </w:r>
      <w:r w:rsidR="00A65D6B" w:rsidRPr="00B30B96">
        <w:rPr>
          <w:rFonts w:eastAsia="Times New Roman"/>
          <w:b/>
          <w:bCs/>
          <w:sz w:val="24"/>
          <w:szCs w:val="28"/>
        </w:rPr>
        <w:t>Earnings deposited in a bank account.</w:t>
      </w:r>
    </w:p>
    <w:p w:rsidR="006A7D75" w:rsidRPr="00A55756" w:rsidRDefault="006A7D75" w:rsidP="00A55756">
      <w:pPr>
        <w:spacing w:after="0" w:line="240" w:lineRule="auto"/>
        <w:rPr>
          <w:sz w:val="24"/>
          <w:szCs w:val="24"/>
        </w:rPr>
      </w:pPr>
    </w:p>
    <w:p w:rsidR="00A65D6B" w:rsidRPr="00226191" w:rsidRDefault="00A65D6B" w:rsidP="00226191">
      <w:pPr>
        <w:pStyle w:val="ListParagraph"/>
        <w:spacing w:after="0" w:line="240" w:lineRule="auto"/>
        <w:rPr>
          <w:sz w:val="24"/>
          <w:szCs w:val="24"/>
        </w:rPr>
      </w:pPr>
      <w:r w:rsidRPr="00226191">
        <w:rPr>
          <w:sz w:val="24"/>
          <w:szCs w:val="24"/>
        </w:rPr>
        <w:t>A bank served with a garnishment directed at a depositor’s account is not required to</w:t>
      </w:r>
      <w:r w:rsidR="006A7D75" w:rsidRPr="00226191">
        <w:rPr>
          <w:sz w:val="24"/>
          <w:szCs w:val="24"/>
        </w:rPr>
        <w:t xml:space="preserve"> </w:t>
      </w:r>
      <w:r w:rsidRPr="00226191">
        <w:rPr>
          <w:sz w:val="24"/>
          <w:szCs w:val="24"/>
        </w:rPr>
        <w:t>determine the depositor’s right to an exemption under the CCPA and is not required to</w:t>
      </w:r>
      <w:r w:rsidR="006A7D75" w:rsidRPr="00226191">
        <w:rPr>
          <w:sz w:val="24"/>
          <w:szCs w:val="24"/>
        </w:rPr>
        <w:t xml:space="preserve"> </w:t>
      </w:r>
      <w:r w:rsidRPr="00226191">
        <w:rPr>
          <w:sz w:val="24"/>
          <w:szCs w:val="24"/>
        </w:rPr>
        <w:t>calculate the amount of that exemption before honoring the gar</w:t>
      </w:r>
      <w:r w:rsidR="006A7D75" w:rsidRPr="00226191">
        <w:rPr>
          <w:sz w:val="24"/>
          <w:szCs w:val="24"/>
        </w:rPr>
        <w:t xml:space="preserve">nishment. </w:t>
      </w:r>
      <w:proofErr w:type="gramStart"/>
      <w:r w:rsidR="006A7D75" w:rsidRPr="00226191">
        <w:rPr>
          <w:sz w:val="24"/>
          <w:szCs w:val="24"/>
        </w:rPr>
        <w:t xml:space="preserve">(See </w:t>
      </w:r>
      <w:proofErr w:type="spellStart"/>
      <w:r w:rsidR="006A7D75" w:rsidRPr="00226191">
        <w:rPr>
          <w:sz w:val="24"/>
          <w:szCs w:val="24"/>
        </w:rPr>
        <w:t>Usery</w:t>
      </w:r>
      <w:proofErr w:type="spellEnd"/>
      <w:r w:rsidR="006A7D75" w:rsidRPr="00226191">
        <w:rPr>
          <w:sz w:val="24"/>
          <w:szCs w:val="24"/>
        </w:rPr>
        <w:t xml:space="preserve"> v.</w:t>
      </w:r>
      <w:proofErr w:type="gramEnd"/>
      <w:r w:rsidR="006A7D75" w:rsidRPr="00226191">
        <w:rPr>
          <w:sz w:val="24"/>
          <w:szCs w:val="24"/>
        </w:rPr>
        <w:t xml:space="preserve"> </w:t>
      </w:r>
      <w:proofErr w:type="gramStart"/>
      <w:r w:rsidR="006A7D75" w:rsidRPr="00226191">
        <w:rPr>
          <w:sz w:val="24"/>
          <w:szCs w:val="24"/>
        </w:rPr>
        <w:t xml:space="preserve">First </w:t>
      </w:r>
      <w:r w:rsidRPr="00226191">
        <w:rPr>
          <w:sz w:val="24"/>
          <w:szCs w:val="24"/>
        </w:rPr>
        <w:t>National Bank of Arizona (586 F.2</w:t>
      </w:r>
      <w:r w:rsidR="006A7D75" w:rsidRPr="00226191">
        <w:rPr>
          <w:sz w:val="24"/>
          <w:szCs w:val="24"/>
        </w:rPr>
        <w:t>nd 107 (1978).)</w:t>
      </w:r>
      <w:proofErr w:type="gramEnd"/>
      <w:r w:rsidR="006A7D75" w:rsidRPr="00226191">
        <w:rPr>
          <w:sz w:val="24"/>
          <w:szCs w:val="24"/>
        </w:rPr>
        <w:t xml:space="preserve"> </w:t>
      </w:r>
    </w:p>
    <w:p w:rsidR="006A7D75" w:rsidRPr="00A55756" w:rsidRDefault="006A7D75" w:rsidP="00A55756">
      <w:pPr>
        <w:spacing w:after="0" w:line="240" w:lineRule="auto"/>
        <w:rPr>
          <w:sz w:val="24"/>
          <w:szCs w:val="24"/>
        </w:rPr>
      </w:pPr>
    </w:p>
    <w:p w:rsidR="00A65D6B" w:rsidRPr="00B30B96" w:rsidRDefault="006A7D75" w:rsidP="00A55756">
      <w:pPr>
        <w:spacing w:after="0" w:line="240" w:lineRule="auto"/>
        <w:rPr>
          <w:rFonts w:eastAsia="Times New Roman"/>
          <w:b/>
          <w:bCs/>
          <w:sz w:val="24"/>
          <w:szCs w:val="28"/>
        </w:rPr>
      </w:pPr>
      <w:r w:rsidRPr="00B30B96">
        <w:rPr>
          <w:rFonts w:eastAsia="Times New Roman"/>
          <w:b/>
          <w:bCs/>
          <w:sz w:val="24"/>
          <w:szCs w:val="28"/>
        </w:rPr>
        <w:t>16a11</w:t>
      </w:r>
      <w:r w:rsidR="00B30B96" w:rsidRPr="00B30B96">
        <w:rPr>
          <w:rFonts w:eastAsia="Times New Roman"/>
          <w:b/>
          <w:bCs/>
          <w:sz w:val="24"/>
          <w:szCs w:val="28"/>
        </w:rPr>
        <w:t xml:space="preserve"> - </w:t>
      </w:r>
      <w:r w:rsidR="00A65D6B" w:rsidRPr="00B30B96">
        <w:rPr>
          <w:rFonts w:eastAsia="Times New Roman"/>
          <w:b/>
          <w:bCs/>
          <w:sz w:val="24"/>
          <w:szCs w:val="28"/>
        </w:rPr>
        <w:t>Sick and vacation pay c</w:t>
      </w:r>
      <w:r w:rsidRPr="00B30B96">
        <w:rPr>
          <w:rFonts w:eastAsia="Times New Roman"/>
          <w:b/>
          <w:bCs/>
          <w:sz w:val="24"/>
          <w:szCs w:val="28"/>
        </w:rPr>
        <w:t>onsidered earnings under the CCP</w:t>
      </w:r>
      <w:r w:rsidR="00A65D6B" w:rsidRPr="00B30B96">
        <w:rPr>
          <w:rFonts w:eastAsia="Times New Roman"/>
          <w:b/>
          <w:bCs/>
          <w:sz w:val="24"/>
          <w:szCs w:val="28"/>
        </w:rPr>
        <w:t>A.</w:t>
      </w:r>
    </w:p>
    <w:p w:rsidR="006A7D75" w:rsidRPr="00A55756" w:rsidRDefault="006A7D75" w:rsidP="00A55756">
      <w:pPr>
        <w:spacing w:after="0" w:line="240" w:lineRule="auto"/>
        <w:rPr>
          <w:sz w:val="24"/>
          <w:szCs w:val="24"/>
        </w:rPr>
      </w:pPr>
    </w:p>
    <w:p w:rsidR="00807694" w:rsidRDefault="00A65D6B" w:rsidP="00226191">
      <w:pPr>
        <w:pStyle w:val="ListParagraph"/>
        <w:spacing w:after="0" w:line="240" w:lineRule="auto"/>
        <w:rPr>
          <w:sz w:val="24"/>
          <w:szCs w:val="24"/>
        </w:rPr>
        <w:sectPr w:rsidR="00807694" w:rsidSect="00ED737A">
          <w:headerReference w:type="default" r:id="rId10"/>
          <w:pgSz w:w="12240" w:h="15840"/>
          <w:pgMar w:top="1440" w:right="1440" w:bottom="1440" w:left="1440" w:header="720" w:footer="720" w:gutter="0"/>
          <w:cols w:space="720"/>
          <w:docGrid w:linePitch="360"/>
        </w:sectPr>
      </w:pPr>
      <w:r w:rsidRPr="00226191">
        <w:rPr>
          <w:sz w:val="24"/>
          <w:szCs w:val="24"/>
        </w:rPr>
        <w:t>Sick and vacation pay are compensation for personal services, and thus are “earnings” under</w:t>
      </w:r>
      <w:r w:rsidR="006A7D75" w:rsidRPr="00226191">
        <w:rPr>
          <w:sz w:val="24"/>
          <w:szCs w:val="24"/>
        </w:rPr>
        <w:t xml:space="preserve"> </w:t>
      </w:r>
      <w:r w:rsidRPr="00226191">
        <w:rPr>
          <w:sz w:val="24"/>
          <w:szCs w:val="24"/>
        </w:rPr>
        <w:t>the CCPA. Their status as subject to withholding or FICA deductions is immaterial in</w:t>
      </w:r>
      <w:r w:rsidR="006A7D75" w:rsidRPr="00226191">
        <w:rPr>
          <w:sz w:val="24"/>
          <w:szCs w:val="24"/>
        </w:rPr>
        <w:t xml:space="preserve"> </w:t>
      </w:r>
      <w:r w:rsidRPr="00226191">
        <w:rPr>
          <w:sz w:val="24"/>
          <w:szCs w:val="24"/>
        </w:rPr>
        <w:t>determining whether they constitute earnings.</w:t>
      </w:r>
    </w:p>
    <w:p w:rsidR="00807694" w:rsidRDefault="00807694">
      <w:pPr>
        <w:spacing w:after="0" w:line="240" w:lineRule="auto"/>
        <w:rPr>
          <w:rFonts w:eastAsia="Times New Roman"/>
          <w:b/>
          <w:bCs/>
          <w:sz w:val="24"/>
          <w:szCs w:val="26"/>
        </w:rPr>
      </w:pPr>
      <w:r>
        <w:lastRenderedPageBreak/>
        <w:br w:type="page"/>
      </w:r>
    </w:p>
    <w:p w:rsidR="007451C3" w:rsidRPr="00B30B96" w:rsidRDefault="007451C3" w:rsidP="00B30B96">
      <w:pPr>
        <w:pStyle w:val="Heading3"/>
      </w:pPr>
      <w:r w:rsidRPr="00B30B96">
        <w:lastRenderedPageBreak/>
        <w:t>16b</w:t>
      </w:r>
      <w:r w:rsidR="00B30B96">
        <w:t xml:space="preserve"> - </w:t>
      </w:r>
      <w:r w:rsidRPr="00B30B96">
        <w:t>SECTION 303 (RESTRICTION ON GARNISHMENT PROVISIONS)</w:t>
      </w:r>
    </w:p>
    <w:p w:rsidR="007451C3" w:rsidRPr="00A55756" w:rsidRDefault="007451C3" w:rsidP="00A55756">
      <w:pPr>
        <w:spacing w:after="0" w:line="240" w:lineRule="auto"/>
        <w:rPr>
          <w:sz w:val="24"/>
          <w:szCs w:val="24"/>
        </w:rPr>
      </w:pPr>
    </w:p>
    <w:p w:rsidR="007451C3" w:rsidRPr="00B30B96" w:rsidRDefault="007451C3" w:rsidP="00A55756">
      <w:pPr>
        <w:spacing w:after="0" w:line="240" w:lineRule="auto"/>
        <w:rPr>
          <w:rFonts w:eastAsia="Times New Roman"/>
          <w:b/>
          <w:bCs/>
          <w:sz w:val="24"/>
          <w:szCs w:val="28"/>
        </w:rPr>
      </w:pPr>
      <w:proofErr w:type="gramStart"/>
      <w:r w:rsidRPr="00B30B96">
        <w:rPr>
          <w:rFonts w:eastAsia="Times New Roman"/>
          <w:b/>
          <w:bCs/>
          <w:sz w:val="24"/>
          <w:szCs w:val="28"/>
        </w:rPr>
        <w:t>16b00</w:t>
      </w:r>
      <w:r w:rsidR="00B30B96" w:rsidRPr="00B30B96">
        <w:rPr>
          <w:rFonts w:eastAsia="Times New Roman"/>
          <w:b/>
          <w:bCs/>
          <w:sz w:val="24"/>
          <w:szCs w:val="28"/>
        </w:rPr>
        <w:t xml:space="preserve"> - </w:t>
      </w:r>
      <w:r w:rsidRPr="00B30B96">
        <w:rPr>
          <w:rFonts w:eastAsia="Times New Roman"/>
          <w:b/>
          <w:bCs/>
          <w:sz w:val="24"/>
          <w:szCs w:val="28"/>
        </w:rPr>
        <w:t>Garnishment restrictions for consumer debts, support payments and federal and state</w:t>
      </w:r>
      <w:r w:rsidR="00226191">
        <w:rPr>
          <w:rFonts w:eastAsia="Times New Roman"/>
          <w:b/>
          <w:bCs/>
          <w:sz w:val="24"/>
          <w:szCs w:val="28"/>
        </w:rPr>
        <w:t xml:space="preserve"> </w:t>
      </w:r>
      <w:r w:rsidRPr="00B30B96">
        <w:rPr>
          <w:rFonts w:eastAsia="Times New Roman"/>
          <w:b/>
          <w:bCs/>
          <w:sz w:val="24"/>
          <w:szCs w:val="28"/>
        </w:rPr>
        <w:t>taxes.</w:t>
      </w:r>
      <w:proofErr w:type="gramEnd"/>
    </w:p>
    <w:p w:rsidR="007451C3" w:rsidRPr="00A55756" w:rsidRDefault="007451C3" w:rsidP="00A55756">
      <w:pPr>
        <w:spacing w:after="0" w:line="240" w:lineRule="auto"/>
        <w:rPr>
          <w:sz w:val="24"/>
          <w:szCs w:val="24"/>
        </w:rPr>
      </w:pPr>
    </w:p>
    <w:p w:rsidR="00226191" w:rsidRDefault="007451C3" w:rsidP="00226191">
      <w:pPr>
        <w:pStyle w:val="ListParagraph"/>
        <w:spacing w:after="0" w:line="240" w:lineRule="auto"/>
        <w:rPr>
          <w:sz w:val="24"/>
          <w:szCs w:val="24"/>
        </w:rPr>
      </w:pPr>
      <w:r w:rsidRPr="00226191">
        <w:rPr>
          <w:sz w:val="24"/>
          <w:szCs w:val="24"/>
        </w:rPr>
        <w:t xml:space="preserve">Sec 303 establishes limits on the amount of earnings available for garnishment. These limits are based on disposable earnings. (See </w:t>
      </w:r>
      <w:r w:rsidR="00FA293A" w:rsidRPr="00226191">
        <w:rPr>
          <w:sz w:val="24"/>
          <w:szCs w:val="24"/>
        </w:rPr>
        <w:t>FOH 16b0</w:t>
      </w:r>
      <w:r w:rsidRPr="00226191">
        <w:rPr>
          <w:sz w:val="24"/>
          <w:szCs w:val="24"/>
        </w:rPr>
        <w:t>l.) The CCPA sets three levels of protection for earnings. The first category deals with consumer debts (these are all debts not covered by the two other categories). The second concerns support payments (that is, child support and alimony). The final level pertains to debts owed for federal and state taxes or personal bankruptcy.</w:t>
      </w:r>
    </w:p>
    <w:p w:rsidR="00226191" w:rsidRDefault="00226191" w:rsidP="00226191">
      <w:pPr>
        <w:spacing w:after="0" w:line="240" w:lineRule="auto"/>
        <w:rPr>
          <w:sz w:val="24"/>
          <w:szCs w:val="24"/>
        </w:rPr>
      </w:pPr>
    </w:p>
    <w:p w:rsidR="00226191" w:rsidRDefault="007451C3" w:rsidP="00807694">
      <w:pPr>
        <w:pStyle w:val="ListParagraph"/>
        <w:numPr>
          <w:ilvl w:val="0"/>
          <w:numId w:val="7"/>
        </w:numPr>
        <w:spacing w:after="0" w:line="240" w:lineRule="auto"/>
        <w:rPr>
          <w:sz w:val="24"/>
          <w:szCs w:val="24"/>
        </w:rPr>
      </w:pPr>
      <w:r w:rsidRPr="00226191">
        <w:rPr>
          <w:sz w:val="24"/>
          <w:szCs w:val="24"/>
        </w:rPr>
        <w:t>Garnishments for consumer debts must not exceed the lower of:</w:t>
      </w:r>
    </w:p>
    <w:p w:rsidR="00226191" w:rsidRDefault="00226191" w:rsidP="00226191">
      <w:pPr>
        <w:pStyle w:val="ListParagraph"/>
        <w:spacing w:after="0" w:line="240" w:lineRule="auto"/>
        <w:ind w:left="1440"/>
        <w:rPr>
          <w:sz w:val="24"/>
          <w:szCs w:val="24"/>
        </w:rPr>
      </w:pPr>
    </w:p>
    <w:p w:rsidR="00226191" w:rsidRDefault="007451C3" w:rsidP="00807694">
      <w:pPr>
        <w:pStyle w:val="ListParagraph"/>
        <w:numPr>
          <w:ilvl w:val="1"/>
          <w:numId w:val="7"/>
        </w:numPr>
        <w:spacing w:after="0" w:line="240" w:lineRule="auto"/>
        <w:rPr>
          <w:sz w:val="24"/>
          <w:szCs w:val="24"/>
        </w:rPr>
      </w:pPr>
      <w:r w:rsidRPr="00226191">
        <w:rPr>
          <w:sz w:val="24"/>
          <w:szCs w:val="24"/>
        </w:rPr>
        <w:t>25 % of disposable earnings; or</w:t>
      </w:r>
    </w:p>
    <w:p w:rsidR="00226191" w:rsidRDefault="00226191" w:rsidP="00226191">
      <w:pPr>
        <w:pStyle w:val="ListParagraph"/>
        <w:spacing w:after="0" w:line="240" w:lineRule="auto"/>
        <w:ind w:left="1440"/>
        <w:rPr>
          <w:sz w:val="24"/>
          <w:szCs w:val="24"/>
        </w:rPr>
      </w:pPr>
    </w:p>
    <w:p w:rsidR="00226191" w:rsidRDefault="007451C3" w:rsidP="00807694">
      <w:pPr>
        <w:pStyle w:val="ListParagraph"/>
        <w:numPr>
          <w:ilvl w:val="1"/>
          <w:numId w:val="7"/>
        </w:numPr>
        <w:spacing w:after="0" w:line="240" w:lineRule="auto"/>
        <w:rPr>
          <w:sz w:val="24"/>
          <w:szCs w:val="24"/>
        </w:rPr>
      </w:pPr>
      <w:r w:rsidRPr="00226191">
        <w:rPr>
          <w:sz w:val="24"/>
          <w:szCs w:val="24"/>
        </w:rPr>
        <w:t>The amount by which disposable earnings exceed 30 times the minimum wage</w:t>
      </w:r>
      <w:r w:rsidR="00580563" w:rsidRPr="00226191">
        <w:rPr>
          <w:sz w:val="24"/>
          <w:szCs w:val="24"/>
        </w:rPr>
        <w:t xml:space="preserve"> </w:t>
      </w:r>
      <w:r w:rsidRPr="00226191">
        <w:rPr>
          <w:sz w:val="24"/>
          <w:szCs w:val="24"/>
        </w:rPr>
        <w:t>multiplied by the number of weeks or fraction thereof worked. (See FOH 16b02.)</w:t>
      </w:r>
    </w:p>
    <w:p w:rsidR="00226191" w:rsidRPr="00226191" w:rsidRDefault="00226191" w:rsidP="00226191">
      <w:pPr>
        <w:pStyle w:val="ListParagraph"/>
        <w:rPr>
          <w:sz w:val="24"/>
          <w:szCs w:val="24"/>
        </w:rPr>
      </w:pPr>
    </w:p>
    <w:p w:rsidR="007451C3" w:rsidRPr="00226191" w:rsidRDefault="007451C3" w:rsidP="00226191">
      <w:pPr>
        <w:pStyle w:val="ListParagraph"/>
        <w:spacing w:after="0" w:line="240" w:lineRule="auto"/>
        <w:rPr>
          <w:sz w:val="24"/>
          <w:szCs w:val="24"/>
        </w:rPr>
      </w:pPr>
      <w:r w:rsidRPr="00226191">
        <w:rPr>
          <w:sz w:val="24"/>
          <w:szCs w:val="24"/>
        </w:rPr>
        <w:t>The following chart shows the current maximum garnishment of disposable earnings for</w:t>
      </w:r>
      <w:r w:rsidR="00580563" w:rsidRPr="00226191">
        <w:rPr>
          <w:sz w:val="24"/>
          <w:szCs w:val="24"/>
        </w:rPr>
        <w:t xml:space="preserve"> </w:t>
      </w:r>
      <w:r w:rsidRPr="00226191">
        <w:rPr>
          <w:sz w:val="24"/>
          <w:szCs w:val="24"/>
        </w:rPr>
        <w:t>consumer debts. It is based on the $5.15 an hour minimum w</w:t>
      </w:r>
      <w:r w:rsidR="00580563" w:rsidRPr="00226191">
        <w:rPr>
          <w:sz w:val="24"/>
          <w:szCs w:val="24"/>
        </w:rPr>
        <w:t xml:space="preserve">age. These restrictions do not </w:t>
      </w:r>
      <w:r w:rsidRPr="00226191">
        <w:rPr>
          <w:sz w:val="24"/>
          <w:szCs w:val="24"/>
        </w:rPr>
        <w:t>apply to garnishments for child support, alimony, personal bankruptcy, or to recover state or</w:t>
      </w:r>
      <w:r w:rsidR="00580563" w:rsidRPr="00226191">
        <w:rPr>
          <w:sz w:val="24"/>
          <w:szCs w:val="24"/>
        </w:rPr>
        <w:t xml:space="preserve"> federal taxes. (See FOH </w:t>
      </w:r>
      <w:proofErr w:type="gramStart"/>
      <w:r w:rsidR="00580563" w:rsidRPr="00226191">
        <w:rPr>
          <w:sz w:val="24"/>
          <w:szCs w:val="24"/>
        </w:rPr>
        <w:t>16b00</w:t>
      </w:r>
      <w:r w:rsidRPr="00226191">
        <w:rPr>
          <w:sz w:val="24"/>
          <w:szCs w:val="24"/>
        </w:rPr>
        <w:t>(</w:t>
      </w:r>
      <w:proofErr w:type="gramEnd"/>
      <w:r w:rsidRPr="00226191">
        <w:rPr>
          <w:sz w:val="24"/>
          <w:szCs w:val="24"/>
        </w:rPr>
        <w:t>b) and</w:t>
      </w:r>
      <w:r w:rsidR="00580563" w:rsidRPr="00226191">
        <w:rPr>
          <w:sz w:val="24"/>
          <w:szCs w:val="24"/>
        </w:rPr>
        <w:t xml:space="preserve"> (c).) </w:t>
      </w:r>
    </w:p>
    <w:p w:rsidR="00580563" w:rsidRPr="00A55756" w:rsidRDefault="00580563" w:rsidP="00A55756">
      <w:pPr>
        <w:spacing w:after="0" w:line="240" w:lineRule="auto"/>
        <w:rPr>
          <w:sz w:val="24"/>
          <w:szCs w:val="24"/>
        </w:rPr>
      </w:pPr>
    </w:p>
    <w:tbl>
      <w:tblPr>
        <w:tblW w:w="0" w:type="auto"/>
        <w:jc w:val="center"/>
        <w:tblInd w:w="118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086"/>
        <w:gridCol w:w="2085"/>
        <w:gridCol w:w="2132"/>
        <w:gridCol w:w="2085"/>
      </w:tblGrid>
      <w:tr w:rsidR="00580563" w:rsidRPr="00A55756" w:rsidTr="00226191">
        <w:trPr>
          <w:jc w:val="center"/>
        </w:trPr>
        <w:tc>
          <w:tcPr>
            <w:tcW w:w="0" w:type="auto"/>
          </w:tcPr>
          <w:p w:rsidR="00580563" w:rsidRPr="00A55756" w:rsidRDefault="00D52BC5" w:rsidP="00226191">
            <w:pPr>
              <w:spacing w:after="0" w:line="240" w:lineRule="auto"/>
              <w:jc w:val="center"/>
              <w:rPr>
                <w:sz w:val="24"/>
                <w:szCs w:val="24"/>
              </w:rPr>
            </w:pPr>
            <w:r w:rsidRPr="00A55756">
              <w:rPr>
                <w:sz w:val="24"/>
                <w:szCs w:val="24"/>
              </w:rPr>
              <w:t>Weekly</w:t>
            </w:r>
          </w:p>
        </w:tc>
        <w:tc>
          <w:tcPr>
            <w:tcW w:w="0" w:type="auto"/>
          </w:tcPr>
          <w:p w:rsidR="00580563" w:rsidRPr="00A55756" w:rsidRDefault="00D52BC5" w:rsidP="00226191">
            <w:pPr>
              <w:spacing w:after="0" w:line="240" w:lineRule="auto"/>
              <w:jc w:val="center"/>
              <w:rPr>
                <w:sz w:val="24"/>
                <w:szCs w:val="24"/>
              </w:rPr>
            </w:pPr>
            <w:r w:rsidRPr="00A55756">
              <w:rPr>
                <w:sz w:val="24"/>
                <w:szCs w:val="24"/>
              </w:rPr>
              <w:t>Biweekly</w:t>
            </w:r>
          </w:p>
        </w:tc>
        <w:tc>
          <w:tcPr>
            <w:tcW w:w="0" w:type="auto"/>
          </w:tcPr>
          <w:p w:rsidR="00580563" w:rsidRPr="00A55756" w:rsidRDefault="00D52BC5" w:rsidP="00226191">
            <w:pPr>
              <w:spacing w:after="0" w:line="240" w:lineRule="auto"/>
              <w:jc w:val="center"/>
              <w:rPr>
                <w:sz w:val="24"/>
                <w:szCs w:val="24"/>
              </w:rPr>
            </w:pPr>
            <w:r w:rsidRPr="00A55756">
              <w:rPr>
                <w:sz w:val="24"/>
                <w:szCs w:val="24"/>
              </w:rPr>
              <w:t>Semimonthly</w:t>
            </w:r>
          </w:p>
        </w:tc>
        <w:tc>
          <w:tcPr>
            <w:tcW w:w="0" w:type="auto"/>
          </w:tcPr>
          <w:p w:rsidR="00580563" w:rsidRPr="00A55756" w:rsidRDefault="00D52BC5" w:rsidP="00226191">
            <w:pPr>
              <w:spacing w:after="0" w:line="240" w:lineRule="auto"/>
              <w:jc w:val="center"/>
              <w:rPr>
                <w:sz w:val="24"/>
                <w:szCs w:val="24"/>
              </w:rPr>
            </w:pPr>
            <w:r w:rsidRPr="00A55756">
              <w:rPr>
                <w:sz w:val="24"/>
                <w:szCs w:val="24"/>
              </w:rPr>
              <w:t>Monthly</w:t>
            </w:r>
          </w:p>
        </w:tc>
      </w:tr>
      <w:tr w:rsidR="00580563" w:rsidRPr="00A55756" w:rsidTr="00226191">
        <w:trPr>
          <w:trHeight w:val="1353"/>
          <w:jc w:val="center"/>
        </w:trPr>
        <w:tc>
          <w:tcPr>
            <w:tcW w:w="0" w:type="auto"/>
          </w:tcPr>
          <w:p w:rsidR="002C6AF7" w:rsidRPr="00A55756" w:rsidRDefault="002C6AF7" w:rsidP="00226191">
            <w:pPr>
              <w:spacing w:after="0" w:line="240" w:lineRule="auto"/>
              <w:jc w:val="center"/>
              <w:rPr>
                <w:sz w:val="24"/>
                <w:szCs w:val="24"/>
              </w:rPr>
            </w:pPr>
          </w:p>
          <w:p w:rsidR="00580563" w:rsidRPr="00A55756" w:rsidRDefault="00C75F8E" w:rsidP="00226191">
            <w:pPr>
              <w:spacing w:after="0" w:line="240" w:lineRule="auto"/>
              <w:jc w:val="center"/>
              <w:rPr>
                <w:sz w:val="24"/>
                <w:szCs w:val="24"/>
              </w:rPr>
            </w:pPr>
            <w:r w:rsidRPr="00A55756">
              <w:rPr>
                <w:sz w:val="24"/>
                <w:szCs w:val="24"/>
              </w:rPr>
              <w:t>$154.50 or less: NONE</w:t>
            </w:r>
          </w:p>
          <w:p w:rsidR="002C6AF7" w:rsidRPr="00A55756" w:rsidRDefault="002C6AF7" w:rsidP="00226191">
            <w:pPr>
              <w:spacing w:after="0" w:line="240" w:lineRule="auto"/>
              <w:jc w:val="center"/>
              <w:rPr>
                <w:sz w:val="24"/>
                <w:szCs w:val="24"/>
              </w:rPr>
            </w:pPr>
          </w:p>
        </w:tc>
        <w:tc>
          <w:tcPr>
            <w:tcW w:w="0" w:type="auto"/>
          </w:tcPr>
          <w:p w:rsidR="002C6AF7" w:rsidRPr="00A55756" w:rsidRDefault="002C6AF7" w:rsidP="00226191">
            <w:pPr>
              <w:spacing w:after="0" w:line="240" w:lineRule="auto"/>
              <w:jc w:val="center"/>
              <w:rPr>
                <w:sz w:val="24"/>
                <w:szCs w:val="24"/>
              </w:rPr>
            </w:pPr>
          </w:p>
          <w:p w:rsidR="00580563" w:rsidRPr="00A55756" w:rsidRDefault="00C75F8E" w:rsidP="00226191">
            <w:pPr>
              <w:spacing w:after="0" w:line="240" w:lineRule="auto"/>
              <w:jc w:val="center"/>
              <w:rPr>
                <w:sz w:val="24"/>
                <w:szCs w:val="24"/>
              </w:rPr>
            </w:pPr>
            <w:r w:rsidRPr="00A55756">
              <w:rPr>
                <w:sz w:val="24"/>
                <w:szCs w:val="24"/>
              </w:rPr>
              <w:t>$309.00 or less: NONE</w:t>
            </w:r>
          </w:p>
        </w:tc>
        <w:tc>
          <w:tcPr>
            <w:tcW w:w="0" w:type="auto"/>
          </w:tcPr>
          <w:p w:rsidR="002C6AF7" w:rsidRPr="00A55756" w:rsidRDefault="002C6AF7" w:rsidP="00226191">
            <w:pPr>
              <w:spacing w:after="0" w:line="240" w:lineRule="auto"/>
              <w:jc w:val="center"/>
              <w:rPr>
                <w:sz w:val="24"/>
                <w:szCs w:val="24"/>
              </w:rPr>
            </w:pPr>
          </w:p>
          <w:p w:rsidR="00580563" w:rsidRPr="00A55756" w:rsidRDefault="00C75F8E" w:rsidP="00226191">
            <w:pPr>
              <w:spacing w:after="0" w:line="240" w:lineRule="auto"/>
              <w:jc w:val="center"/>
              <w:rPr>
                <w:sz w:val="24"/>
                <w:szCs w:val="24"/>
              </w:rPr>
            </w:pPr>
            <w:r w:rsidRPr="00A55756">
              <w:rPr>
                <w:sz w:val="24"/>
                <w:szCs w:val="24"/>
              </w:rPr>
              <w:t>$344.75 or less: NONE</w:t>
            </w:r>
          </w:p>
        </w:tc>
        <w:tc>
          <w:tcPr>
            <w:tcW w:w="0" w:type="auto"/>
          </w:tcPr>
          <w:p w:rsidR="002C6AF7" w:rsidRPr="00A55756" w:rsidRDefault="002C6AF7" w:rsidP="00226191">
            <w:pPr>
              <w:spacing w:after="0" w:line="240" w:lineRule="auto"/>
              <w:jc w:val="center"/>
              <w:rPr>
                <w:sz w:val="24"/>
                <w:szCs w:val="24"/>
              </w:rPr>
            </w:pPr>
          </w:p>
          <w:p w:rsidR="00580563" w:rsidRPr="00A55756" w:rsidRDefault="00C75F8E" w:rsidP="00226191">
            <w:pPr>
              <w:spacing w:after="0" w:line="240" w:lineRule="auto"/>
              <w:jc w:val="center"/>
              <w:rPr>
                <w:sz w:val="24"/>
                <w:szCs w:val="24"/>
              </w:rPr>
            </w:pPr>
            <w:r w:rsidRPr="00A55756">
              <w:rPr>
                <w:sz w:val="24"/>
                <w:szCs w:val="24"/>
              </w:rPr>
              <w:t>$669.50 or less: NONE</w:t>
            </w:r>
          </w:p>
        </w:tc>
      </w:tr>
      <w:tr w:rsidR="00580563" w:rsidRPr="00A55756" w:rsidTr="00226191">
        <w:trPr>
          <w:jc w:val="center"/>
        </w:trPr>
        <w:tc>
          <w:tcPr>
            <w:tcW w:w="0" w:type="auto"/>
          </w:tcPr>
          <w:p w:rsidR="002C6AF7" w:rsidRPr="00A55756" w:rsidRDefault="002C6AF7" w:rsidP="00226191">
            <w:pPr>
              <w:spacing w:after="0" w:line="240" w:lineRule="auto"/>
              <w:jc w:val="center"/>
              <w:rPr>
                <w:sz w:val="24"/>
                <w:szCs w:val="24"/>
              </w:rPr>
            </w:pPr>
          </w:p>
          <w:p w:rsidR="00580563" w:rsidRPr="00A55756" w:rsidRDefault="00C75F8E" w:rsidP="00226191">
            <w:pPr>
              <w:spacing w:after="0" w:line="240" w:lineRule="auto"/>
              <w:jc w:val="center"/>
              <w:rPr>
                <w:sz w:val="24"/>
                <w:szCs w:val="24"/>
              </w:rPr>
            </w:pPr>
            <w:r w:rsidRPr="00A55756">
              <w:rPr>
                <w:sz w:val="24"/>
                <w:szCs w:val="24"/>
              </w:rPr>
              <w:t>More than $154.50 but less than $206.00 Amount ABOVE $154.50</w:t>
            </w:r>
          </w:p>
          <w:p w:rsidR="00C75F8E" w:rsidRPr="00A55756" w:rsidRDefault="00C75F8E" w:rsidP="00226191">
            <w:pPr>
              <w:spacing w:after="0" w:line="240" w:lineRule="auto"/>
              <w:jc w:val="center"/>
              <w:rPr>
                <w:sz w:val="24"/>
                <w:szCs w:val="24"/>
              </w:rPr>
            </w:pPr>
          </w:p>
        </w:tc>
        <w:tc>
          <w:tcPr>
            <w:tcW w:w="0" w:type="auto"/>
          </w:tcPr>
          <w:p w:rsidR="002C6AF7" w:rsidRPr="00A55756" w:rsidRDefault="002C6AF7" w:rsidP="00226191">
            <w:pPr>
              <w:spacing w:after="0" w:line="240" w:lineRule="auto"/>
              <w:jc w:val="center"/>
              <w:rPr>
                <w:sz w:val="24"/>
                <w:szCs w:val="24"/>
              </w:rPr>
            </w:pPr>
          </w:p>
          <w:p w:rsidR="002C6AF7" w:rsidRPr="00A55756" w:rsidRDefault="002C6AF7" w:rsidP="00226191">
            <w:pPr>
              <w:spacing w:after="0" w:line="240" w:lineRule="auto"/>
              <w:jc w:val="center"/>
              <w:rPr>
                <w:sz w:val="24"/>
                <w:szCs w:val="24"/>
              </w:rPr>
            </w:pPr>
            <w:r w:rsidRPr="00A55756">
              <w:rPr>
                <w:sz w:val="24"/>
                <w:szCs w:val="24"/>
              </w:rPr>
              <w:t>More than $309.00 but less than $412.00 Amount ABOVE $309.00</w:t>
            </w:r>
          </w:p>
          <w:p w:rsidR="00580563" w:rsidRPr="00A55756" w:rsidRDefault="00580563" w:rsidP="00226191">
            <w:pPr>
              <w:spacing w:after="0" w:line="240" w:lineRule="auto"/>
              <w:jc w:val="center"/>
              <w:rPr>
                <w:sz w:val="24"/>
                <w:szCs w:val="24"/>
              </w:rPr>
            </w:pPr>
          </w:p>
        </w:tc>
        <w:tc>
          <w:tcPr>
            <w:tcW w:w="0" w:type="auto"/>
          </w:tcPr>
          <w:p w:rsidR="002C6AF7" w:rsidRPr="00A55756" w:rsidRDefault="002C6AF7" w:rsidP="00226191">
            <w:pPr>
              <w:spacing w:after="0" w:line="240" w:lineRule="auto"/>
              <w:jc w:val="center"/>
              <w:rPr>
                <w:sz w:val="24"/>
                <w:szCs w:val="24"/>
              </w:rPr>
            </w:pPr>
          </w:p>
          <w:p w:rsidR="002C6AF7" w:rsidRPr="00A55756" w:rsidRDefault="002C6AF7" w:rsidP="00226191">
            <w:pPr>
              <w:spacing w:after="0" w:line="240" w:lineRule="auto"/>
              <w:jc w:val="center"/>
              <w:rPr>
                <w:sz w:val="24"/>
                <w:szCs w:val="24"/>
              </w:rPr>
            </w:pPr>
            <w:r w:rsidRPr="00A55756">
              <w:rPr>
                <w:sz w:val="24"/>
                <w:szCs w:val="24"/>
              </w:rPr>
              <w:t>More than $334.75 but less than $446.33 Amount ABOVE $334.75</w:t>
            </w:r>
          </w:p>
          <w:p w:rsidR="00580563" w:rsidRPr="00A55756" w:rsidRDefault="00580563" w:rsidP="00226191">
            <w:pPr>
              <w:spacing w:after="0" w:line="240" w:lineRule="auto"/>
              <w:jc w:val="center"/>
              <w:rPr>
                <w:sz w:val="24"/>
                <w:szCs w:val="24"/>
              </w:rPr>
            </w:pPr>
          </w:p>
        </w:tc>
        <w:tc>
          <w:tcPr>
            <w:tcW w:w="0" w:type="auto"/>
          </w:tcPr>
          <w:p w:rsidR="002C6AF7" w:rsidRPr="00A55756" w:rsidRDefault="002C6AF7" w:rsidP="00226191">
            <w:pPr>
              <w:spacing w:after="0" w:line="240" w:lineRule="auto"/>
              <w:jc w:val="center"/>
              <w:rPr>
                <w:sz w:val="24"/>
                <w:szCs w:val="24"/>
              </w:rPr>
            </w:pPr>
          </w:p>
          <w:p w:rsidR="002C6AF7" w:rsidRPr="00A55756" w:rsidRDefault="002C6AF7" w:rsidP="00226191">
            <w:pPr>
              <w:spacing w:after="0" w:line="240" w:lineRule="auto"/>
              <w:jc w:val="center"/>
              <w:rPr>
                <w:sz w:val="24"/>
                <w:szCs w:val="24"/>
              </w:rPr>
            </w:pPr>
            <w:r w:rsidRPr="00A55756">
              <w:rPr>
                <w:sz w:val="24"/>
                <w:szCs w:val="24"/>
              </w:rPr>
              <w:t>More than $669.50 but less than $892.67 Amount ABOVE $669.50</w:t>
            </w:r>
          </w:p>
          <w:p w:rsidR="00580563" w:rsidRPr="00A55756" w:rsidRDefault="00580563" w:rsidP="00226191">
            <w:pPr>
              <w:spacing w:after="0" w:line="240" w:lineRule="auto"/>
              <w:jc w:val="center"/>
              <w:rPr>
                <w:sz w:val="24"/>
                <w:szCs w:val="24"/>
              </w:rPr>
            </w:pPr>
          </w:p>
        </w:tc>
      </w:tr>
      <w:tr w:rsidR="00580563" w:rsidRPr="00A55756" w:rsidTr="00226191">
        <w:trPr>
          <w:jc w:val="center"/>
        </w:trPr>
        <w:tc>
          <w:tcPr>
            <w:tcW w:w="0" w:type="auto"/>
          </w:tcPr>
          <w:p w:rsidR="00580563" w:rsidRPr="00A55756" w:rsidRDefault="00580563" w:rsidP="00226191">
            <w:pPr>
              <w:spacing w:after="0" w:line="240" w:lineRule="auto"/>
              <w:jc w:val="center"/>
              <w:rPr>
                <w:sz w:val="24"/>
                <w:szCs w:val="24"/>
              </w:rPr>
            </w:pPr>
          </w:p>
          <w:p w:rsidR="002C6AF7" w:rsidRPr="00A55756" w:rsidRDefault="002C6AF7" w:rsidP="00226191">
            <w:pPr>
              <w:spacing w:after="0" w:line="240" w:lineRule="auto"/>
              <w:jc w:val="center"/>
              <w:rPr>
                <w:sz w:val="24"/>
                <w:szCs w:val="24"/>
              </w:rPr>
            </w:pPr>
            <w:r w:rsidRPr="00A55756">
              <w:rPr>
                <w:sz w:val="24"/>
                <w:szCs w:val="24"/>
              </w:rPr>
              <w:t>$206.00 or more: MAXIMUM 25%</w:t>
            </w:r>
          </w:p>
          <w:p w:rsidR="002C6AF7" w:rsidRPr="00A55756" w:rsidRDefault="002C6AF7" w:rsidP="00226191">
            <w:pPr>
              <w:spacing w:after="0" w:line="240" w:lineRule="auto"/>
              <w:jc w:val="center"/>
              <w:rPr>
                <w:sz w:val="24"/>
                <w:szCs w:val="24"/>
              </w:rPr>
            </w:pPr>
          </w:p>
        </w:tc>
        <w:tc>
          <w:tcPr>
            <w:tcW w:w="0" w:type="auto"/>
          </w:tcPr>
          <w:p w:rsidR="002C6AF7" w:rsidRPr="00A55756" w:rsidRDefault="002C6AF7" w:rsidP="00226191">
            <w:pPr>
              <w:spacing w:after="0" w:line="240" w:lineRule="auto"/>
              <w:jc w:val="center"/>
              <w:rPr>
                <w:sz w:val="24"/>
                <w:szCs w:val="24"/>
              </w:rPr>
            </w:pPr>
          </w:p>
          <w:p w:rsidR="002C6AF7" w:rsidRPr="00A55756" w:rsidRDefault="002C6AF7" w:rsidP="00226191">
            <w:pPr>
              <w:spacing w:after="0" w:line="240" w:lineRule="auto"/>
              <w:jc w:val="center"/>
              <w:rPr>
                <w:sz w:val="24"/>
                <w:szCs w:val="24"/>
              </w:rPr>
            </w:pPr>
            <w:r w:rsidRPr="00A55756">
              <w:rPr>
                <w:sz w:val="24"/>
                <w:szCs w:val="24"/>
              </w:rPr>
              <w:t>$412.00 or more: MAXIMUM 25%</w:t>
            </w:r>
          </w:p>
          <w:p w:rsidR="00580563" w:rsidRPr="00A55756" w:rsidRDefault="00580563" w:rsidP="00226191">
            <w:pPr>
              <w:spacing w:after="0" w:line="240" w:lineRule="auto"/>
              <w:jc w:val="center"/>
              <w:rPr>
                <w:sz w:val="24"/>
                <w:szCs w:val="24"/>
              </w:rPr>
            </w:pPr>
          </w:p>
        </w:tc>
        <w:tc>
          <w:tcPr>
            <w:tcW w:w="0" w:type="auto"/>
          </w:tcPr>
          <w:p w:rsidR="002C6AF7" w:rsidRPr="00A55756" w:rsidRDefault="002C6AF7" w:rsidP="00226191">
            <w:pPr>
              <w:spacing w:after="0" w:line="240" w:lineRule="auto"/>
              <w:jc w:val="center"/>
              <w:rPr>
                <w:sz w:val="24"/>
                <w:szCs w:val="24"/>
              </w:rPr>
            </w:pPr>
          </w:p>
          <w:p w:rsidR="002C6AF7" w:rsidRPr="00A55756" w:rsidRDefault="002C6AF7" w:rsidP="00226191">
            <w:pPr>
              <w:spacing w:after="0" w:line="240" w:lineRule="auto"/>
              <w:jc w:val="center"/>
              <w:rPr>
                <w:sz w:val="24"/>
                <w:szCs w:val="24"/>
              </w:rPr>
            </w:pPr>
            <w:r w:rsidRPr="00A55756">
              <w:rPr>
                <w:sz w:val="24"/>
                <w:szCs w:val="24"/>
              </w:rPr>
              <w:t>$446.33 or more: MAXIMUM 25%</w:t>
            </w:r>
          </w:p>
          <w:p w:rsidR="00580563" w:rsidRPr="00A55756" w:rsidRDefault="00580563" w:rsidP="00226191">
            <w:pPr>
              <w:spacing w:after="0" w:line="240" w:lineRule="auto"/>
              <w:jc w:val="center"/>
              <w:rPr>
                <w:sz w:val="24"/>
                <w:szCs w:val="24"/>
              </w:rPr>
            </w:pPr>
          </w:p>
        </w:tc>
        <w:tc>
          <w:tcPr>
            <w:tcW w:w="0" w:type="auto"/>
          </w:tcPr>
          <w:p w:rsidR="002C6AF7" w:rsidRPr="00A55756" w:rsidRDefault="002C6AF7" w:rsidP="00226191">
            <w:pPr>
              <w:spacing w:after="0" w:line="240" w:lineRule="auto"/>
              <w:jc w:val="center"/>
              <w:rPr>
                <w:sz w:val="24"/>
                <w:szCs w:val="24"/>
              </w:rPr>
            </w:pPr>
          </w:p>
          <w:p w:rsidR="002C6AF7" w:rsidRPr="00A55756" w:rsidRDefault="002C6AF7" w:rsidP="00226191">
            <w:pPr>
              <w:spacing w:after="0" w:line="240" w:lineRule="auto"/>
              <w:jc w:val="center"/>
              <w:rPr>
                <w:sz w:val="24"/>
                <w:szCs w:val="24"/>
              </w:rPr>
            </w:pPr>
            <w:r w:rsidRPr="00A55756">
              <w:rPr>
                <w:sz w:val="24"/>
                <w:szCs w:val="24"/>
              </w:rPr>
              <w:t>$892.67 or more: MAXIMUM 25%</w:t>
            </w:r>
          </w:p>
          <w:p w:rsidR="00580563" w:rsidRPr="00A55756" w:rsidRDefault="00580563" w:rsidP="00226191">
            <w:pPr>
              <w:spacing w:after="0" w:line="240" w:lineRule="auto"/>
              <w:jc w:val="center"/>
              <w:rPr>
                <w:sz w:val="24"/>
                <w:szCs w:val="24"/>
              </w:rPr>
            </w:pPr>
          </w:p>
        </w:tc>
      </w:tr>
    </w:tbl>
    <w:p w:rsidR="00580563" w:rsidRPr="00A55756" w:rsidRDefault="00580563" w:rsidP="00A55756">
      <w:pPr>
        <w:spacing w:after="0" w:line="240" w:lineRule="auto"/>
        <w:rPr>
          <w:sz w:val="24"/>
          <w:szCs w:val="24"/>
        </w:rPr>
      </w:pPr>
    </w:p>
    <w:p w:rsidR="00226191" w:rsidRDefault="007451C3" w:rsidP="00807694">
      <w:pPr>
        <w:pStyle w:val="ListParagraph"/>
        <w:numPr>
          <w:ilvl w:val="0"/>
          <w:numId w:val="7"/>
        </w:numPr>
        <w:spacing w:after="0" w:line="240" w:lineRule="auto"/>
        <w:rPr>
          <w:sz w:val="24"/>
          <w:szCs w:val="24"/>
        </w:rPr>
      </w:pPr>
      <w:r w:rsidRPr="00226191">
        <w:rPr>
          <w:sz w:val="24"/>
          <w:szCs w:val="24"/>
        </w:rPr>
        <w:t>Garnishments for support payments may not exceed 50% of disposable earnings, with the</w:t>
      </w:r>
      <w:r w:rsidR="00340C82" w:rsidRPr="00226191">
        <w:rPr>
          <w:sz w:val="24"/>
          <w:szCs w:val="24"/>
        </w:rPr>
        <w:t xml:space="preserve"> </w:t>
      </w:r>
      <w:r w:rsidRPr="00226191">
        <w:rPr>
          <w:sz w:val="24"/>
          <w:szCs w:val="24"/>
        </w:rPr>
        <w:t>following two exceptions.</w:t>
      </w:r>
    </w:p>
    <w:p w:rsidR="00226191" w:rsidRDefault="00226191" w:rsidP="00226191">
      <w:pPr>
        <w:pStyle w:val="ListParagraph"/>
        <w:spacing w:after="0" w:line="240" w:lineRule="auto"/>
        <w:ind w:left="1440"/>
        <w:rPr>
          <w:sz w:val="24"/>
          <w:szCs w:val="24"/>
        </w:rPr>
      </w:pPr>
    </w:p>
    <w:p w:rsidR="00226191" w:rsidRDefault="007451C3" w:rsidP="00807694">
      <w:pPr>
        <w:pStyle w:val="ListParagraph"/>
        <w:numPr>
          <w:ilvl w:val="1"/>
          <w:numId w:val="7"/>
        </w:numPr>
        <w:spacing w:after="0" w:line="240" w:lineRule="auto"/>
        <w:rPr>
          <w:sz w:val="24"/>
          <w:szCs w:val="24"/>
        </w:rPr>
      </w:pPr>
      <w:r w:rsidRPr="00226191">
        <w:rPr>
          <w:sz w:val="24"/>
          <w:szCs w:val="24"/>
        </w:rPr>
        <w:lastRenderedPageBreak/>
        <w:t>A support garnishment may be as high as 60% of disposable earnings, if the wage</w:t>
      </w:r>
      <w:r w:rsidR="00340C82" w:rsidRPr="00226191">
        <w:rPr>
          <w:sz w:val="24"/>
          <w:szCs w:val="24"/>
        </w:rPr>
        <w:t xml:space="preserve"> </w:t>
      </w:r>
      <w:r w:rsidRPr="00226191">
        <w:rPr>
          <w:sz w:val="24"/>
          <w:szCs w:val="24"/>
        </w:rPr>
        <w:t>earner is not supporting a child or spouse, other than the subject of the garnishment.</w:t>
      </w:r>
    </w:p>
    <w:p w:rsidR="00226191" w:rsidRDefault="00226191" w:rsidP="00226191">
      <w:pPr>
        <w:pStyle w:val="ListParagraph"/>
        <w:spacing w:after="0" w:line="240" w:lineRule="auto"/>
        <w:ind w:left="1440"/>
        <w:rPr>
          <w:sz w:val="24"/>
          <w:szCs w:val="24"/>
        </w:rPr>
      </w:pPr>
    </w:p>
    <w:p w:rsidR="00226191" w:rsidRDefault="00FA293A" w:rsidP="00807694">
      <w:pPr>
        <w:pStyle w:val="ListParagraph"/>
        <w:numPr>
          <w:ilvl w:val="1"/>
          <w:numId w:val="7"/>
        </w:numPr>
        <w:spacing w:after="0" w:line="240" w:lineRule="auto"/>
        <w:rPr>
          <w:sz w:val="24"/>
          <w:szCs w:val="24"/>
        </w:rPr>
      </w:pPr>
      <w:r w:rsidRPr="00226191">
        <w:rPr>
          <w:sz w:val="24"/>
          <w:szCs w:val="24"/>
        </w:rPr>
        <w:t>An addition</w:t>
      </w:r>
      <w:r w:rsidR="00C732AF" w:rsidRPr="00226191">
        <w:rPr>
          <w:sz w:val="24"/>
          <w:szCs w:val="24"/>
        </w:rPr>
        <w:t>al</w:t>
      </w:r>
      <w:r w:rsidRPr="00226191">
        <w:rPr>
          <w:sz w:val="24"/>
          <w:szCs w:val="24"/>
        </w:rPr>
        <w:t xml:space="preserve"> 5% of disposable earnings may be garnished, if payments are more than 12 </w:t>
      </w:r>
      <w:r w:rsidR="00340C82" w:rsidRPr="00226191">
        <w:rPr>
          <w:sz w:val="24"/>
          <w:szCs w:val="24"/>
        </w:rPr>
        <w:t>weeks in arrears.</w:t>
      </w:r>
    </w:p>
    <w:p w:rsidR="00226191" w:rsidRPr="00226191" w:rsidRDefault="00226191" w:rsidP="00226191">
      <w:pPr>
        <w:pStyle w:val="ListParagraph"/>
        <w:rPr>
          <w:sz w:val="24"/>
          <w:szCs w:val="24"/>
        </w:rPr>
      </w:pPr>
    </w:p>
    <w:p w:rsidR="00340C82" w:rsidRPr="00226191" w:rsidRDefault="00226191" w:rsidP="00226191">
      <w:pPr>
        <w:pStyle w:val="ListParagraph"/>
        <w:spacing w:after="0" w:line="240" w:lineRule="auto"/>
        <w:ind w:left="1440"/>
        <w:rPr>
          <w:sz w:val="24"/>
          <w:szCs w:val="24"/>
        </w:rPr>
      </w:pPr>
      <w:r>
        <w:rPr>
          <w:sz w:val="24"/>
          <w:szCs w:val="24"/>
        </w:rPr>
        <w:t>N</w:t>
      </w:r>
      <w:r w:rsidR="00340C82" w:rsidRPr="00226191">
        <w:rPr>
          <w:sz w:val="24"/>
          <w:szCs w:val="24"/>
        </w:rPr>
        <w:t xml:space="preserve">ote: </w:t>
      </w:r>
      <w:r w:rsidR="00B37432" w:rsidRPr="00226191">
        <w:rPr>
          <w:sz w:val="24"/>
          <w:szCs w:val="24"/>
        </w:rPr>
        <w:tab/>
      </w:r>
      <w:r w:rsidR="00340C82" w:rsidRPr="00226191">
        <w:rPr>
          <w:sz w:val="24"/>
          <w:szCs w:val="24"/>
        </w:rPr>
        <w:t xml:space="preserve">The limits on garnishment for consumer debt - </w:t>
      </w:r>
      <w:r w:rsidR="00B37432" w:rsidRPr="00226191">
        <w:rPr>
          <w:sz w:val="24"/>
          <w:szCs w:val="24"/>
        </w:rPr>
        <w:t xml:space="preserve">the </w:t>
      </w:r>
      <w:proofErr w:type="gramStart"/>
      <w:r w:rsidR="00B37432" w:rsidRPr="00226191">
        <w:rPr>
          <w:sz w:val="24"/>
          <w:szCs w:val="24"/>
        </w:rPr>
        <w:t>lesser</w:t>
      </w:r>
      <w:proofErr w:type="gramEnd"/>
      <w:r w:rsidR="00B37432" w:rsidRPr="00226191">
        <w:rPr>
          <w:sz w:val="24"/>
          <w:szCs w:val="24"/>
        </w:rPr>
        <w:t xml:space="preserve"> of 25% of disposable </w:t>
      </w:r>
      <w:r w:rsidR="00340C82" w:rsidRPr="00226191">
        <w:rPr>
          <w:sz w:val="24"/>
          <w:szCs w:val="24"/>
        </w:rPr>
        <w:t>earnings or the amount by which disposable earnings exceed 30 times the minimum</w:t>
      </w:r>
      <w:r w:rsidR="00B37432" w:rsidRPr="00226191">
        <w:rPr>
          <w:sz w:val="24"/>
          <w:szCs w:val="24"/>
        </w:rPr>
        <w:t xml:space="preserve"> </w:t>
      </w:r>
      <w:r w:rsidR="00340C82" w:rsidRPr="00226191">
        <w:rPr>
          <w:sz w:val="24"/>
          <w:szCs w:val="24"/>
        </w:rPr>
        <w:t>wage - do not apply to support garnishments.</w:t>
      </w:r>
    </w:p>
    <w:p w:rsidR="00B37432" w:rsidRPr="00A55756" w:rsidRDefault="00B37432" w:rsidP="00A55756">
      <w:pPr>
        <w:spacing w:after="0" w:line="240" w:lineRule="auto"/>
        <w:rPr>
          <w:sz w:val="24"/>
          <w:szCs w:val="24"/>
        </w:rPr>
      </w:pPr>
    </w:p>
    <w:p w:rsidR="00226191" w:rsidRDefault="00340C82" w:rsidP="00807694">
      <w:pPr>
        <w:pStyle w:val="ListParagraph"/>
        <w:numPr>
          <w:ilvl w:val="0"/>
          <w:numId w:val="7"/>
        </w:numPr>
        <w:spacing w:after="0" w:line="240" w:lineRule="auto"/>
        <w:rPr>
          <w:sz w:val="24"/>
          <w:szCs w:val="24"/>
        </w:rPr>
      </w:pPr>
      <w:r w:rsidRPr="00226191">
        <w:rPr>
          <w:sz w:val="24"/>
          <w:szCs w:val="24"/>
        </w:rPr>
        <w:t>There is no CCPA earnings’ protection in cases of garnishment due to any debt for federal</w:t>
      </w:r>
      <w:r w:rsidR="00B37432" w:rsidRPr="00226191">
        <w:rPr>
          <w:sz w:val="24"/>
          <w:szCs w:val="24"/>
        </w:rPr>
        <w:t xml:space="preserve"> </w:t>
      </w:r>
      <w:r w:rsidRPr="00226191">
        <w:rPr>
          <w:sz w:val="24"/>
          <w:szCs w:val="24"/>
        </w:rPr>
        <w:t>or state tax, or personal bankruptcy. Any amount may be garnished in such cases. (See</w:t>
      </w:r>
      <w:r w:rsidR="00B37432" w:rsidRPr="00226191">
        <w:rPr>
          <w:sz w:val="24"/>
          <w:szCs w:val="24"/>
        </w:rPr>
        <w:t xml:space="preserve"> </w:t>
      </w:r>
      <w:r w:rsidRPr="00226191">
        <w:rPr>
          <w:sz w:val="24"/>
          <w:szCs w:val="24"/>
        </w:rPr>
        <w:t>FOH 16b14.)</w:t>
      </w:r>
    </w:p>
    <w:p w:rsidR="00226191" w:rsidRDefault="00226191" w:rsidP="00226191">
      <w:pPr>
        <w:pStyle w:val="ListParagraph"/>
        <w:spacing w:after="0" w:line="240" w:lineRule="auto"/>
        <w:rPr>
          <w:sz w:val="24"/>
          <w:szCs w:val="24"/>
        </w:rPr>
      </w:pPr>
    </w:p>
    <w:p w:rsidR="00340C82" w:rsidRPr="00226191" w:rsidRDefault="00226191" w:rsidP="00226191">
      <w:pPr>
        <w:pStyle w:val="ListParagraph"/>
        <w:spacing w:after="0" w:line="240" w:lineRule="auto"/>
        <w:rPr>
          <w:sz w:val="24"/>
          <w:szCs w:val="24"/>
        </w:rPr>
      </w:pPr>
      <w:r>
        <w:rPr>
          <w:sz w:val="24"/>
          <w:szCs w:val="24"/>
        </w:rPr>
        <w:t>N</w:t>
      </w:r>
      <w:r w:rsidR="00340C82" w:rsidRPr="00226191">
        <w:rPr>
          <w:sz w:val="24"/>
          <w:szCs w:val="24"/>
        </w:rPr>
        <w:t xml:space="preserve">ote: </w:t>
      </w:r>
      <w:r w:rsidR="00B37432" w:rsidRPr="00226191">
        <w:rPr>
          <w:sz w:val="24"/>
          <w:szCs w:val="24"/>
        </w:rPr>
        <w:tab/>
      </w:r>
      <w:r w:rsidR="00340C82" w:rsidRPr="00226191">
        <w:rPr>
          <w:sz w:val="24"/>
          <w:szCs w:val="24"/>
        </w:rPr>
        <w:t xml:space="preserve">The limits on garnishment for consumer debt - </w:t>
      </w:r>
      <w:r w:rsidR="00B37432" w:rsidRPr="00226191">
        <w:rPr>
          <w:sz w:val="24"/>
          <w:szCs w:val="24"/>
        </w:rPr>
        <w:t xml:space="preserve">the </w:t>
      </w:r>
      <w:proofErr w:type="gramStart"/>
      <w:r w:rsidR="00B37432" w:rsidRPr="00226191">
        <w:rPr>
          <w:sz w:val="24"/>
          <w:szCs w:val="24"/>
        </w:rPr>
        <w:t>lesser</w:t>
      </w:r>
      <w:proofErr w:type="gramEnd"/>
      <w:r w:rsidR="00B37432" w:rsidRPr="00226191">
        <w:rPr>
          <w:sz w:val="24"/>
          <w:szCs w:val="24"/>
        </w:rPr>
        <w:t xml:space="preserve"> of 25% of disposable </w:t>
      </w:r>
      <w:r w:rsidR="00340C82" w:rsidRPr="00226191">
        <w:rPr>
          <w:sz w:val="24"/>
          <w:szCs w:val="24"/>
        </w:rPr>
        <w:t>earnings or the amount by which disposable earni</w:t>
      </w:r>
      <w:r w:rsidR="00B37432" w:rsidRPr="00226191">
        <w:rPr>
          <w:sz w:val="24"/>
          <w:szCs w:val="24"/>
        </w:rPr>
        <w:t xml:space="preserve">ngs exceed 30 times the minimum </w:t>
      </w:r>
      <w:r w:rsidR="00340C82" w:rsidRPr="00226191">
        <w:rPr>
          <w:sz w:val="24"/>
          <w:szCs w:val="24"/>
        </w:rPr>
        <w:t>wage - do not apply to cases of garnishment due to any debt for federal or state tax,</w:t>
      </w:r>
      <w:r w:rsidR="00B37432" w:rsidRPr="00226191">
        <w:rPr>
          <w:sz w:val="24"/>
          <w:szCs w:val="24"/>
        </w:rPr>
        <w:t xml:space="preserve"> </w:t>
      </w:r>
      <w:r w:rsidR="00340C82" w:rsidRPr="00226191">
        <w:rPr>
          <w:sz w:val="24"/>
          <w:szCs w:val="24"/>
        </w:rPr>
        <w:t>or personal bankruptcy.</w:t>
      </w:r>
    </w:p>
    <w:p w:rsidR="00AF0F79" w:rsidRPr="00A55756" w:rsidRDefault="00AF0F79" w:rsidP="00A55756">
      <w:pPr>
        <w:spacing w:after="0" w:line="240" w:lineRule="auto"/>
        <w:rPr>
          <w:sz w:val="24"/>
          <w:szCs w:val="24"/>
        </w:rPr>
      </w:pPr>
    </w:p>
    <w:p w:rsidR="00340C82" w:rsidRPr="00B30B96" w:rsidRDefault="00B37432" w:rsidP="00A55756">
      <w:pPr>
        <w:spacing w:after="0" w:line="240" w:lineRule="auto"/>
        <w:rPr>
          <w:rFonts w:eastAsia="Times New Roman"/>
          <w:b/>
          <w:bCs/>
          <w:sz w:val="24"/>
          <w:szCs w:val="28"/>
        </w:rPr>
      </w:pPr>
      <w:proofErr w:type="gramStart"/>
      <w:r w:rsidRPr="00B30B96">
        <w:rPr>
          <w:rFonts w:eastAsia="Times New Roman"/>
          <w:b/>
          <w:bCs/>
          <w:sz w:val="24"/>
          <w:szCs w:val="28"/>
        </w:rPr>
        <w:t>16b01</w:t>
      </w:r>
      <w:r w:rsidR="00B30B96" w:rsidRPr="00B30B96">
        <w:rPr>
          <w:rFonts w:eastAsia="Times New Roman"/>
          <w:b/>
          <w:bCs/>
          <w:sz w:val="24"/>
          <w:szCs w:val="28"/>
        </w:rPr>
        <w:t xml:space="preserve"> - </w:t>
      </w:r>
      <w:r w:rsidR="00340C82" w:rsidRPr="00B30B96">
        <w:rPr>
          <w:rFonts w:eastAsia="Times New Roman"/>
          <w:b/>
          <w:bCs/>
          <w:sz w:val="24"/>
          <w:szCs w:val="28"/>
        </w:rPr>
        <w:t>Disposable earnings.</w:t>
      </w:r>
      <w:proofErr w:type="gramEnd"/>
    </w:p>
    <w:p w:rsidR="004A6FE7" w:rsidRPr="00A55756" w:rsidRDefault="004A6FE7" w:rsidP="00A55756">
      <w:pPr>
        <w:spacing w:after="0" w:line="240" w:lineRule="auto"/>
        <w:rPr>
          <w:sz w:val="24"/>
          <w:szCs w:val="24"/>
        </w:rPr>
      </w:pPr>
    </w:p>
    <w:p w:rsidR="00226191" w:rsidRDefault="004A6FE7" w:rsidP="00807694">
      <w:pPr>
        <w:pStyle w:val="ListParagraph"/>
        <w:numPr>
          <w:ilvl w:val="0"/>
          <w:numId w:val="8"/>
        </w:numPr>
        <w:spacing w:after="0" w:line="240" w:lineRule="auto"/>
        <w:rPr>
          <w:sz w:val="24"/>
          <w:szCs w:val="24"/>
        </w:rPr>
      </w:pPr>
      <w:r w:rsidRPr="00226191">
        <w:rPr>
          <w:sz w:val="24"/>
          <w:szCs w:val="24"/>
        </w:rPr>
        <w:t>Sec</w:t>
      </w:r>
      <w:r w:rsidR="00340C82" w:rsidRPr="00226191">
        <w:rPr>
          <w:sz w:val="24"/>
          <w:szCs w:val="24"/>
        </w:rPr>
        <w:t xml:space="preserve"> 302(b) defines disposable earnings as, “that part of the earnings of any individual</w:t>
      </w:r>
      <w:r w:rsidRPr="00226191">
        <w:rPr>
          <w:sz w:val="24"/>
          <w:szCs w:val="24"/>
        </w:rPr>
        <w:t xml:space="preserve"> </w:t>
      </w:r>
      <w:r w:rsidR="00340C82" w:rsidRPr="00226191">
        <w:rPr>
          <w:sz w:val="24"/>
          <w:szCs w:val="24"/>
        </w:rPr>
        <w:t>remaining after the deduction from those earnings of any amounts required by law to be</w:t>
      </w:r>
      <w:r w:rsidRPr="00226191">
        <w:rPr>
          <w:sz w:val="24"/>
          <w:szCs w:val="24"/>
        </w:rPr>
        <w:t xml:space="preserve"> </w:t>
      </w:r>
      <w:r w:rsidR="00340C82" w:rsidRPr="00226191">
        <w:rPr>
          <w:sz w:val="24"/>
          <w:szCs w:val="24"/>
        </w:rPr>
        <w:t>withheld.” Examples of such deductions are:</w:t>
      </w:r>
    </w:p>
    <w:p w:rsidR="00226191" w:rsidRDefault="00226191" w:rsidP="00226191">
      <w:pPr>
        <w:pStyle w:val="ListParagraph"/>
        <w:spacing w:after="0" w:line="240" w:lineRule="auto"/>
        <w:ind w:left="1440"/>
        <w:rPr>
          <w:sz w:val="24"/>
          <w:szCs w:val="24"/>
        </w:rPr>
      </w:pPr>
    </w:p>
    <w:p w:rsidR="00226191" w:rsidRDefault="00340C82" w:rsidP="00807694">
      <w:pPr>
        <w:pStyle w:val="ListParagraph"/>
        <w:numPr>
          <w:ilvl w:val="1"/>
          <w:numId w:val="8"/>
        </w:numPr>
        <w:spacing w:after="0" w:line="240" w:lineRule="auto"/>
        <w:rPr>
          <w:sz w:val="24"/>
          <w:szCs w:val="24"/>
        </w:rPr>
      </w:pPr>
      <w:r w:rsidRPr="00226191">
        <w:rPr>
          <w:sz w:val="24"/>
          <w:szCs w:val="24"/>
        </w:rPr>
        <w:t>Federal (FWT), state or municipal income taxes;</w:t>
      </w:r>
    </w:p>
    <w:p w:rsidR="00226191" w:rsidRDefault="00226191" w:rsidP="00226191">
      <w:pPr>
        <w:pStyle w:val="ListParagraph"/>
        <w:spacing w:after="0" w:line="240" w:lineRule="auto"/>
        <w:ind w:left="1440"/>
        <w:rPr>
          <w:sz w:val="24"/>
          <w:szCs w:val="24"/>
        </w:rPr>
      </w:pPr>
    </w:p>
    <w:p w:rsidR="00226191" w:rsidRDefault="00340C82" w:rsidP="00807694">
      <w:pPr>
        <w:pStyle w:val="ListParagraph"/>
        <w:numPr>
          <w:ilvl w:val="1"/>
          <w:numId w:val="8"/>
        </w:numPr>
        <w:spacing w:after="0" w:line="240" w:lineRule="auto"/>
        <w:rPr>
          <w:sz w:val="24"/>
          <w:szCs w:val="24"/>
        </w:rPr>
      </w:pPr>
      <w:r w:rsidRPr="00226191">
        <w:rPr>
          <w:sz w:val="24"/>
          <w:szCs w:val="24"/>
        </w:rPr>
        <w:t>Employee’s share of Social Security (FICA) and sta</w:t>
      </w:r>
      <w:r w:rsidR="004A6FE7" w:rsidRPr="00226191">
        <w:rPr>
          <w:sz w:val="24"/>
          <w:szCs w:val="24"/>
        </w:rPr>
        <w:t>te unemployment insurance taxes (U</w:t>
      </w:r>
      <w:r w:rsidRPr="00226191">
        <w:rPr>
          <w:sz w:val="24"/>
          <w:szCs w:val="24"/>
        </w:rPr>
        <w:t>CI);</w:t>
      </w:r>
    </w:p>
    <w:p w:rsidR="00226191" w:rsidRPr="00226191" w:rsidRDefault="00226191" w:rsidP="00226191">
      <w:pPr>
        <w:pStyle w:val="ListParagraph"/>
        <w:rPr>
          <w:sz w:val="24"/>
          <w:szCs w:val="24"/>
        </w:rPr>
      </w:pPr>
    </w:p>
    <w:p w:rsidR="00226191" w:rsidRDefault="00340C82" w:rsidP="00807694">
      <w:pPr>
        <w:pStyle w:val="ListParagraph"/>
        <w:numPr>
          <w:ilvl w:val="1"/>
          <w:numId w:val="8"/>
        </w:numPr>
        <w:spacing w:after="0" w:line="240" w:lineRule="auto"/>
        <w:rPr>
          <w:sz w:val="24"/>
          <w:szCs w:val="24"/>
        </w:rPr>
      </w:pPr>
      <w:r w:rsidRPr="00226191">
        <w:rPr>
          <w:sz w:val="24"/>
          <w:szCs w:val="24"/>
        </w:rPr>
        <w:t>State employee retirement systems withholding required by state law; and,</w:t>
      </w:r>
    </w:p>
    <w:p w:rsidR="00226191" w:rsidRPr="00226191" w:rsidRDefault="00226191" w:rsidP="00226191">
      <w:pPr>
        <w:pStyle w:val="ListParagraph"/>
        <w:rPr>
          <w:sz w:val="24"/>
          <w:szCs w:val="24"/>
        </w:rPr>
      </w:pPr>
    </w:p>
    <w:p w:rsidR="00340C82" w:rsidRPr="00226191" w:rsidRDefault="00340C82" w:rsidP="00807694">
      <w:pPr>
        <w:pStyle w:val="ListParagraph"/>
        <w:numPr>
          <w:ilvl w:val="1"/>
          <w:numId w:val="8"/>
        </w:numPr>
        <w:spacing w:after="0" w:line="240" w:lineRule="auto"/>
        <w:rPr>
          <w:sz w:val="24"/>
          <w:szCs w:val="24"/>
        </w:rPr>
      </w:pPr>
      <w:r w:rsidRPr="00226191">
        <w:rPr>
          <w:sz w:val="24"/>
          <w:szCs w:val="24"/>
        </w:rPr>
        <w:t>Federal employee retirement systems (such as CSRS and FERS) withholding required</w:t>
      </w:r>
      <w:r w:rsidR="004A6FE7" w:rsidRPr="00226191">
        <w:rPr>
          <w:sz w:val="24"/>
          <w:szCs w:val="24"/>
        </w:rPr>
        <w:t xml:space="preserve"> </w:t>
      </w:r>
      <w:r w:rsidRPr="00226191">
        <w:rPr>
          <w:sz w:val="24"/>
          <w:szCs w:val="24"/>
        </w:rPr>
        <w:t>by law. Under OPM regulations, voluntary Thrift Savings Plan (TSP) deductions are</w:t>
      </w:r>
      <w:r w:rsidR="004A6FE7" w:rsidRPr="00226191">
        <w:rPr>
          <w:sz w:val="24"/>
          <w:szCs w:val="24"/>
        </w:rPr>
        <w:t xml:space="preserve"> </w:t>
      </w:r>
      <w:r w:rsidRPr="00226191">
        <w:rPr>
          <w:sz w:val="24"/>
          <w:szCs w:val="24"/>
        </w:rPr>
        <w:t>treated the same as deductions required by law; however, note that WH does not have</w:t>
      </w:r>
      <w:r w:rsidR="004A6FE7" w:rsidRPr="00226191">
        <w:rPr>
          <w:sz w:val="24"/>
          <w:szCs w:val="24"/>
        </w:rPr>
        <w:t xml:space="preserve"> </w:t>
      </w:r>
      <w:r w:rsidRPr="00226191">
        <w:rPr>
          <w:sz w:val="24"/>
          <w:szCs w:val="24"/>
        </w:rPr>
        <w:t>the authority to enforce these regulations.</w:t>
      </w:r>
    </w:p>
    <w:p w:rsidR="00226191" w:rsidRDefault="00226191" w:rsidP="00A55756">
      <w:pPr>
        <w:spacing w:after="0" w:line="240" w:lineRule="auto"/>
        <w:rPr>
          <w:sz w:val="24"/>
          <w:szCs w:val="24"/>
        </w:rPr>
      </w:pPr>
    </w:p>
    <w:p w:rsidR="00226191" w:rsidRDefault="00340C82" w:rsidP="00807694">
      <w:pPr>
        <w:pStyle w:val="ListParagraph"/>
        <w:numPr>
          <w:ilvl w:val="0"/>
          <w:numId w:val="8"/>
        </w:numPr>
        <w:spacing w:after="0" w:line="240" w:lineRule="auto"/>
        <w:rPr>
          <w:sz w:val="24"/>
          <w:szCs w:val="24"/>
        </w:rPr>
      </w:pPr>
      <w:r w:rsidRPr="00226191">
        <w:rPr>
          <w:sz w:val="24"/>
          <w:szCs w:val="24"/>
        </w:rPr>
        <w:t>Deductions not required by law are “disposable earnings” subject to garnishment. Examples</w:t>
      </w:r>
      <w:r w:rsidR="004A6FE7" w:rsidRPr="00226191">
        <w:rPr>
          <w:sz w:val="24"/>
          <w:szCs w:val="24"/>
        </w:rPr>
        <w:t xml:space="preserve"> </w:t>
      </w:r>
      <w:r w:rsidRPr="00226191">
        <w:rPr>
          <w:sz w:val="24"/>
          <w:szCs w:val="24"/>
        </w:rPr>
        <w:t>of deductions from employees’ earnings not ordinarily required by law are:</w:t>
      </w:r>
    </w:p>
    <w:p w:rsidR="00226191" w:rsidRDefault="00226191" w:rsidP="00226191">
      <w:pPr>
        <w:pStyle w:val="ListParagraph"/>
        <w:spacing w:after="0" w:line="240" w:lineRule="auto"/>
        <w:rPr>
          <w:sz w:val="24"/>
          <w:szCs w:val="24"/>
        </w:rPr>
      </w:pPr>
    </w:p>
    <w:p w:rsidR="00226191" w:rsidRDefault="00340C82" w:rsidP="00807694">
      <w:pPr>
        <w:pStyle w:val="ListParagraph"/>
        <w:numPr>
          <w:ilvl w:val="1"/>
          <w:numId w:val="8"/>
        </w:numPr>
        <w:spacing w:after="0" w:line="240" w:lineRule="auto"/>
        <w:rPr>
          <w:sz w:val="24"/>
          <w:szCs w:val="24"/>
        </w:rPr>
      </w:pPr>
      <w:r w:rsidRPr="00226191">
        <w:rPr>
          <w:sz w:val="24"/>
          <w:szCs w:val="24"/>
        </w:rPr>
        <w:t>Medical and hospital insurance premiums (these are considered required by law for</w:t>
      </w:r>
      <w:r w:rsidR="004A6FE7" w:rsidRPr="00226191">
        <w:rPr>
          <w:sz w:val="24"/>
          <w:szCs w:val="24"/>
        </w:rPr>
        <w:t xml:space="preserve"> </w:t>
      </w:r>
      <w:r w:rsidRPr="00226191">
        <w:rPr>
          <w:sz w:val="24"/>
          <w:szCs w:val="24"/>
        </w:rPr>
        <w:t>federal employees under OPM regulations; however, note that WH does not have any</w:t>
      </w:r>
      <w:r w:rsidR="001E5B26" w:rsidRPr="00226191">
        <w:rPr>
          <w:sz w:val="24"/>
          <w:szCs w:val="24"/>
        </w:rPr>
        <w:t xml:space="preserve"> </w:t>
      </w:r>
      <w:r w:rsidRPr="00226191">
        <w:rPr>
          <w:sz w:val="24"/>
          <w:szCs w:val="24"/>
        </w:rPr>
        <w:t>authority to enforce these regulations);</w:t>
      </w:r>
    </w:p>
    <w:p w:rsidR="00226191" w:rsidRDefault="00226191" w:rsidP="00226191">
      <w:pPr>
        <w:pStyle w:val="ListParagraph"/>
        <w:spacing w:after="0" w:line="240" w:lineRule="auto"/>
        <w:ind w:left="1440"/>
        <w:rPr>
          <w:sz w:val="24"/>
          <w:szCs w:val="24"/>
        </w:rPr>
      </w:pPr>
    </w:p>
    <w:p w:rsidR="00226191" w:rsidRDefault="00340C82" w:rsidP="00807694">
      <w:pPr>
        <w:pStyle w:val="ListParagraph"/>
        <w:numPr>
          <w:ilvl w:val="1"/>
          <w:numId w:val="8"/>
        </w:numPr>
        <w:spacing w:after="0" w:line="240" w:lineRule="auto"/>
        <w:rPr>
          <w:sz w:val="24"/>
          <w:szCs w:val="24"/>
        </w:rPr>
      </w:pPr>
      <w:r w:rsidRPr="00226191">
        <w:rPr>
          <w:sz w:val="24"/>
          <w:szCs w:val="24"/>
        </w:rPr>
        <w:t>Union dues and initiation fees;</w:t>
      </w:r>
    </w:p>
    <w:p w:rsidR="00226191" w:rsidRPr="00226191" w:rsidRDefault="00226191" w:rsidP="00226191">
      <w:pPr>
        <w:pStyle w:val="ListParagraph"/>
        <w:rPr>
          <w:sz w:val="24"/>
          <w:szCs w:val="24"/>
        </w:rPr>
      </w:pPr>
    </w:p>
    <w:p w:rsidR="00226191" w:rsidRDefault="00340C82" w:rsidP="00807694">
      <w:pPr>
        <w:pStyle w:val="ListParagraph"/>
        <w:numPr>
          <w:ilvl w:val="1"/>
          <w:numId w:val="8"/>
        </w:numPr>
        <w:spacing w:after="0" w:line="240" w:lineRule="auto"/>
        <w:rPr>
          <w:sz w:val="24"/>
          <w:szCs w:val="24"/>
        </w:rPr>
      </w:pPr>
      <w:r w:rsidRPr="00226191">
        <w:rPr>
          <w:sz w:val="24"/>
          <w:szCs w:val="24"/>
        </w:rPr>
        <w:t>U.S. Saving Bonds;</w:t>
      </w:r>
    </w:p>
    <w:p w:rsidR="00226191" w:rsidRPr="00226191" w:rsidRDefault="00226191" w:rsidP="00226191">
      <w:pPr>
        <w:pStyle w:val="ListParagraph"/>
        <w:rPr>
          <w:sz w:val="24"/>
          <w:szCs w:val="24"/>
        </w:rPr>
      </w:pPr>
    </w:p>
    <w:p w:rsidR="00226191" w:rsidRDefault="00340C82" w:rsidP="00807694">
      <w:pPr>
        <w:pStyle w:val="ListParagraph"/>
        <w:numPr>
          <w:ilvl w:val="1"/>
          <w:numId w:val="8"/>
        </w:numPr>
        <w:spacing w:after="0" w:line="240" w:lineRule="auto"/>
        <w:rPr>
          <w:sz w:val="24"/>
          <w:szCs w:val="24"/>
        </w:rPr>
      </w:pPr>
      <w:r w:rsidRPr="00226191">
        <w:rPr>
          <w:sz w:val="24"/>
          <w:szCs w:val="24"/>
        </w:rPr>
        <w:t>Salary advances;</w:t>
      </w:r>
    </w:p>
    <w:p w:rsidR="00226191" w:rsidRPr="00226191" w:rsidRDefault="00226191" w:rsidP="00226191">
      <w:pPr>
        <w:pStyle w:val="ListParagraph"/>
        <w:rPr>
          <w:sz w:val="24"/>
          <w:szCs w:val="24"/>
        </w:rPr>
      </w:pPr>
    </w:p>
    <w:p w:rsidR="00226191" w:rsidRDefault="001E5B26" w:rsidP="00807694">
      <w:pPr>
        <w:pStyle w:val="ListParagraph"/>
        <w:numPr>
          <w:ilvl w:val="1"/>
          <w:numId w:val="8"/>
        </w:numPr>
        <w:spacing w:after="0" w:line="240" w:lineRule="auto"/>
        <w:rPr>
          <w:sz w:val="24"/>
          <w:szCs w:val="24"/>
        </w:rPr>
      </w:pPr>
      <w:r w:rsidRPr="00226191">
        <w:rPr>
          <w:sz w:val="24"/>
          <w:szCs w:val="24"/>
        </w:rPr>
        <w:t>Contributions to religious, eleemosynary, or educational organizations;</w:t>
      </w:r>
    </w:p>
    <w:p w:rsidR="00226191" w:rsidRPr="00226191" w:rsidRDefault="00226191" w:rsidP="00226191">
      <w:pPr>
        <w:pStyle w:val="ListParagraph"/>
        <w:rPr>
          <w:sz w:val="24"/>
          <w:szCs w:val="24"/>
        </w:rPr>
      </w:pPr>
    </w:p>
    <w:p w:rsidR="00226191" w:rsidRDefault="001E5B26" w:rsidP="00807694">
      <w:pPr>
        <w:pStyle w:val="ListParagraph"/>
        <w:numPr>
          <w:ilvl w:val="1"/>
          <w:numId w:val="8"/>
        </w:numPr>
        <w:spacing w:after="0" w:line="240" w:lineRule="auto"/>
        <w:rPr>
          <w:sz w:val="24"/>
          <w:szCs w:val="24"/>
        </w:rPr>
      </w:pPr>
      <w:r w:rsidRPr="00226191">
        <w:rPr>
          <w:sz w:val="24"/>
          <w:szCs w:val="24"/>
        </w:rPr>
        <w:t>Board, lodging or other facilities;</w:t>
      </w:r>
    </w:p>
    <w:p w:rsidR="00226191" w:rsidRPr="00226191" w:rsidRDefault="00226191" w:rsidP="00226191">
      <w:pPr>
        <w:pStyle w:val="ListParagraph"/>
        <w:rPr>
          <w:sz w:val="24"/>
          <w:szCs w:val="24"/>
        </w:rPr>
      </w:pPr>
    </w:p>
    <w:p w:rsidR="00226191" w:rsidRDefault="001E5B26" w:rsidP="00807694">
      <w:pPr>
        <w:pStyle w:val="ListParagraph"/>
        <w:numPr>
          <w:ilvl w:val="1"/>
          <w:numId w:val="8"/>
        </w:numPr>
        <w:spacing w:after="0" w:line="240" w:lineRule="auto"/>
        <w:rPr>
          <w:sz w:val="24"/>
          <w:szCs w:val="24"/>
        </w:rPr>
      </w:pPr>
      <w:r w:rsidRPr="00226191">
        <w:rPr>
          <w:sz w:val="24"/>
          <w:szCs w:val="24"/>
        </w:rPr>
        <w:t>Purchase of stock in the employer’s corporation;</w:t>
      </w:r>
    </w:p>
    <w:p w:rsidR="00226191" w:rsidRPr="00226191" w:rsidRDefault="00226191" w:rsidP="00226191">
      <w:pPr>
        <w:pStyle w:val="ListParagraph"/>
        <w:rPr>
          <w:sz w:val="24"/>
          <w:szCs w:val="24"/>
        </w:rPr>
      </w:pPr>
    </w:p>
    <w:p w:rsidR="00226191" w:rsidRDefault="001E5B26" w:rsidP="00807694">
      <w:pPr>
        <w:pStyle w:val="ListParagraph"/>
        <w:numPr>
          <w:ilvl w:val="1"/>
          <w:numId w:val="8"/>
        </w:numPr>
        <w:spacing w:after="0" w:line="240" w:lineRule="auto"/>
        <w:rPr>
          <w:sz w:val="24"/>
          <w:szCs w:val="24"/>
        </w:rPr>
      </w:pPr>
      <w:r w:rsidRPr="00226191">
        <w:rPr>
          <w:sz w:val="24"/>
          <w:szCs w:val="24"/>
        </w:rPr>
        <w:t>Wage assignments not effected by a judgment;</w:t>
      </w:r>
    </w:p>
    <w:p w:rsidR="00226191" w:rsidRPr="00226191" w:rsidRDefault="00226191" w:rsidP="00226191">
      <w:pPr>
        <w:pStyle w:val="ListParagraph"/>
        <w:rPr>
          <w:sz w:val="24"/>
          <w:szCs w:val="24"/>
        </w:rPr>
      </w:pPr>
    </w:p>
    <w:p w:rsidR="00226191" w:rsidRDefault="001E5B26" w:rsidP="00807694">
      <w:pPr>
        <w:pStyle w:val="ListParagraph"/>
        <w:numPr>
          <w:ilvl w:val="1"/>
          <w:numId w:val="8"/>
        </w:numPr>
        <w:spacing w:after="0" w:line="240" w:lineRule="auto"/>
        <w:rPr>
          <w:sz w:val="24"/>
          <w:szCs w:val="24"/>
        </w:rPr>
      </w:pPr>
      <w:r w:rsidRPr="00226191">
        <w:rPr>
          <w:sz w:val="24"/>
          <w:szCs w:val="24"/>
        </w:rPr>
        <w:t>Retirement plan contributions (except those required by law and, under OPM regulations, TSP contributions; however, note that WH does not have the authority to enforce the OPM regulation);</w:t>
      </w:r>
    </w:p>
    <w:p w:rsidR="00226191" w:rsidRPr="00226191" w:rsidRDefault="00226191" w:rsidP="00226191">
      <w:pPr>
        <w:pStyle w:val="ListParagraph"/>
        <w:rPr>
          <w:sz w:val="24"/>
          <w:szCs w:val="24"/>
        </w:rPr>
      </w:pPr>
    </w:p>
    <w:p w:rsidR="00226191" w:rsidRDefault="00226191" w:rsidP="00807694">
      <w:pPr>
        <w:pStyle w:val="ListParagraph"/>
        <w:numPr>
          <w:ilvl w:val="1"/>
          <w:numId w:val="8"/>
        </w:numPr>
        <w:spacing w:after="0" w:line="240" w:lineRule="auto"/>
        <w:rPr>
          <w:sz w:val="24"/>
          <w:szCs w:val="24"/>
        </w:rPr>
      </w:pPr>
      <w:r w:rsidRPr="00226191">
        <w:rPr>
          <w:sz w:val="24"/>
          <w:szCs w:val="24"/>
        </w:rPr>
        <w:t>C</w:t>
      </w:r>
      <w:r w:rsidR="001E5B26" w:rsidRPr="00226191">
        <w:rPr>
          <w:sz w:val="24"/>
          <w:szCs w:val="24"/>
        </w:rPr>
        <w:t>redit union loan payments;</w:t>
      </w:r>
    </w:p>
    <w:p w:rsidR="00226191" w:rsidRPr="00226191" w:rsidRDefault="00226191" w:rsidP="00226191">
      <w:pPr>
        <w:pStyle w:val="ListParagraph"/>
        <w:rPr>
          <w:sz w:val="24"/>
          <w:szCs w:val="24"/>
        </w:rPr>
      </w:pPr>
    </w:p>
    <w:p w:rsidR="00226191" w:rsidRDefault="001E5B26" w:rsidP="00807694">
      <w:pPr>
        <w:pStyle w:val="ListParagraph"/>
        <w:numPr>
          <w:ilvl w:val="1"/>
          <w:numId w:val="8"/>
        </w:numPr>
        <w:spacing w:after="0" w:line="240" w:lineRule="auto"/>
        <w:rPr>
          <w:sz w:val="24"/>
          <w:szCs w:val="24"/>
        </w:rPr>
      </w:pPr>
      <w:r w:rsidRPr="00226191">
        <w:rPr>
          <w:sz w:val="24"/>
          <w:szCs w:val="24"/>
        </w:rPr>
        <w:t>Uniform rentals;</w:t>
      </w:r>
    </w:p>
    <w:p w:rsidR="00226191" w:rsidRPr="00226191" w:rsidRDefault="00226191" w:rsidP="00226191">
      <w:pPr>
        <w:pStyle w:val="ListParagraph"/>
        <w:rPr>
          <w:sz w:val="24"/>
          <w:szCs w:val="24"/>
        </w:rPr>
      </w:pPr>
    </w:p>
    <w:p w:rsidR="00226191" w:rsidRDefault="001E5B26" w:rsidP="00807694">
      <w:pPr>
        <w:pStyle w:val="ListParagraph"/>
        <w:numPr>
          <w:ilvl w:val="1"/>
          <w:numId w:val="8"/>
        </w:numPr>
        <w:spacing w:after="0" w:line="240" w:lineRule="auto"/>
        <w:rPr>
          <w:sz w:val="24"/>
          <w:szCs w:val="24"/>
        </w:rPr>
      </w:pPr>
      <w:r w:rsidRPr="00226191">
        <w:rPr>
          <w:sz w:val="24"/>
          <w:szCs w:val="24"/>
        </w:rPr>
        <w:t>Allowances for attorney fees permitted by state law; and,</w:t>
      </w:r>
    </w:p>
    <w:p w:rsidR="00226191" w:rsidRPr="00226191" w:rsidRDefault="00226191" w:rsidP="00226191">
      <w:pPr>
        <w:pStyle w:val="ListParagraph"/>
        <w:rPr>
          <w:sz w:val="24"/>
          <w:szCs w:val="24"/>
        </w:rPr>
      </w:pPr>
    </w:p>
    <w:p w:rsidR="00226191" w:rsidRDefault="001E5B26" w:rsidP="00807694">
      <w:pPr>
        <w:pStyle w:val="ListParagraph"/>
        <w:numPr>
          <w:ilvl w:val="1"/>
          <w:numId w:val="8"/>
        </w:numPr>
        <w:spacing w:after="0" w:line="240" w:lineRule="auto"/>
        <w:rPr>
          <w:sz w:val="24"/>
          <w:szCs w:val="24"/>
        </w:rPr>
      </w:pPr>
      <w:r w:rsidRPr="00226191">
        <w:rPr>
          <w:sz w:val="24"/>
          <w:szCs w:val="24"/>
        </w:rPr>
        <w:t>Garnishment service fees permitted by state law.</w:t>
      </w:r>
    </w:p>
    <w:p w:rsidR="00226191" w:rsidRPr="00226191" w:rsidRDefault="00226191" w:rsidP="00226191">
      <w:pPr>
        <w:pStyle w:val="ListParagraph"/>
        <w:rPr>
          <w:sz w:val="24"/>
          <w:szCs w:val="24"/>
        </w:rPr>
      </w:pPr>
    </w:p>
    <w:p w:rsidR="001E5B26" w:rsidRPr="00226191" w:rsidRDefault="001E5B26" w:rsidP="00807694">
      <w:pPr>
        <w:pStyle w:val="ListParagraph"/>
        <w:numPr>
          <w:ilvl w:val="0"/>
          <w:numId w:val="8"/>
        </w:numPr>
        <w:spacing w:after="0" w:line="240" w:lineRule="auto"/>
        <w:rPr>
          <w:sz w:val="24"/>
          <w:szCs w:val="24"/>
        </w:rPr>
      </w:pPr>
      <w:r w:rsidRPr="00226191">
        <w:rPr>
          <w:sz w:val="24"/>
          <w:szCs w:val="24"/>
        </w:rPr>
        <w:t>The following example demonstrates how deductions required by law are excluded in</w:t>
      </w:r>
      <w:r w:rsidR="00127980" w:rsidRPr="00226191">
        <w:rPr>
          <w:sz w:val="24"/>
          <w:szCs w:val="24"/>
        </w:rPr>
        <w:t xml:space="preserve"> </w:t>
      </w:r>
      <w:r w:rsidRPr="00226191">
        <w:rPr>
          <w:sz w:val="24"/>
          <w:szCs w:val="24"/>
        </w:rPr>
        <w:t>determining disposable earnings subject to garnishment:</w:t>
      </w:r>
    </w:p>
    <w:p w:rsidR="00127980" w:rsidRPr="00A55756" w:rsidRDefault="00127980" w:rsidP="00A55756">
      <w:pPr>
        <w:spacing w:after="0" w:line="240" w:lineRule="auto"/>
        <w:rPr>
          <w:sz w:val="24"/>
          <w:szCs w:val="24"/>
        </w:rPr>
      </w:pPr>
    </w:p>
    <w:tbl>
      <w:tblPr>
        <w:tblStyle w:val="TableGrid"/>
        <w:tblW w:w="0" w:type="auto"/>
        <w:jc w:val="center"/>
        <w:tblLook w:val="04A0" w:firstRow="1" w:lastRow="0" w:firstColumn="1" w:lastColumn="0" w:noHBand="0" w:noVBand="1"/>
      </w:tblPr>
      <w:tblGrid>
        <w:gridCol w:w="4162"/>
        <w:gridCol w:w="1370"/>
        <w:gridCol w:w="876"/>
        <w:gridCol w:w="723"/>
        <w:gridCol w:w="1076"/>
      </w:tblGrid>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Weekly Earnings</w:t>
            </w:r>
          </w:p>
        </w:tc>
        <w:tc>
          <w:tcPr>
            <w:tcW w:w="0" w:type="auto"/>
          </w:tcPr>
          <w:p w:rsidR="003C232E" w:rsidRPr="003C232E" w:rsidRDefault="003C232E" w:rsidP="00CD6205">
            <w:pPr>
              <w:spacing w:after="0" w:line="240" w:lineRule="auto"/>
              <w:rPr>
                <w:sz w:val="24"/>
                <w:szCs w:val="24"/>
              </w:rPr>
            </w:pPr>
          </w:p>
        </w:tc>
        <w:tc>
          <w:tcPr>
            <w:tcW w:w="0" w:type="auto"/>
          </w:tcPr>
          <w:p w:rsidR="003C232E" w:rsidRPr="003C232E" w:rsidRDefault="003C232E" w:rsidP="00CD6205">
            <w:pPr>
              <w:spacing w:after="0" w:line="240" w:lineRule="auto"/>
              <w:rPr>
                <w:sz w:val="24"/>
                <w:szCs w:val="24"/>
              </w:rPr>
            </w:pP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$500.00</w:t>
            </w: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Less Deductions Required by Law</w:t>
            </w:r>
          </w:p>
        </w:tc>
        <w:tc>
          <w:tcPr>
            <w:tcW w:w="0" w:type="auto"/>
          </w:tcPr>
          <w:p w:rsidR="003C232E" w:rsidRPr="003C232E" w:rsidRDefault="003C232E" w:rsidP="00CD6205">
            <w:pPr>
              <w:spacing w:after="0" w:line="240" w:lineRule="auto"/>
              <w:rPr>
                <w:sz w:val="24"/>
                <w:szCs w:val="24"/>
              </w:rPr>
            </w:pPr>
            <w:r w:rsidRPr="003C232E">
              <w:rPr>
                <w:sz w:val="24"/>
                <w:szCs w:val="24"/>
              </w:rPr>
              <w:t>FWT</w:t>
            </w: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$85.39</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p>
        </w:tc>
        <w:tc>
          <w:tcPr>
            <w:tcW w:w="0" w:type="auto"/>
          </w:tcPr>
          <w:p w:rsidR="003C232E" w:rsidRPr="003C232E" w:rsidRDefault="003C232E" w:rsidP="00CD6205">
            <w:pPr>
              <w:spacing w:after="0" w:line="240" w:lineRule="auto"/>
              <w:rPr>
                <w:sz w:val="24"/>
                <w:szCs w:val="24"/>
              </w:rPr>
            </w:pPr>
            <w:r w:rsidRPr="003C232E">
              <w:rPr>
                <w:sz w:val="24"/>
                <w:szCs w:val="24"/>
              </w:rPr>
              <w:t>FICA</w:t>
            </w: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$37.40</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p>
        </w:tc>
        <w:tc>
          <w:tcPr>
            <w:tcW w:w="0" w:type="auto"/>
          </w:tcPr>
          <w:p w:rsidR="003C232E" w:rsidRPr="003C232E" w:rsidRDefault="003C232E" w:rsidP="00CD6205">
            <w:pPr>
              <w:spacing w:after="0" w:line="240" w:lineRule="auto"/>
              <w:rPr>
                <w:sz w:val="24"/>
                <w:szCs w:val="24"/>
              </w:rPr>
            </w:pPr>
            <w:r w:rsidRPr="003C232E">
              <w:rPr>
                <w:sz w:val="24"/>
                <w:szCs w:val="24"/>
              </w:rPr>
              <w:t>UCI</w:t>
            </w: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$5.00</w:t>
            </w:r>
          </w:p>
        </w:tc>
        <w:tc>
          <w:tcPr>
            <w:tcW w:w="0" w:type="auto"/>
          </w:tcPr>
          <w:p w:rsidR="003C232E" w:rsidRPr="003C232E" w:rsidRDefault="003C232E" w:rsidP="00CD6205">
            <w:pPr>
              <w:spacing w:after="0" w:line="240" w:lineRule="auto"/>
              <w:rPr>
                <w:sz w:val="24"/>
                <w:szCs w:val="24"/>
              </w:rPr>
            </w:pPr>
            <w:r w:rsidRPr="003C232E">
              <w:rPr>
                <w:sz w:val="24"/>
                <w:szCs w:val="24"/>
              </w:rPr>
              <w:t>Total</w:t>
            </w: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-$127.89</w:t>
            </w: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Disposable Earnings</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$372.11</w:t>
            </w:r>
          </w:p>
        </w:tc>
      </w:tr>
      <w:tr w:rsidR="003C232E" w:rsidRPr="003C232E" w:rsidTr="003C232E">
        <w:trPr>
          <w:jc w:val="center"/>
        </w:trPr>
        <w:tc>
          <w:tcPr>
            <w:tcW w:w="0" w:type="auto"/>
            <w:gridSpan w:val="5"/>
            <w:vAlign w:val="center"/>
          </w:tcPr>
          <w:p w:rsidR="003C232E" w:rsidRPr="003C232E" w:rsidRDefault="003C232E" w:rsidP="003C232E">
            <w:pPr>
              <w:spacing w:after="0" w:line="240" w:lineRule="auto"/>
              <w:jc w:val="right"/>
              <w:rPr>
                <w:sz w:val="24"/>
                <w:szCs w:val="24"/>
              </w:rPr>
            </w:pP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 xml:space="preserve">Disposable Earnings </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$372.11</w:t>
            </w: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 xml:space="preserve">Garnishment Factor (See FOH 16b00(a)) </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 xml:space="preserve"> X 25%</w:t>
            </w: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 xml:space="preserve">Amount </w:t>
            </w:r>
            <w:proofErr w:type="spellStart"/>
            <w:r w:rsidRPr="003C232E">
              <w:rPr>
                <w:sz w:val="24"/>
                <w:szCs w:val="24"/>
              </w:rPr>
              <w:t>Garnishable</w:t>
            </w:r>
            <w:proofErr w:type="spellEnd"/>
            <w:r w:rsidRPr="003C232E">
              <w:rPr>
                <w:sz w:val="24"/>
                <w:szCs w:val="24"/>
              </w:rPr>
              <w:t xml:space="preserve"> </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$93.03</w:t>
            </w:r>
          </w:p>
        </w:tc>
      </w:tr>
      <w:tr w:rsidR="003C232E" w:rsidRPr="003C232E" w:rsidTr="003C232E">
        <w:trPr>
          <w:jc w:val="center"/>
        </w:trPr>
        <w:tc>
          <w:tcPr>
            <w:tcW w:w="0" w:type="auto"/>
            <w:gridSpan w:val="5"/>
            <w:vAlign w:val="center"/>
          </w:tcPr>
          <w:p w:rsidR="003C232E" w:rsidRPr="003C232E" w:rsidRDefault="003C232E" w:rsidP="003C232E">
            <w:pPr>
              <w:spacing w:after="0" w:line="240" w:lineRule="auto"/>
              <w:jc w:val="right"/>
              <w:rPr>
                <w:sz w:val="24"/>
                <w:szCs w:val="24"/>
              </w:rPr>
            </w:pP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Disposable Earnings</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$372.11</w:t>
            </w: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 xml:space="preserve">Less: Amount </w:t>
            </w:r>
            <w:proofErr w:type="spellStart"/>
            <w:r w:rsidRPr="003C232E">
              <w:rPr>
                <w:sz w:val="24"/>
                <w:szCs w:val="24"/>
              </w:rPr>
              <w:t>Garnishable</w:t>
            </w:r>
            <w:proofErr w:type="spellEnd"/>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$93.03</w:t>
            </w: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Less: Internal Deductions</w:t>
            </w:r>
          </w:p>
        </w:tc>
        <w:tc>
          <w:tcPr>
            <w:tcW w:w="0" w:type="auto"/>
          </w:tcPr>
          <w:p w:rsidR="003C232E" w:rsidRPr="003C232E" w:rsidRDefault="003C232E" w:rsidP="00CD6205">
            <w:pPr>
              <w:spacing w:after="0" w:line="240" w:lineRule="auto"/>
              <w:rPr>
                <w:sz w:val="24"/>
                <w:szCs w:val="24"/>
              </w:rPr>
            </w:pPr>
            <w:r w:rsidRPr="003C232E">
              <w:rPr>
                <w:sz w:val="24"/>
                <w:szCs w:val="24"/>
              </w:rPr>
              <w:t xml:space="preserve">Union Dues </w:t>
            </w: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$10.00</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p>
        </w:tc>
        <w:tc>
          <w:tcPr>
            <w:tcW w:w="0" w:type="auto"/>
          </w:tcPr>
          <w:p w:rsidR="003C232E" w:rsidRPr="003C232E" w:rsidRDefault="003C232E" w:rsidP="00CD6205">
            <w:pPr>
              <w:spacing w:after="0" w:line="240" w:lineRule="auto"/>
              <w:rPr>
                <w:sz w:val="24"/>
                <w:szCs w:val="24"/>
              </w:rPr>
            </w:pPr>
            <w:r w:rsidRPr="003C232E">
              <w:rPr>
                <w:sz w:val="24"/>
                <w:szCs w:val="24"/>
              </w:rPr>
              <w:t xml:space="preserve">401(k) </w:t>
            </w: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$25.00</w:t>
            </w: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p>
        </w:tc>
        <w:tc>
          <w:tcPr>
            <w:tcW w:w="0" w:type="auto"/>
          </w:tcPr>
          <w:p w:rsidR="003C232E" w:rsidRPr="003C232E" w:rsidRDefault="003C232E" w:rsidP="00CD6205">
            <w:pPr>
              <w:spacing w:after="0" w:line="240" w:lineRule="auto"/>
              <w:rPr>
                <w:sz w:val="24"/>
                <w:szCs w:val="24"/>
              </w:rPr>
            </w:pPr>
            <w:r w:rsidRPr="003C232E">
              <w:rPr>
                <w:sz w:val="24"/>
                <w:szCs w:val="24"/>
              </w:rPr>
              <w:t xml:space="preserve">Charity </w:t>
            </w: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 xml:space="preserve">$5.00 </w:t>
            </w:r>
          </w:p>
        </w:tc>
        <w:tc>
          <w:tcPr>
            <w:tcW w:w="0" w:type="auto"/>
          </w:tcPr>
          <w:p w:rsidR="003C232E" w:rsidRPr="003C232E" w:rsidRDefault="003C232E" w:rsidP="00CD6205">
            <w:pPr>
              <w:spacing w:after="0" w:line="240" w:lineRule="auto"/>
              <w:rPr>
                <w:sz w:val="24"/>
                <w:szCs w:val="24"/>
              </w:rPr>
            </w:pPr>
            <w:r w:rsidRPr="003C232E">
              <w:rPr>
                <w:sz w:val="24"/>
                <w:szCs w:val="24"/>
              </w:rPr>
              <w:t>Total</w:t>
            </w: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-$40.00</w:t>
            </w:r>
          </w:p>
        </w:tc>
      </w:tr>
      <w:tr w:rsidR="003C232E" w:rsidRPr="003C232E" w:rsidTr="003C232E">
        <w:trPr>
          <w:jc w:val="center"/>
        </w:trPr>
        <w:tc>
          <w:tcPr>
            <w:tcW w:w="0" w:type="auto"/>
          </w:tcPr>
          <w:p w:rsidR="003C232E" w:rsidRPr="003C232E" w:rsidRDefault="003C232E" w:rsidP="00CD6205">
            <w:pPr>
              <w:spacing w:after="0" w:line="240" w:lineRule="auto"/>
              <w:rPr>
                <w:sz w:val="24"/>
                <w:szCs w:val="24"/>
              </w:rPr>
            </w:pPr>
            <w:r w:rsidRPr="003C232E">
              <w:rPr>
                <w:sz w:val="24"/>
                <w:szCs w:val="24"/>
              </w:rPr>
              <w:t>Take Home Pay</w:t>
            </w:r>
          </w:p>
        </w:tc>
        <w:tc>
          <w:tcPr>
            <w:tcW w:w="0" w:type="auto"/>
          </w:tcPr>
          <w:p w:rsidR="003C232E" w:rsidRPr="003C232E" w:rsidRDefault="003C232E" w:rsidP="00CD6205">
            <w:pPr>
              <w:spacing w:after="0" w:line="240" w:lineRule="auto"/>
              <w:rPr>
                <w:sz w:val="24"/>
                <w:szCs w:val="24"/>
              </w:rPr>
            </w:pPr>
          </w:p>
        </w:tc>
        <w:tc>
          <w:tcPr>
            <w:tcW w:w="0" w:type="auto"/>
          </w:tcPr>
          <w:p w:rsidR="003C232E" w:rsidRPr="003C232E" w:rsidRDefault="003C232E" w:rsidP="00CD6205">
            <w:pPr>
              <w:spacing w:after="0" w:line="240" w:lineRule="auto"/>
              <w:rPr>
                <w:sz w:val="24"/>
                <w:szCs w:val="24"/>
              </w:rPr>
            </w:pPr>
          </w:p>
        </w:tc>
        <w:tc>
          <w:tcPr>
            <w:tcW w:w="0" w:type="auto"/>
          </w:tcPr>
          <w:p w:rsidR="003C232E" w:rsidRPr="003C232E" w:rsidRDefault="003C232E" w:rsidP="00CD6205">
            <w:pPr>
              <w:spacing w:after="0" w:line="240" w:lineRule="auto"/>
              <w:rPr>
                <w:sz w:val="24"/>
                <w:szCs w:val="24"/>
              </w:rPr>
            </w:pPr>
          </w:p>
        </w:tc>
        <w:tc>
          <w:tcPr>
            <w:tcW w:w="0" w:type="auto"/>
            <w:vAlign w:val="center"/>
          </w:tcPr>
          <w:p w:rsidR="003C232E" w:rsidRPr="003C232E" w:rsidRDefault="003C232E" w:rsidP="003C232E">
            <w:pPr>
              <w:spacing w:after="0" w:line="240" w:lineRule="auto"/>
              <w:jc w:val="right"/>
              <w:rPr>
                <w:sz w:val="24"/>
                <w:szCs w:val="24"/>
              </w:rPr>
            </w:pPr>
            <w:r w:rsidRPr="003C232E">
              <w:rPr>
                <w:sz w:val="24"/>
                <w:szCs w:val="24"/>
              </w:rPr>
              <w:t>$239.08</w:t>
            </w:r>
          </w:p>
        </w:tc>
      </w:tr>
    </w:tbl>
    <w:p w:rsidR="003C232E" w:rsidRDefault="003C232E" w:rsidP="00A55756">
      <w:pPr>
        <w:spacing w:after="0" w:line="240" w:lineRule="auto"/>
        <w:rPr>
          <w:sz w:val="24"/>
          <w:szCs w:val="24"/>
        </w:rPr>
      </w:pPr>
    </w:p>
    <w:p w:rsidR="00FA293A" w:rsidRPr="003C232E" w:rsidRDefault="001E5B26" w:rsidP="003C232E">
      <w:pPr>
        <w:pStyle w:val="ListParagraph"/>
        <w:spacing w:after="0" w:line="240" w:lineRule="auto"/>
        <w:rPr>
          <w:sz w:val="24"/>
          <w:szCs w:val="24"/>
        </w:rPr>
      </w:pPr>
      <w:r w:rsidRPr="003C232E">
        <w:rPr>
          <w:sz w:val="24"/>
          <w:szCs w:val="24"/>
        </w:rPr>
        <w:t>Internal deductions are included in disposable earnings, because the employer is not required</w:t>
      </w:r>
      <w:r w:rsidR="00446C28" w:rsidRPr="003C232E">
        <w:rPr>
          <w:sz w:val="24"/>
          <w:szCs w:val="24"/>
        </w:rPr>
        <w:t xml:space="preserve"> </w:t>
      </w:r>
      <w:r w:rsidRPr="003C232E">
        <w:rPr>
          <w:sz w:val="24"/>
          <w:szCs w:val="24"/>
        </w:rPr>
        <w:t>by law to withhold them.</w:t>
      </w:r>
    </w:p>
    <w:p w:rsidR="003C232E" w:rsidRDefault="003C232E" w:rsidP="00A55756">
      <w:pPr>
        <w:spacing w:after="0" w:line="240" w:lineRule="auto"/>
        <w:rPr>
          <w:rFonts w:eastAsia="Times New Roman"/>
          <w:b/>
          <w:bCs/>
          <w:sz w:val="24"/>
          <w:szCs w:val="28"/>
        </w:rPr>
      </w:pPr>
    </w:p>
    <w:p w:rsidR="00D229B2" w:rsidRPr="00B30B96" w:rsidRDefault="00D229B2" w:rsidP="00A55756">
      <w:pPr>
        <w:spacing w:after="0" w:line="240" w:lineRule="auto"/>
        <w:rPr>
          <w:rFonts w:eastAsia="Times New Roman"/>
          <w:b/>
          <w:bCs/>
          <w:sz w:val="24"/>
          <w:szCs w:val="28"/>
        </w:rPr>
      </w:pPr>
      <w:proofErr w:type="gramStart"/>
      <w:r w:rsidRPr="00B30B96">
        <w:rPr>
          <w:rFonts w:eastAsia="Times New Roman"/>
          <w:b/>
          <w:bCs/>
          <w:sz w:val="24"/>
          <w:szCs w:val="28"/>
        </w:rPr>
        <w:t>16b02</w:t>
      </w:r>
      <w:r w:rsidR="00B30B96" w:rsidRPr="00B30B96">
        <w:rPr>
          <w:rFonts w:eastAsia="Times New Roman"/>
          <w:b/>
          <w:bCs/>
          <w:sz w:val="24"/>
          <w:szCs w:val="28"/>
        </w:rPr>
        <w:t xml:space="preserve"> - </w:t>
      </w:r>
      <w:r w:rsidR="007F12F6" w:rsidRPr="00B30B96">
        <w:rPr>
          <w:rFonts w:eastAsia="Times New Roman"/>
          <w:b/>
          <w:bCs/>
          <w:sz w:val="24"/>
          <w:szCs w:val="28"/>
        </w:rPr>
        <w:t>D</w:t>
      </w:r>
      <w:r w:rsidRPr="00B30B96">
        <w:rPr>
          <w:rFonts w:eastAsia="Times New Roman"/>
          <w:b/>
          <w:bCs/>
          <w:sz w:val="24"/>
          <w:szCs w:val="28"/>
        </w:rPr>
        <w:t>isposable earnings in partial weeks.</w:t>
      </w:r>
      <w:proofErr w:type="gramEnd"/>
    </w:p>
    <w:p w:rsidR="007F12F6" w:rsidRPr="00A55756" w:rsidRDefault="007F12F6" w:rsidP="00A55756">
      <w:pPr>
        <w:spacing w:after="0" w:line="240" w:lineRule="auto"/>
        <w:rPr>
          <w:sz w:val="24"/>
          <w:szCs w:val="24"/>
        </w:rPr>
      </w:pPr>
    </w:p>
    <w:p w:rsidR="003C232E" w:rsidRDefault="00D229B2" w:rsidP="00807694">
      <w:pPr>
        <w:pStyle w:val="ListParagraph"/>
        <w:numPr>
          <w:ilvl w:val="0"/>
          <w:numId w:val="9"/>
        </w:numPr>
        <w:spacing w:after="0" w:line="240" w:lineRule="auto"/>
        <w:rPr>
          <w:sz w:val="24"/>
          <w:szCs w:val="24"/>
        </w:rPr>
      </w:pPr>
      <w:r w:rsidRPr="003C232E">
        <w:rPr>
          <w:sz w:val="24"/>
          <w:szCs w:val="24"/>
        </w:rPr>
        <w:t>The garnishment restrictions apply in all weeks, whether an employee has worked a full or</w:t>
      </w:r>
      <w:r w:rsidR="007F12F6" w:rsidRPr="003C232E">
        <w:rPr>
          <w:sz w:val="24"/>
          <w:szCs w:val="24"/>
        </w:rPr>
        <w:t xml:space="preserve"> </w:t>
      </w:r>
      <w:r w:rsidRPr="003C232E">
        <w:rPr>
          <w:sz w:val="24"/>
          <w:szCs w:val="24"/>
        </w:rPr>
        <w:t>partial week. Although the unpaid disposable earnings for a partial w/w are subject to</w:t>
      </w:r>
      <w:r w:rsidR="007F12F6" w:rsidRPr="003C232E">
        <w:rPr>
          <w:sz w:val="24"/>
          <w:szCs w:val="24"/>
        </w:rPr>
        <w:t xml:space="preserve"> </w:t>
      </w:r>
      <w:r w:rsidRPr="003C232E">
        <w:rPr>
          <w:sz w:val="24"/>
          <w:szCs w:val="24"/>
        </w:rPr>
        <w:t>garnishment, withholding for a consumer debt garnishment is p</w:t>
      </w:r>
      <w:r w:rsidR="007F12F6" w:rsidRPr="003C232E">
        <w:rPr>
          <w:sz w:val="24"/>
          <w:szCs w:val="24"/>
        </w:rPr>
        <w:t xml:space="preserve">ermitted only if the employee’s </w:t>
      </w:r>
      <w:r w:rsidRPr="003C232E">
        <w:rPr>
          <w:sz w:val="24"/>
          <w:szCs w:val="24"/>
        </w:rPr>
        <w:t xml:space="preserve">disposable earnings are in </w:t>
      </w:r>
      <w:r w:rsidR="007F12F6" w:rsidRPr="003C232E">
        <w:rPr>
          <w:sz w:val="24"/>
          <w:szCs w:val="24"/>
        </w:rPr>
        <w:t>excess of the restriction of sec</w:t>
      </w:r>
      <w:r w:rsidRPr="003C232E">
        <w:rPr>
          <w:sz w:val="24"/>
          <w:szCs w:val="24"/>
        </w:rPr>
        <w:t xml:space="preserve"> 303</w:t>
      </w:r>
      <w:r w:rsidR="007F12F6" w:rsidRPr="003C232E">
        <w:rPr>
          <w:sz w:val="24"/>
          <w:szCs w:val="24"/>
        </w:rPr>
        <w:t xml:space="preserve">(a)(2), currently $154.50 (30 X $5.15). (See FOH </w:t>
      </w:r>
      <w:proofErr w:type="gramStart"/>
      <w:r w:rsidR="007F12F6" w:rsidRPr="003C232E">
        <w:rPr>
          <w:sz w:val="24"/>
          <w:szCs w:val="24"/>
        </w:rPr>
        <w:t>16b00</w:t>
      </w:r>
      <w:r w:rsidRPr="003C232E">
        <w:rPr>
          <w:sz w:val="24"/>
          <w:szCs w:val="24"/>
        </w:rPr>
        <w:t>(</w:t>
      </w:r>
      <w:proofErr w:type="gramEnd"/>
      <w:r w:rsidRPr="003C232E">
        <w:rPr>
          <w:sz w:val="24"/>
          <w:szCs w:val="24"/>
        </w:rPr>
        <w:t>a).)</w:t>
      </w:r>
    </w:p>
    <w:p w:rsidR="003C232E" w:rsidRDefault="003C232E" w:rsidP="003C232E">
      <w:pPr>
        <w:pStyle w:val="ListParagraph"/>
        <w:spacing w:after="0" w:line="240" w:lineRule="auto"/>
        <w:rPr>
          <w:sz w:val="24"/>
          <w:szCs w:val="24"/>
        </w:rPr>
      </w:pPr>
    </w:p>
    <w:p w:rsidR="003C232E" w:rsidRDefault="00D229B2" w:rsidP="00807694">
      <w:pPr>
        <w:pStyle w:val="ListParagraph"/>
        <w:numPr>
          <w:ilvl w:val="0"/>
          <w:numId w:val="9"/>
        </w:numPr>
        <w:spacing w:after="0" w:line="240" w:lineRule="auto"/>
        <w:rPr>
          <w:sz w:val="24"/>
          <w:szCs w:val="24"/>
        </w:rPr>
      </w:pPr>
      <w:r w:rsidRPr="003C232E">
        <w:rPr>
          <w:sz w:val="24"/>
          <w:szCs w:val="24"/>
        </w:rPr>
        <w:t>The following example takes place in a state where a garnishment writ can only capture the</w:t>
      </w:r>
      <w:r w:rsidR="007F12F6" w:rsidRPr="003C232E">
        <w:rPr>
          <w:sz w:val="24"/>
          <w:szCs w:val="24"/>
        </w:rPr>
        <w:t xml:space="preserve"> </w:t>
      </w:r>
      <w:r w:rsidRPr="003C232E">
        <w:rPr>
          <w:sz w:val="24"/>
          <w:szCs w:val="24"/>
        </w:rPr>
        <w:t>earnings actually earned up to the time of service. The employer of a debtor pays on a weekly</w:t>
      </w:r>
      <w:r w:rsidR="007F12F6" w:rsidRPr="003C232E">
        <w:rPr>
          <w:sz w:val="24"/>
          <w:szCs w:val="24"/>
        </w:rPr>
        <w:t xml:space="preserve"> </w:t>
      </w:r>
      <w:r w:rsidRPr="003C232E">
        <w:rPr>
          <w:sz w:val="24"/>
          <w:szCs w:val="24"/>
        </w:rPr>
        <w:t>basis. The w/w runs from Sunday through Saturday and payday is Thursday. The employer</w:t>
      </w:r>
      <w:r w:rsidR="007F12F6" w:rsidRPr="003C232E">
        <w:rPr>
          <w:sz w:val="24"/>
          <w:szCs w:val="24"/>
        </w:rPr>
        <w:t xml:space="preserve"> </w:t>
      </w:r>
      <w:r w:rsidRPr="003C232E">
        <w:rPr>
          <w:sz w:val="24"/>
          <w:szCs w:val="24"/>
        </w:rPr>
        <w:t>is served with a consumer debt garnishment on Wednesday. The employee earned $250.00 in</w:t>
      </w:r>
      <w:r w:rsidR="007F12F6" w:rsidRPr="003C232E">
        <w:rPr>
          <w:sz w:val="24"/>
          <w:szCs w:val="24"/>
        </w:rPr>
        <w:t xml:space="preserve"> </w:t>
      </w:r>
      <w:r w:rsidRPr="003C232E">
        <w:rPr>
          <w:sz w:val="24"/>
          <w:szCs w:val="24"/>
        </w:rPr>
        <w:t>disposable earnings in the preceding w/w, and $150.00 in the current one. The amount that</w:t>
      </w:r>
      <w:r w:rsidR="007F12F6" w:rsidRPr="003C232E">
        <w:rPr>
          <w:sz w:val="24"/>
          <w:szCs w:val="24"/>
        </w:rPr>
        <w:t xml:space="preserve"> </w:t>
      </w:r>
      <w:r w:rsidRPr="003C232E">
        <w:rPr>
          <w:sz w:val="24"/>
          <w:szCs w:val="24"/>
        </w:rPr>
        <w:t>may be garnis</w:t>
      </w:r>
      <w:r w:rsidR="007F12F6" w:rsidRPr="003C232E">
        <w:rPr>
          <w:sz w:val="24"/>
          <w:szCs w:val="24"/>
        </w:rPr>
        <w:t>hed, under the provisions of sec</w:t>
      </w:r>
      <w:r w:rsidRPr="003C232E">
        <w:rPr>
          <w:sz w:val="24"/>
          <w:szCs w:val="24"/>
        </w:rPr>
        <w:t xml:space="preserve"> 303(a), is computed as follows:</w:t>
      </w:r>
    </w:p>
    <w:p w:rsidR="003C232E" w:rsidRDefault="003C232E" w:rsidP="003C232E">
      <w:pPr>
        <w:pStyle w:val="ListParagraph"/>
        <w:spacing w:after="0" w:line="240" w:lineRule="auto"/>
        <w:rPr>
          <w:sz w:val="24"/>
          <w:szCs w:val="24"/>
        </w:rPr>
      </w:pPr>
    </w:p>
    <w:tbl>
      <w:tblPr>
        <w:tblStyle w:val="TableGrid"/>
        <w:tblW w:w="9450" w:type="dxa"/>
        <w:tblInd w:w="378" w:type="dxa"/>
        <w:tblLook w:val="04A0" w:firstRow="1" w:lastRow="0" w:firstColumn="1" w:lastColumn="0" w:noHBand="0" w:noVBand="1"/>
      </w:tblPr>
      <w:tblGrid>
        <w:gridCol w:w="1978"/>
        <w:gridCol w:w="5132"/>
        <w:gridCol w:w="2340"/>
      </w:tblGrid>
      <w:tr w:rsidR="003C232E" w:rsidRPr="003C232E" w:rsidTr="003C232E">
        <w:tc>
          <w:tcPr>
            <w:tcW w:w="1978" w:type="dxa"/>
            <w:vAlign w:val="center"/>
          </w:tcPr>
          <w:p w:rsidR="003C232E" w:rsidRPr="003C232E" w:rsidRDefault="003C232E" w:rsidP="003C232E">
            <w:pPr>
              <w:pStyle w:val="ListParagraph"/>
              <w:spacing w:after="0" w:line="240" w:lineRule="auto"/>
              <w:ind w:left="0"/>
              <w:jc w:val="center"/>
              <w:rPr>
                <w:sz w:val="24"/>
                <w:szCs w:val="24"/>
              </w:rPr>
            </w:pPr>
            <w:r w:rsidRPr="003C232E">
              <w:rPr>
                <w:sz w:val="24"/>
                <w:szCs w:val="24"/>
              </w:rPr>
              <w:t>Period</w:t>
            </w:r>
          </w:p>
        </w:tc>
        <w:tc>
          <w:tcPr>
            <w:tcW w:w="5132" w:type="dxa"/>
            <w:vAlign w:val="center"/>
          </w:tcPr>
          <w:p w:rsidR="003C232E" w:rsidRPr="003C232E" w:rsidRDefault="003C232E" w:rsidP="003C232E">
            <w:pPr>
              <w:pStyle w:val="ListParagraph"/>
              <w:spacing w:after="0" w:line="240" w:lineRule="auto"/>
              <w:ind w:left="0"/>
              <w:jc w:val="center"/>
              <w:rPr>
                <w:sz w:val="24"/>
                <w:szCs w:val="24"/>
              </w:rPr>
            </w:pPr>
            <w:r w:rsidRPr="003C232E">
              <w:rPr>
                <w:sz w:val="24"/>
                <w:szCs w:val="24"/>
              </w:rPr>
              <w:t>Earnings Amount</w:t>
            </w:r>
          </w:p>
        </w:tc>
        <w:tc>
          <w:tcPr>
            <w:tcW w:w="2340" w:type="dxa"/>
            <w:vAlign w:val="center"/>
          </w:tcPr>
          <w:p w:rsidR="003C232E" w:rsidRPr="003C232E" w:rsidRDefault="003C232E" w:rsidP="003C232E">
            <w:pPr>
              <w:pStyle w:val="ListParagraph"/>
              <w:spacing w:after="0" w:line="240" w:lineRule="auto"/>
              <w:ind w:left="0"/>
              <w:jc w:val="center"/>
              <w:rPr>
                <w:sz w:val="24"/>
                <w:szCs w:val="24"/>
              </w:rPr>
            </w:pPr>
            <w:r w:rsidRPr="003C232E">
              <w:rPr>
                <w:sz w:val="24"/>
                <w:szCs w:val="24"/>
              </w:rPr>
              <w:t xml:space="preserve">Amount </w:t>
            </w:r>
            <w:proofErr w:type="spellStart"/>
            <w:r w:rsidRPr="003C232E">
              <w:rPr>
                <w:sz w:val="24"/>
                <w:szCs w:val="24"/>
              </w:rPr>
              <w:t>Garnishable</w:t>
            </w:r>
            <w:proofErr w:type="spellEnd"/>
          </w:p>
        </w:tc>
      </w:tr>
      <w:tr w:rsidR="003C232E" w:rsidRPr="003C232E" w:rsidTr="0087570D">
        <w:tc>
          <w:tcPr>
            <w:tcW w:w="9450" w:type="dxa"/>
            <w:gridSpan w:val="3"/>
          </w:tcPr>
          <w:p w:rsidR="003C232E" w:rsidRPr="003C232E" w:rsidRDefault="003C232E" w:rsidP="005F2070">
            <w:pPr>
              <w:pStyle w:val="ListParagraph"/>
              <w:ind w:left="0"/>
              <w:rPr>
                <w:sz w:val="24"/>
                <w:szCs w:val="24"/>
              </w:rPr>
            </w:pPr>
          </w:p>
        </w:tc>
      </w:tr>
      <w:tr w:rsidR="003C232E" w:rsidRPr="003C232E" w:rsidTr="003C232E">
        <w:tc>
          <w:tcPr>
            <w:tcW w:w="1978" w:type="dxa"/>
            <w:vAlign w:val="center"/>
          </w:tcPr>
          <w:p w:rsidR="003C232E" w:rsidRPr="003C232E" w:rsidRDefault="003C232E" w:rsidP="003C232E">
            <w:pPr>
              <w:spacing w:after="0" w:line="240" w:lineRule="auto"/>
              <w:jc w:val="right"/>
              <w:rPr>
                <w:sz w:val="24"/>
                <w:szCs w:val="24"/>
              </w:rPr>
            </w:pPr>
            <w:r w:rsidRPr="003C232E">
              <w:rPr>
                <w:sz w:val="24"/>
                <w:szCs w:val="24"/>
              </w:rPr>
              <w:t>Preceding w/w</w:t>
            </w:r>
          </w:p>
        </w:tc>
        <w:tc>
          <w:tcPr>
            <w:tcW w:w="5132" w:type="dxa"/>
            <w:vAlign w:val="center"/>
          </w:tcPr>
          <w:p w:rsidR="003C232E" w:rsidRPr="003C232E" w:rsidRDefault="003C232E" w:rsidP="003C232E">
            <w:pPr>
              <w:spacing w:after="0" w:line="240" w:lineRule="auto"/>
              <w:jc w:val="right"/>
              <w:rPr>
                <w:sz w:val="24"/>
                <w:szCs w:val="24"/>
              </w:rPr>
            </w:pPr>
            <w:r w:rsidRPr="003C232E">
              <w:rPr>
                <w:sz w:val="24"/>
                <w:szCs w:val="24"/>
              </w:rPr>
              <w:t>$250.00 x 25 % (Disposable earnings &gt; $206.00) =</w:t>
            </w:r>
          </w:p>
        </w:tc>
        <w:tc>
          <w:tcPr>
            <w:tcW w:w="2340" w:type="dxa"/>
            <w:vAlign w:val="center"/>
          </w:tcPr>
          <w:p w:rsidR="003C232E" w:rsidRPr="003C232E" w:rsidRDefault="003C232E" w:rsidP="003C232E">
            <w:pPr>
              <w:spacing w:after="0" w:line="240" w:lineRule="auto"/>
              <w:jc w:val="right"/>
              <w:rPr>
                <w:sz w:val="24"/>
                <w:szCs w:val="24"/>
              </w:rPr>
            </w:pPr>
            <w:r w:rsidRPr="003C232E">
              <w:rPr>
                <w:sz w:val="24"/>
                <w:szCs w:val="24"/>
              </w:rPr>
              <w:t>$62.50</w:t>
            </w:r>
          </w:p>
        </w:tc>
      </w:tr>
      <w:tr w:rsidR="003C232E" w:rsidRPr="003C232E" w:rsidTr="003C232E">
        <w:tc>
          <w:tcPr>
            <w:tcW w:w="1978" w:type="dxa"/>
            <w:vAlign w:val="center"/>
          </w:tcPr>
          <w:p w:rsidR="003C232E" w:rsidRPr="003C232E" w:rsidRDefault="003C232E" w:rsidP="003C232E">
            <w:pPr>
              <w:spacing w:after="0" w:line="240" w:lineRule="auto"/>
              <w:jc w:val="right"/>
              <w:rPr>
                <w:sz w:val="24"/>
                <w:szCs w:val="24"/>
              </w:rPr>
            </w:pPr>
            <w:r w:rsidRPr="003C232E">
              <w:rPr>
                <w:sz w:val="24"/>
                <w:szCs w:val="24"/>
              </w:rPr>
              <w:t>Current w/w</w:t>
            </w:r>
          </w:p>
        </w:tc>
        <w:tc>
          <w:tcPr>
            <w:tcW w:w="5132" w:type="dxa"/>
            <w:vAlign w:val="center"/>
          </w:tcPr>
          <w:p w:rsidR="003C232E" w:rsidRPr="003C232E" w:rsidRDefault="003C232E" w:rsidP="003C232E">
            <w:pPr>
              <w:spacing w:after="0" w:line="240" w:lineRule="auto"/>
              <w:jc w:val="right"/>
              <w:rPr>
                <w:sz w:val="24"/>
                <w:szCs w:val="24"/>
              </w:rPr>
            </w:pPr>
            <w:r w:rsidRPr="003C232E">
              <w:rPr>
                <w:sz w:val="24"/>
                <w:szCs w:val="24"/>
              </w:rPr>
              <w:t>$150.00 (Disposable earnings &lt; $154.50)</w:t>
            </w:r>
            <w:r>
              <w:rPr>
                <w:sz w:val="24"/>
                <w:szCs w:val="24"/>
              </w:rPr>
              <w:t xml:space="preserve"> </w:t>
            </w:r>
            <w:r w:rsidRPr="003C232E">
              <w:rPr>
                <w:sz w:val="24"/>
                <w:szCs w:val="24"/>
              </w:rPr>
              <w:t>=</w:t>
            </w:r>
          </w:p>
        </w:tc>
        <w:tc>
          <w:tcPr>
            <w:tcW w:w="2340" w:type="dxa"/>
            <w:vAlign w:val="center"/>
          </w:tcPr>
          <w:p w:rsidR="003C232E" w:rsidRPr="003C232E" w:rsidRDefault="003C232E" w:rsidP="003C232E">
            <w:pPr>
              <w:spacing w:after="0" w:line="240" w:lineRule="auto"/>
              <w:jc w:val="right"/>
              <w:rPr>
                <w:sz w:val="24"/>
                <w:szCs w:val="24"/>
              </w:rPr>
            </w:pPr>
            <w:r w:rsidRPr="003C232E">
              <w:rPr>
                <w:sz w:val="24"/>
                <w:szCs w:val="24"/>
              </w:rPr>
              <w:t>$0.00</w:t>
            </w:r>
          </w:p>
        </w:tc>
      </w:tr>
      <w:tr w:rsidR="003C232E" w:rsidRPr="003C232E" w:rsidTr="009C1E74">
        <w:tc>
          <w:tcPr>
            <w:tcW w:w="7110" w:type="dxa"/>
            <w:gridSpan w:val="2"/>
          </w:tcPr>
          <w:p w:rsidR="003C232E" w:rsidRPr="003C232E" w:rsidRDefault="003C232E" w:rsidP="003C232E">
            <w:pPr>
              <w:spacing w:after="0" w:line="240" w:lineRule="auto"/>
              <w:jc w:val="right"/>
              <w:rPr>
                <w:sz w:val="24"/>
                <w:szCs w:val="24"/>
              </w:rPr>
            </w:pPr>
            <w:r>
              <w:rPr>
                <w:sz w:val="24"/>
                <w:szCs w:val="24"/>
              </w:rPr>
              <w:t xml:space="preserve">Total </w:t>
            </w:r>
            <w:proofErr w:type="spellStart"/>
            <w:r>
              <w:rPr>
                <w:sz w:val="24"/>
                <w:szCs w:val="24"/>
              </w:rPr>
              <w:t>G</w:t>
            </w:r>
            <w:r w:rsidRPr="003C232E">
              <w:rPr>
                <w:sz w:val="24"/>
                <w:szCs w:val="24"/>
              </w:rPr>
              <w:t>arnishable</w:t>
            </w:r>
            <w:proofErr w:type="spellEnd"/>
          </w:p>
        </w:tc>
        <w:tc>
          <w:tcPr>
            <w:tcW w:w="2340" w:type="dxa"/>
            <w:vAlign w:val="center"/>
          </w:tcPr>
          <w:p w:rsidR="003C232E" w:rsidRPr="003C232E" w:rsidRDefault="003C232E" w:rsidP="003C232E">
            <w:pPr>
              <w:spacing w:after="0" w:line="240" w:lineRule="auto"/>
              <w:jc w:val="right"/>
              <w:rPr>
                <w:sz w:val="24"/>
                <w:szCs w:val="24"/>
              </w:rPr>
            </w:pPr>
            <w:r w:rsidRPr="003C232E">
              <w:rPr>
                <w:sz w:val="24"/>
                <w:szCs w:val="24"/>
              </w:rPr>
              <w:t>$62.50</w:t>
            </w:r>
          </w:p>
        </w:tc>
      </w:tr>
    </w:tbl>
    <w:p w:rsidR="003C232E" w:rsidRDefault="003C232E" w:rsidP="00A55756">
      <w:pPr>
        <w:spacing w:after="0" w:line="240" w:lineRule="auto"/>
        <w:rPr>
          <w:sz w:val="24"/>
          <w:szCs w:val="24"/>
        </w:rPr>
      </w:pPr>
    </w:p>
    <w:p w:rsidR="003C232E" w:rsidRDefault="00D229B2" w:rsidP="003C232E">
      <w:pPr>
        <w:pStyle w:val="ListParagraph"/>
        <w:spacing w:after="0" w:line="240" w:lineRule="auto"/>
        <w:rPr>
          <w:sz w:val="24"/>
          <w:szCs w:val="24"/>
        </w:rPr>
      </w:pPr>
      <w:r w:rsidRPr="003C232E">
        <w:rPr>
          <w:sz w:val="24"/>
          <w:szCs w:val="24"/>
        </w:rPr>
        <w:t>If withholding for the current w/w is required under another garnishment order served at the</w:t>
      </w:r>
      <w:r w:rsidR="00A6713C" w:rsidRPr="003C232E">
        <w:rPr>
          <w:sz w:val="24"/>
          <w:szCs w:val="24"/>
        </w:rPr>
        <w:t xml:space="preserve"> </w:t>
      </w:r>
      <w:r w:rsidRPr="003C232E">
        <w:rPr>
          <w:sz w:val="24"/>
          <w:szCs w:val="24"/>
        </w:rPr>
        <w:t xml:space="preserve">end of the week, the employer will </w:t>
      </w:r>
      <w:proofErr w:type="spellStart"/>
      <w:r w:rsidRPr="003C232E">
        <w:rPr>
          <w:sz w:val="24"/>
          <w:szCs w:val="24"/>
        </w:rPr>
        <w:t>recompute</w:t>
      </w:r>
      <w:proofErr w:type="spellEnd"/>
      <w:r w:rsidRPr="003C232E">
        <w:rPr>
          <w:sz w:val="24"/>
          <w:szCs w:val="24"/>
        </w:rPr>
        <w:t xml:space="preserve"> the garnishment based on the employee’s</w:t>
      </w:r>
      <w:r w:rsidR="00A6713C" w:rsidRPr="003C232E">
        <w:rPr>
          <w:sz w:val="24"/>
          <w:szCs w:val="24"/>
        </w:rPr>
        <w:t xml:space="preserve"> </w:t>
      </w:r>
      <w:r w:rsidRPr="003C232E">
        <w:rPr>
          <w:sz w:val="24"/>
          <w:szCs w:val="24"/>
        </w:rPr>
        <w:t>earnings for the entire week.</w:t>
      </w:r>
    </w:p>
    <w:p w:rsidR="003C232E" w:rsidRDefault="003C232E" w:rsidP="003C232E">
      <w:pPr>
        <w:pStyle w:val="ListParagraph"/>
        <w:spacing w:after="0" w:line="240" w:lineRule="auto"/>
        <w:rPr>
          <w:sz w:val="24"/>
          <w:szCs w:val="24"/>
        </w:rPr>
      </w:pPr>
    </w:p>
    <w:p w:rsidR="005B6EC7" w:rsidRPr="003C232E" w:rsidRDefault="00A6713C" w:rsidP="00807694">
      <w:pPr>
        <w:pStyle w:val="ListParagraph"/>
        <w:numPr>
          <w:ilvl w:val="0"/>
          <w:numId w:val="9"/>
        </w:numPr>
        <w:spacing w:after="0" w:line="240" w:lineRule="auto"/>
        <w:rPr>
          <w:sz w:val="24"/>
          <w:szCs w:val="24"/>
        </w:rPr>
      </w:pPr>
      <w:r w:rsidRPr="003C232E">
        <w:rPr>
          <w:sz w:val="24"/>
          <w:szCs w:val="24"/>
        </w:rPr>
        <w:t>Under sec</w:t>
      </w:r>
      <w:r w:rsidR="00D229B2" w:rsidRPr="003C232E">
        <w:rPr>
          <w:sz w:val="24"/>
          <w:szCs w:val="24"/>
        </w:rPr>
        <w:t xml:space="preserve"> 303(a</w:t>
      </w:r>
      <w:proofErr w:type="gramStart"/>
      <w:r w:rsidR="00D229B2" w:rsidRPr="003C232E">
        <w:rPr>
          <w:sz w:val="24"/>
          <w:szCs w:val="24"/>
        </w:rPr>
        <w:t>)(</w:t>
      </w:r>
      <w:proofErr w:type="gramEnd"/>
      <w:r w:rsidR="00D229B2" w:rsidRPr="003C232E">
        <w:rPr>
          <w:sz w:val="24"/>
          <w:szCs w:val="24"/>
        </w:rPr>
        <w:t>2), the floor for disposable earnings exempt from garnishment is determined</w:t>
      </w:r>
      <w:r w:rsidRPr="003C232E">
        <w:rPr>
          <w:sz w:val="24"/>
          <w:szCs w:val="24"/>
        </w:rPr>
        <w:t xml:space="preserve"> </w:t>
      </w:r>
      <w:r w:rsidR="00D229B2" w:rsidRPr="003C232E">
        <w:rPr>
          <w:sz w:val="24"/>
          <w:szCs w:val="24"/>
        </w:rPr>
        <w:t>based on the length of the pay period. This pay period restriction is not prorated or reduced</w:t>
      </w:r>
      <w:r w:rsidRPr="003C232E">
        <w:rPr>
          <w:sz w:val="24"/>
          <w:szCs w:val="24"/>
        </w:rPr>
        <w:t xml:space="preserve"> </w:t>
      </w:r>
      <w:r w:rsidR="00D229B2" w:rsidRPr="003C232E">
        <w:rPr>
          <w:sz w:val="24"/>
          <w:szCs w:val="24"/>
        </w:rPr>
        <w:t>in the case of earnings for partial pay periods or pay periods of less than a week. This floor</w:t>
      </w:r>
      <w:r w:rsidRPr="003C232E">
        <w:rPr>
          <w:sz w:val="24"/>
          <w:szCs w:val="24"/>
        </w:rPr>
        <w:t xml:space="preserve"> </w:t>
      </w:r>
      <w:r w:rsidR="00D229B2" w:rsidRPr="003C232E">
        <w:rPr>
          <w:sz w:val="24"/>
          <w:szCs w:val="24"/>
        </w:rPr>
        <w:t>does not apply to child support or ali</w:t>
      </w:r>
      <w:r w:rsidRPr="003C232E">
        <w:rPr>
          <w:sz w:val="24"/>
          <w:szCs w:val="24"/>
        </w:rPr>
        <w:t xml:space="preserve">mony garnishments (See FOH </w:t>
      </w:r>
      <w:proofErr w:type="gramStart"/>
      <w:r w:rsidRPr="003C232E">
        <w:rPr>
          <w:sz w:val="24"/>
          <w:szCs w:val="24"/>
        </w:rPr>
        <w:t>16b00</w:t>
      </w:r>
      <w:r w:rsidR="00D229B2" w:rsidRPr="003C232E">
        <w:rPr>
          <w:sz w:val="24"/>
          <w:szCs w:val="24"/>
        </w:rPr>
        <w:t>(</w:t>
      </w:r>
      <w:proofErr w:type="gramEnd"/>
      <w:r w:rsidR="00D229B2" w:rsidRPr="003C232E">
        <w:rPr>
          <w:sz w:val="24"/>
          <w:szCs w:val="24"/>
        </w:rPr>
        <w:t>b)), or federal or</w:t>
      </w:r>
      <w:r w:rsidRPr="003C232E">
        <w:rPr>
          <w:sz w:val="24"/>
          <w:szCs w:val="24"/>
        </w:rPr>
        <w:t xml:space="preserve"> </w:t>
      </w:r>
      <w:r w:rsidR="005B6EC7" w:rsidRPr="003C232E">
        <w:rPr>
          <w:sz w:val="24"/>
          <w:szCs w:val="24"/>
        </w:rPr>
        <w:t>state tax</w:t>
      </w:r>
      <w:r w:rsidR="00D229B2" w:rsidRPr="003C232E">
        <w:rPr>
          <w:sz w:val="24"/>
          <w:szCs w:val="24"/>
        </w:rPr>
        <w:t xml:space="preserve"> or personal bankru</w:t>
      </w:r>
      <w:r w:rsidR="005B6EC7" w:rsidRPr="003C232E">
        <w:rPr>
          <w:sz w:val="24"/>
          <w:szCs w:val="24"/>
        </w:rPr>
        <w:t>ptcy garnishments. (See FOH16b00</w:t>
      </w:r>
      <w:r w:rsidR="00D229B2" w:rsidRPr="003C232E">
        <w:rPr>
          <w:sz w:val="24"/>
          <w:szCs w:val="24"/>
        </w:rPr>
        <w:t>(c).)</w:t>
      </w:r>
    </w:p>
    <w:p w:rsidR="00AF0F79" w:rsidRPr="00A55756" w:rsidRDefault="00AF0F79" w:rsidP="00A55756">
      <w:pPr>
        <w:spacing w:after="0" w:line="240" w:lineRule="auto"/>
        <w:rPr>
          <w:sz w:val="24"/>
          <w:szCs w:val="24"/>
        </w:rPr>
      </w:pPr>
    </w:p>
    <w:p w:rsidR="00D229B2" w:rsidRPr="00B30B96" w:rsidRDefault="005B6EC7" w:rsidP="00A55756">
      <w:pPr>
        <w:spacing w:after="0" w:line="240" w:lineRule="auto"/>
        <w:rPr>
          <w:rFonts w:eastAsia="Times New Roman"/>
          <w:b/>
          <w:bCs/>
          <w:sz w:val="24"/>
          <w:szCs w:val="28"/>
        </w:rPr>
      </w:pPr>
      <w:proofErr w:type="gramStart"/>
      <w:r w:rsidRPr="00B30B96">
        <w:rPr>
          <w:rFonts w:eastAsia="Times New Roman"/>
          <w:b/>
          <w:bCs/>
          <w:sz w:val="24"/>
          <w:szCs w:val="28"/>
        </w:rPr>
        <w:t>16b03</w:t>
      </w:r>
      <w:r w:rsidR="00B30B96" w:rsidRPr="00B30B96">
        <w:rPr>
          <w:rFonts w:eastAsia="Times New Roman"/>
          <w:b/>
          <w:bCs/>
          <w:sz w:val="24"/>
          <w:szCs w:val="28"/>
        </w:rPr>
        <w:t xml:space="preserve"> - </w:t>
      </w:r>
      <w:r w:rsidR="00D229B2" w:rsidRPr="00B30B96">
        <w:rPr>
          <w:rFonts w:eastAsia="Times New Roman"/>
          <w:b/>
          <w:bCs/>
          <w:sz w:val="24"/>
          <w:szCs w:val="28"/>
        </w:rPr>
        <w:t xml:space="preserve">Determining earnings that may be subjected to </w:t>
      </w:r>
      <w:r w:rsidR="002E409B" w:rsidRPr="00B30B96">
        <w:rPr>
          <w:rFonts w:eastAsia="Times New Roman"/>
          <w:b/>
          <w:bCs/>
          <w:sz w:val="24"/>
          <w:szCs w:val="28"/>
        </w:rPr>
        <w:t>garnishment</w:t>
      </w:r>
      <w:r w:rsidR="00D229B2" w:rsidRPr="00B30B96">
        <w:rPr>
          <w:rFonts w:eastAsia="Times New Roman"/>
          <w:b/>
          <w:bCs/>
          <w:sz w:val="24"/>
          <w:szCs w:val="28"/>
        </w:rPr>
        <w:t xml:space="preserve"> for consumer debts.</w:t>
      </w:r>
      <w:proofErr w:type="gramEnd"/>
    </w:p>
    <w:p w:rsidR="00AF0F79" w:rsidRPr="00A55756" w:rsidRDefault="00AF0F79" w:rsidP="00A55756">
      <w:pPr>
        <w:spacing w:after="0" w:line="240" w:lineRule="auto"/>
        <w:rPr>
          <w:sz w:val="24"/>
          <w:szCs w:val="24"/>
        </w:rPr>
      </w:pPr>
    </w:p>
    <w:p w:rsidR="003C232E" w:rsidRDefault="00D229B2" w:rsidP="00807694">
      <w:pPr>
        <w:pStyle w:val="ListParagraph"/>
        <w:numPr>
          <w:ilvl w:val="0"/>
          <w:numId w:val="10"/>
        </w:numPr>
        <w:spacing w:after="0" w:line="240" w:lineRule="auto"/>
        <w:rPr>
          <w:sz w:val="24"/>
          <w:szCs w:val="24"/>
        </w:rPr>
      </w:pPr>
      <w:proofErr w:type="spellStart"/>
      <w:r w:rsidRPr="003C232E">
        <w:rPr>
          <w:sz w:val="24"/>
          <w:szCs w:val="24"/>
        </w:rPr>
        <w:t>Reg</w:t>
      </w:r>
      <w:proofErr w:type="spellEnd"/>
      <w:r w:rsidRPr="003C232E">
        <w:rPr>
          <w:sz w:val="24"/>
          <w:szCs w:val="24"/>
        </w:rPr>
        <w:t xml:space="preserve"> 870.10 sets the maximum part of disposable earnings that may be subjected to consumer</w:t>
      </w:r>
      <w:r w:rsidR="005B6EC7" w:rsidRPr="003C232E">
        <w:rPr>
          <w:sz w:val="24"/>
          <w:szCs w:val="24"/>
        </w:rPr>
        <w:t xml:space="preserve"> </w:t>
      </w:r>
      <w:r w:rsidRPr="003C232E">
        <w:rPr>
          <w:sz w:val="24"/>
          <w:szCs w:val="24"/>
        </w:rPr>
        <w:t>debt garnishment for weekly and other than weekly pay periods. Where an individual’s pay</w:t>
      </w:r>
      <w:r w:rsidR="005B6EC7" w:rsidRPr="003C232E">
        <w:rPr>
          <w:sz w:val="24"/>
          <w:szCs w:val="24"/>
        </w:rPr>
        <w:t xml:space="preserve"> </w:t>
      </w:r>
      <w:r w:rsidRPr="003C232E">
        <w:rPr>
          <w:sz w:val="24"/>
          <w:szCs w:val="24"/>
        </w:rPr>
        <w:t>period is longer than a week (e.g., biweekly, semi-monthly, monthly, etc.,) the earnings that may</w:t>
      </w:r>
      <w:r w:rsidR="005B6EC7" w:rsidRPr="003C232E">
        <w:rPr>
          <w:sz w:val="24"/>
          <w:szCs w:val="24"/>
        </w:rPr>
        <w:t xml:space="preserve"> be s</w:t>
      </w:r>
      <w:r w:rsidRPr="003C232E">
        <w:rPr>
          <w:sz w:val="24"/>
          <w:szCs w:val="24"/>
        </w:rPr>
        <w:t>ubjected to garnishment are not dependent on the earnings or restrictions in any particular</w:t>
      </w:r>
      <w:r w:rsidR="005B6EC7" w:rsidRPr="003C232E">
        <w:rPr>
          <w:sz w:val="24"/>
          <w:szCs w:val="24"/>
        </w:rPr>
        <w:t xml:space="preserve"> </w:t>
      </w:r>
      <w:r w:rsidRPr="003C232E">
        <w:rPr>
          <w:sz w:val="24"/>
          <w:szCs w:val="24"/>
        </w:rPr>
        <w:t>w/w. They are determined by the amount earned up to the point when the garnishee (usually the</w:t>
      </w:r>
      <w:r w:rsidR="005B6EC7" w:rsidRPr="003C232E">
        <w:rPr>
          <w:sz w:val="24"/>
          <w:szCs w:val="24"/>
        </w:rPr>
        <w:t xml:space="preserve"> </w:t>
      </w:r>
      <w:r w:rsidRPr="003C232E">
        <w:rPr>
          <w:sz w:val="24"/>
          <w:szCs w:val="24"/>
        </w:rPr>
        <w:t xml:space="preserve">employer) is legally bound to make deductions </w:t>
      </w:r>
      <w:r w:rsidRPr="003C232E">
        <w:rPr>
          <w:sz w:val="24"/>
          <w:szCs w:val="24"/>
        </w:rPr>
        <w:lastRenderedPageBreak/>
        <w:t>from such earnings pursuant to a garnishment,</w:t>
      </w:r>
      <w:r w:rsidR="005B6EC7" w:rsidRPr="003C232E">
        <w:rPr>
          <w:sz w:val="24"/>
          <w:szCs w:val="24"/>
        </w:rPr>
        <w:t xml:space="preserve"> </w:t>
      </w:r>
      <w:r w:rsidRPr="003C232E">
        <w:rPr>
          <w:sz w:val="24"/>
          <w:szCs w:val="24"/>
        </w:rPr>
        <w:t>reg</w:t>
      </w:r>
      <w:r w:rsidR="005B6EC7" w:rsidRPr="003C232E">
        <w:rPr>
          <w:sz w:val="24"/>
          <w:szCs w:val="24"/>
        </w:rPr>
        <w:t xml:space="preserve">ardless of pay period length. (See chart in FOH </w:t>
      </w:r>
      <w:proofErr w:type="gramStart"/>
      <w:r w:rsidR="005B6EC7" w:rsidRPr="003C232E">
        <w:rPr>
          <w:sz w:val="24"/>
          <w:szCs w:val="24"/>
        </w:rPr>
        <w:t>16b00</w:t>
      </w:r>
      <w:r w:rsidRPr="003C232E">
        <w:rPr>
          <w:sz w:val="24"/>
          <w:szCs w:val="24"/>
        </w:rPr>
        <w:t>(</w:t>
      </w:r>
      <w:proofErr w:type="gramEnd"/>
      <w:r w:rsidRPr="003C232E">
        <w:rPr>
          <w:sz w:val="24"/>
          <w:szCs w:val="24"/>
        </w:rPr>
        <w:t>a).)</w:t>
      </w:r>
    </w:p>
    <w:p w:rsidR="003C232E" w:rsidRDefault="003C232E" w:rsidP="003C232E">
      <w:pPr>
        <w:pStyle w:val="ListParagraph"/>
        <w:spacing w:after="0" w:line="240" w:lineRule="auto"/>
        <w:rPr>
          <w:sz w:val="24"/>
          <w:szCs w:val="24"/>
        </w:rPr>
      </w:pPr>
    </w:p>
    <w:p w:rsidR="003C232E" w:rsidRDefault="00D27057" w:rsidP="00807694">
      <w:pPr>
        <w:pStyle w:val="ListParagraph"/>
        <w:numPr>
          <w:ilvl w:val="0"/>
          <w:numId w:val="10"/>
        </w:numPr>
        <w:spacing w:after="0" w:line="240" w:lineRule="auto"/>
        <w:rPr>
          <w:sz w:val="24"/>
          <w:szCs w:val="24"/>
        </w:rPr>
      </w:pPr>
      <w:r w:rsidRPr="003C232E">
        <w:rPr>
          <w:sz w:val="24"/>
          <w:szCs w:val="24"/>
        </w:rPr>
        <w:t>Examples:</w:t>
      </w:r>
    </w:p>
    <w:p w:rsidR="003C232E" w:rsidRPr="003C232E" w:rsidRDefault="003C232E" w:rsidP="003C232E">
      <w:pPr>
        <w:pStyle w:val="ListParagraph"/>
        <w:rPr>
          <w:sz w:val="24"/>
          <w:szCs w:val="24"/>
        </w:rPr>
      </w:pPr>
    </w:p>
    <w:p w:rsidR="00D27057" w:rsidRPr="003C232E" w:rsidRDefault="00D27057" w:rsidP="00807694">
      <w:pPr>
        <w:pStyle w:val="ListParagraph"/>
        <w:numPr>
          <w:ilvl w:val="1"/>
          <w:numId w:val="10"/>
        </w:numPr>
        <w:spacing w:after="0" w:line="240" w:lineRule="auto"/>
        <w:rPr>
          <w:sz w:val="24"/>
          <w:szCs w:val="24"/>
        </w:rPr>
      </w:pPr>
      <w:r w:rsidRPr="003C232E">
        <w:rPr>
          <w:sz w:val="24"/>
          <w:szCs w:val="24"/>
        </w:rPr>
        <w:t>An employee with a biweekly pay period works and is paid the following:</w:t>
      </w:r>
    </w:p>
    <w:p w:rsidR="00D27057" w:rsidRPr="00A55756" w:rsidRDefault="00D27057" w:rsidP="00A55756">
      <w:pPr>
        <w:spacing w:after="0" w:line="240" w:lineRule="auto"/>
        <w:rPr>
          <w:sz w:val="24"/>
          <w:szCs w:val="24"/>
        </w:rPr>
      </w:pPr>
    </w:p>
    <w:tbl>
      <w:tblPr>
        <w:tblStyle w:val="TableGrid"/>
        <w:tblW w:w="0" w:type="auto"/>
        <w:jc w:val="center"/>
        <w:tblLook w:val="04A0" w:firstRow="1" w:lastRow="0" w:firstColumn="1" w:lastColumn="0" w:noHBand="0" w:noVBand="1"/>
      </w:tblPr>
      <w:tblGrid>
        <w:gridCol w:w="3542"/>
        <w:gridCol w:w="2636"/>
        <w:gridCol w:w="996"/>
      </w:tblGrid>
      <w:tr w:rsidR="003C232E" w:rsidRPr="003C232E" w:rsidTr="003C232E">
        <w:trPr>
          <w:jc w:val="center"/>
        </w:trPr>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1st  week</w:t>
            </w:r>
          </w:p>
        </w:tc>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2nd week</w:t>
            </w:r>
          </w:p>
        </w:tc>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Total</w:t>
            </w:r>
          </w:p>
        </w:tc>
      </w:tr>
      <w:tr w:rsidR="003C232E" w:rsidRPr="003C232E" w:rsidTr="00F906ED">
        <w:trPr>
          <w:jc w:val="center"/>
        </w:trPr>
        <w:tc>
          <w:tcPr>
            <w:tcW w:w="0" w:type="auto"/>
            <w:gridSpan w:val="3"/>
            <w:vAlign w:val="center"/>
          </w:tcPr>
          <w:p w:rsidR="003C232E" w:rsidRPr="003C232E" w:rsidRDefault="003C232E" w:rsidP="003C232E">
            <w:pPr>
              <w:spacing w:after="0" w:line="240" w:lineRule="auto"/>
              <w:jc w:val="center"/>
              <w:rPr>
                <w:sz w:val="24"/>
                <w:szCs w:val="24"/>
              </w:rPr>
            </w:pPr>
          </w:p>
        </w:tc>
      </w:tr>
      <w:tr w:rsidR="003C232E" w:rsidRPr="003C232E" w:rsidTr="003C232E">
        <w:trPr>
          <w:jc w:val="center"/>
        </w:trPr>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Worked 5 days -- $500.00</w:t>
            </w:r>
          </w:p>
        </w:tc>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Worked 1 day -- $100.00</w:t>
            </w:r>
          </w:p>
        </w:tc>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$600.00</w:t>
            </w:r>
          </w:p>
        </w:tc>
      </w:tr>
      <w:tr w:rsidR="003C232E" w:rsidRPr="003C232E" w:rsidTr="003C232E">
        <w:trPr>
          <w:jc w:val="center"/>
        </w:trPr>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Less Legally Required Deductions</w:t>
            </w:r>
          </w:p>
        </w:tc>
        <w:tc>
          <w:tcPr>
            <w:tcW w:w="0" w:type="auto"/>
            <w:vAlign w:val="center"/>
          </w:tcPr>
          <w:p w:rsidR="003C232E" w:rsidRPr="003C232E" w:rsidRDefault="003C232E" w:rsidP="003C232E">
            <w:pPr>
              <w:spacing w:after="0" w:line="240" w:lineRule="auto"/>
              <w:jc w:val="center"/>
              <w:rPr>
                <w:sz w:val="24"/>
                <w:szCs w:val="24"/>
              </w:rPr>
            </w:pPr>
          </w:p>
        </w:tc>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$100.00</w:t>
            </w:r>
          </w:p>
        </w:tc>
      </w:tr>
      <w:tr w:rsidR="003C232E" w:rsidRPr="003C232E" w:rsidTr="003C232E">
        <w:trPr>
          <w:jc w:val="center"/>
        </w:trPr>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Disposable Income</w:t>
            </w:r>
          </w:p>
        </w:tc>
        <w:tc>
          <w:tcPr>
            <w:tcW w:w="0" w:type="auto"/>
            <w:vAlign w:val="center"/>
          </w:tcPr>
          <w:p w:rsidR="003C232E" w:rsidRPr="003C232E" w:rsidRDefault="003C232E" w:rsidP="003C232E">
            <w:pPr>
              <w:spacing w:after="0" w:line="240" w:lineRule="auto"/>
              <w:jc w:val="center"/>
              <w:rPr>
                <w:sz w:val="24"/>
                <w:szCs w:val="24"/>
              </w:rPr>
            </w:pPr>
          </w:p>
        </w:tc>
        <w:tc>
          <w:tcPr>
            <w:tcW w:w="0" w:type="auto"/>
            <w:vAlign w:val="center"/>
          </w:tcPr>
          <w:p w:rsidR="003C232E" w:rsidRPr="003C232E" w:rsidRDefault="003C232E" w:rsidP="003C232E">
            <w:pPr>
              <w:spacing w:after="0" w:line="240" w:lineRule="auto"/>
              <w:jc w:val="center"/>
              <w:rPr>
                <w:sz w:val="24"/>
                <w:szCs w:val="24"/>
              </w:rPr>
            </w:pPr>
            <w:r w:rsidRPr="003C232E">
              <w:rPr>
                <w:sz w:val="24"/>
                <w:szCs w:val="24"/>
              </w:rPr>
              <w:t>$500.00</w:t>
            </w:r>
          </w:p>
        </w:tc>
      </w:tr>
    </w:tbl>
    <w:p w:rsidR="00732E27" w:rsidRDefault="00732E27" w:rsidP="00A55756">
      <w:pPr>
        <w:spacing w:after="0" w:line="240" w:lineRule="auto"/>
        <w:rPr>
          <w:sz w:val="24"/>
          <w:szCs w:val="24"/>
        </w:rPr>
      </w:pPr>
    </w:p>
    <w:p w:rsidR="00732E27" w:rsidRDefault="00D27057" w:rsidP="00732E27">
      <w:pPr>
        <w:pStyle w:val="ListParagraph"/>
        <w:spacing w:after="0" w:line="240" w:lineRule="auto"/>
        <w:ind w:left="1440"/>
        <w:rPr>
          <w:sz w:val="24"/>
          <w:szCs w:val="24"/>
        </w:rPr>
      </w:pPr>
      <w:r w:rsidRPr="00732E27">
        <w:rPr>
          <w:sz w:val="24"/>
          <w:szCs w:val="24"/>
        </w:rPr>
        <w:t>In this example, $125.</w:t>
      </w:r>
      <w:r w:rsidR="002E409B" w:rsidRPr="00732E27">
        <w:rPr>
          <w:sz w:val="24"/>
          <w:szCs w:val="24"/>
        </w:rPr>
        <w:t xml:space="preserve">00 is </w:t>
      </w:r>
      <w:proofErr w:type="spellStart"/>
      <w:r w:rsidR="002E409B" w:rsidRPr="00732E27">
        <w:rPr>
          <w:sz w:val="24"/>
          <w:szCs w:val="24"/>
        </w:rPr>
        <w:t>garnishable</w:t>
      </w:r>
      <w:proofErr w:type="spellEnd"/>
      <w:r w:rsidR="002E409B" w:rsidRPr="00732E27">
        <w:rPr>
          <w:sz w:val="24"/>
          <w:szCs w:val="24"/>
        </w:rPr>
        <w:t xml:space="preserve"> for consumer </w:t>
      </w:r>
      <w:r w:rsidRPr="00732E27">
        <w:rPr>
          <w:sz w:val="24"/>
          <w:szCs w:val="24"/>
        </w:rPr>
        <w:t>debts. It does not matter that</w:t>
      </w:r>
      <w:r w:rsidR="008159F0" w:rsidRPr="00732E27">
        <w:rPr>
          <w:sz w:val="24"/>
          <w:szCs w:val="24"/>
        </w:rPr>
        <w:t xml:space="preserve"> </w:t>
      </w:r>
      <w:r w:rsidRPr="00732E27">
        <w:rPr>
          <w:sz w:val="24"/>
          <w:szCs w:val="24"/>
        </w:rPr>
        <w:t>the employee’s disposable earnings for the sec</w:t>
      </w:r>
      <w:r w:rsidR="008159F0" w:rsidRPr="00732E27">
        <w:rPr>
          <w:sz w:val="24"/>
          <w:szCs w:val="24"/>
        </w:rPr>
        <w:t xml:space="preserve">ond w/w were less than $154.50, </w:t>
      </w:r>
      <w:r w:rsidRPr="00732E27">
        <w:rPr>
          <w:sz w:val="24"/>
          <w:szCs w:val="24"/>
        </w:rPr>
        <w:t>because the employer pays on a biweekly b</w:t>
      </w:r>
      <w:r w:rsidR="008159F0" w:rsidRPr="00732E27">
        <w:rPr>
          <w:sz w:val="24"/>
          <w:szCs w:val="24"/>
        </w:rPr>
        <w:t xml:space="preserve">asis. In order for any consumer </w:t>
      </w:r>
      <w:r w:rsidRPr="00732E27">
        <w:rPr>
          <w:sz w:val="24"/>
          <w:szCs w:val="24"/>
        </w:rPr>
        <w:t>garnishment to take place in a 2-week pay period, di</w:t>
      </w:r>
      <w:r w:rsidR="008159F0" w:rsidRPr="00732E27">
        <w:rPr>
          <w:sz w:val="24"/>
          <w:szCs w:val="24"/>
        </w:rPr>
        <w:t xml:space="preserve">sposable income must be greater </w:t>
      </w:r>
      <w:r w:rsidRPr="00732E27">
        <w:rPr>
          <w:sz w:val="24"/>
          <w:szCs w:val="24"/>
        </w:rPr>
        <w:t>than $309.00. In a biweekly pay period, when disposable earnings are between</w:t>
      </w:r>
      <w:r w:rsidR="008159F0" w:rsidRPr="00732E27">
        <w:rPr>
          <w:sz w:val="24"/>
          <w:szCs w:val="24"/>
        </w:rPr>
        <w:t xml:space="preserve"> </w:t>
      </w:r>
      <w:r w:rsidRPr="00732E27">
        <w:rPr>
          <w:sz w:val="24"/>
          <w:szCs w:val="24"/>
        </w:rPr>
        <w:t>$309.00 and $412.00, only the amount in exces</w:t>
      </w:r>
      <w:r w:rsidR="008159F0" w:rsidRPr="00732E27">
        <w:rPr>
          <w:sz w:val="24"/>
          <w:szCs w:val="24"/>
        </w:rPr>
        <w:t xml:space="preserve">s of $309.00 is subject to such </w:t>
      </w:r>
      <w:r w:rsidRPr="00732E27">
        <w:rPr>
          <w:sz w:val="24"/>
          <w:szCs w:val="24"/>
        </w:rPr>
        <w:t>garnishment. When the disposable earnings are in exc</w:t>
      </w:r>
      <w:r w:rsidR="008159F0" w:rsidRPr="00732E27">
        <w:rPr>
          <w:sz w:val="24"/>
          <w:szCs w:val="24"/>
        </w:rPr>
        <w:t xml:space="preserve">ess of $412.00, as in the above </w:t>
      </w:r>
      <w:r w:rsidRPr="00732E27">
        <w:rPr>
          <w:sz w:val="24"/>
          <w:szCs w:val="24"/>
        </w:rPr>
        <w:t>example, up to 25% of the biweekly disposable earnings may be garnished for</w:t>
      </w:r>
      <w:r w:rsidR="008159F0" w:rsidRPr="00732E27">
        <w:rPr>
          <w:sz w:val="24"/>
          <w:szCs w:val="24"/>
        </w:rPr>
        <w:t xml:space="preserve"> </w:t>
      </w:r>
      <w:r w:rsidRPr="00732E27">
        <w:rPr>
          <w:sz w:val="24"/>
          <w:szCs w:val="24"/>
        </w:rPr>
        <w:t>consumer debts. (See</w:t>
      </w:r>
      <w:r w:rsidR="008159F0" w:rsidRPr="00732E27">
        <w:rPr>
          <w:sz w:val="24"/>
          <w:szCs w:val="24"/>
        </w:rPr>
        <w:t xml:space="preserve"> FOH </w:t>
      </w:r>
      <w:proofErr w:type="gramStart"/>
      <w:r w:rsidR="008159F0" w:rsidRPr="00732E27">
        <w:rPr>
          <w:sz w:val="24"/>
          <w:szCs w:val="24"/>
        </w:rPr>
        <w:t>16b00</w:t>
      </w:r>
      <w:r w:rsidRPr="00732E27">
        <w:rPr>
          <w:sz w:val="24"/>
          <w:szCs w:val="24"/>
        </w:rPr>
        <w:t>(</w:t>
      </w:r>
      <w:proofErr w:type="gramEnd"/>
      <w:r w:rsidRPr="00732E27">
        <w:rPr>
          <w:sz w:val="24"/>
          <w:szCs w:val="24"/>
        </w:rPr>
        <w:t>a).)</w:t>
      </w:r>
    </w:p>
    <w:p w:rsidR="00732E27" w:rsidRDefault="00732E27" w:rsidP="00732E27">
      <w:pPr>
        <w:spacing w:after="0" w:line="240" w:lineRule="auto"/>
        <w:rPr>
          <w:sz w:val="24"/>
          <w:szCs w:val="24"/>
        </w:rPr>
      </w:pPr>
    </w:p>
    <w:p w:rsidR="00732E27" w:rsidRDefault="00D27057" w:rsidP="00807694">
      <w:pPr>
        <w:pStyle w:val="ListParagraph"/>
        <w:numPr>
          <w:ilvl w:val="1"/>
          <w:numId w:val="11"/>
        </w:numPr>
        <w:spacing w:after="0" w:line="240" w:lineRule="auto"/>
        <w:rPr>
          <w:sz w:val="24"/>
          <w:szCs w:val="24"/>
        </w:rPr>
      </w:pPr>
      <w:r w:rsidRPr="00732E27">
        <w:rPr>
          <w:sz w:val="24"/>
          <w:szCs w:val="24"/>
        </w:rPr>
        <w:t>A company pays on a semi-monthly ba</w:t>
      </w:r>
      <w:r w:rsidR="00B2732B" w:rsidRPr="00732E27">
        <w:rPr>
          <w:sz w:val="24"/>
          <w:szCs w:val="24"/>
        </w:rPr>
        <w:t xml:space="preserve">sis. Pay periods run from the 1st </w:t>
      </w:r>
      <w:r w:rsidRPr="00732E27">
        <w:rPr>
          <w:sz w:val="24"/>
          <w:szCs w:val="24"/>
        </w:rPr>
        <w:t>through the</w:t>
      </w:r>
      <w:r w:rsidR="00B2732B" w:rsidRPr="00732E27">
        <w:rPr>
          <w:sz w:val="24"/>
          <w:szCs w:val="24"/>
        </w:rPr>
        <w:t xml:space="preserve"> 15th</w:t>
      </w:r>
      <w:r w:rsidR="002E409B" w:rsidRPr="00732E27">
        <w:rPr>
          <w:sz w:val="24"/>
          <w:szCs w:val="24"/>
        </w:rPr>
        <w:t xml:space="preserve"> </w:t>
      </w:r>
      <w:r w:rsidR="00B2732B" w:rsidRPr="00732E27">
        <w:rPr>
          <w:sz w:val="24"/>
          <w:szCs w:val="24"/>
        </w:rPr>
        <w:t xml:space="preserve">and the </w:t>
      </w:r>
      <w:proofErr w:type="gramStart"/>
      <w:r w:rsidR="00B2732B" w:rsidRPr="00732E27">
        <w:rPr>
          <w:sz w:val="24"/>
          <w:szCs w:val="24"/>
        </w:rPr>
        <w:t xml:space="preserve">16th </w:t>
      </w:r>
      <w:r w:rsidRPr="00732E27">
        <w:rPr>
          <w:sz w:val="24"/>
          <w:szCs w:val="24"/>
        </w:rPr>
        <w:t xml:space="preserve"> through</w:t>
      </w:r>
      <w:proofErr w:type="gramEnd"/>
      <w:r w:rsidRPr="00732E27">
        <w:rPr>
          <w:sz w:val="24"/>
          <w:szCs w:val="24"/>
        </w:rPr>
        <w:t xml:space="preserve"> the end of the month. The </w:t>
      </w:r>
      <w:r w:rsidR="00B2732B" w:rsidRPr="00732E27">
        <w:rPr>
          <w:sz w:val="24"/>
          <w:szCs w:val="24"/>
        </w:rPr>
        <w:t xml:space="preserve">employer pays employees in full </w:t>
      </w:r>
      <w:r w:rsidRPr="00732E27">
        <w:rPr>
          <w:sz w:val="24"/>
          <w:szCs w:val="24"/>
        </w:rPr>
        <w:t>on the last day of the pay period. The firm is serve</w:t>
      </w:r>
      <w:r w:rsidR="00B2732B" w:rsidRPr="00732E27">
        <w:rPr>
          <w:sz w:val="24"/>
          <w:szCs w:val="24"/>
        </w:rPr>
        <w:t xml:space="preserve">d with a garnishment on the 17th. </w:t>
      </w:r>
      <w:r w:rsidRPr="00732E27">
        <w:rPr>
          <w:sz w:val="24"/>
          <w:szCs w:val="24"/>
        </w:rPr>
        <w:t xml:space="preserve">The </w:t>
      </w:r>
      <w:r w:rsidR="00B2732B" w:rsidRPr="00732E27">
        <w:rPr>
          <w:sz w:val="24"/>
          <w:szCs w:val="24"/>
        </w:rPr>
        <w:t xml:space="preserve">debtor employee has accrued two </w:t>
      </w:r>
      <w:r w:rsidRPr="00732E27">
        <w:rPr>
          <w:sz w:val="24"/>
          <w:szCs w:val="24"/>
        </w:rPr>
        <w:t>day’s dispo</w:t>
      </w:r>
      <w:r w:rsidR="00B2732B" w:rsidRPr="00732E27">
        <w:rPr>
          <w:sz w:val="24"/>
          <w:szCs w:val="24"/>
        </w:rPr>
        <w:t xml:space="preserve">sable earnings in the amount of </w:t>
      </w:r>
      <w:r w:rsidRPr="00732E27">
        <w:rPr>
          <w:sz w:val="24"/>
          <w:szCs w:val="24"/>
        </w:rPr>
        <w:t>$200.00. No wages would be subject to garnishment at this</w:t>
      </w:r>
      <w:r w:rsidR="00B2732B" w:rsidRPr="00732E27">
        <w:rPr>
          <w:sz w:val="24"/>
          <w:szCs w:val="24"/>
        </w:rPr>
        <w:t xml:space="preserve"> time, because in a semimonthly </w:t>
      </w:r>
      <w:r w:rsidRPr="00732E27">
        <w:rPr>
          <w:sz w:val="24"/>
          <w:szCs w:val="24"/>
        </w:rPr>
        <w:t>pay period disposable earnings must be greater than $334.75 for any</w:t>
      </w:r>
      <w:r w:rsidR="00B2732B" w:rsidRPr="00732E27">
        <w:rPr>
          <w:sz w:val="24"/>
          <w:szCs w:val="24"/>
        </w:rPr>
        <w:t xml:space="preserve"> </w:t>
      </w:r>
      <w:r w:rsidRPr="00732E27">
        <w:rPr>
          <w:sz w:val="24"/>
          <w:szCs w:val="24"/>
        </w:rPr>
        <w:t>garnishme</w:t>
      </w:r>
      <w:r w:rsidR="00B2732B" w:rsidRPr="00732E27">
        <w:rPr>
          <w:sz w:val="24"/>
          <w:szCs w:val="24"/>
        </w:rPr>
        <w:t xml:space="preserve">nt to take place. (See FOH </w:t>
      </w:r>
      <w:proofErr w:type="gramStart"/>
      <w:r w:rsidR="00B2732B" w:rsidRPr="00732E27">
        <w:rPr>
          <w:sz w:val="24"/>
          <w:szCs w:val="24"/>
        </w:rPr>
        <w:t>16b00</w:t>
      </w:r>
      <w:r w:rsidRPr="00732E27">
        <w:rPr>
          <w:sz w:val="24"/>
          <w:szCs w:val="24"/>
        </w:rPr>
        <w:t>(</w:t>
      </w:r>
      <w:proofErr w:type="gramEnd"/>
      <w:r w:rsidRPr="00732E27">
        <w:rPr>
          <w:sz w:val="24"/>
          <w:szCs w:val="24"/>
        </w:rPr>
        <w:t>a).) The e</w:t>
      </w:r>
      <w:r w:rsidR="00B2732B" w:rsidRPr="00732E27">
        <w:rPr>
          <w:sz w:val="24"/>
          <w:szCs w:val="24"/>
        </w:rPr>
        <w:t xml:space="preserve">mployee’s disposable earnings </w:t>
      </w:r>
      <w:r w:rsidRPr="00732E27">
        <w:rPr>
          <w:sz w:val="24"/>
          <w:szCs w:val="24"/>
        </w:rPr>
        <w:t>in any particular w/w are not material. Therefore, in those states that do not allow the</w:t>
      </w:r>
      <w:r w:rsidR="00B2732B" w:rsidRPr="00732E27">
        <w:rPr>
          <w:sz w:val="24"/>
          <w:szCs w:val="24"/>
        </w:rPr>
        <w:t xml:space="preserve"> </w:t>
      </w:r>
      <w:r w:rsidRPr="00732E27">
        <w:rPr>
          <w:sz w:val="24"/>
          <w:szCs w:val="24"/>
        </w:rPr>
        <w:t>garnishment of future earnings, the employer could not withhold on a garnishment</w:t>
      </w:r>
      <w:r w:rsidR="00B2732B" w:rsidRPr="00732E27">
        <w:rPr>
          <w:sz w:val="24"/>
          <w:szCs w:val="24"/>
        </w:rPr>
        <w:t xml:space="preserve"> </w:t>
      </w:r>
      <w:r w:rsidRPr="00732E27">
        <w:rPr>
          <w:sz w:val="24"/>
          <w:szCs w:val="24"/>
        </w:rPr>
        <w:t>order issued that day. The garnishment amount will be recomputed on all wages for</w:t>
      </w:r>
      <w:r w:rsidR="00B2732B" w:rsidRPr="00732E27">
        <w:rPr>
          <w:sz w:val="24"/>
          <w:szCs w:val="24"/>
        </w:rPr>
        <w:t xml:space="preserve"> </w:t>
      </w:r>
      <w:r w:rsidRPr="00732E27">
        <w:rPr>
          <w:sz w:val="24"/>
          <w:szCs w:val="24"/>
        </w:rPr>
        <w:t>the period, if another garnishment is served at the end of the pay period.</w:t>
      </w:r>
    </w:p>
    <w:p w:rsidR="00732E27" w:rsidRDefault="00732E27" w:rsidP="00732E27">
      <w:pPr>
        <w:pStyle w:val="ListParagraph"/>
        <w:spacing w:after="0" w:line="240" w:lineRule="auto"/>
        <w:ind w:left="1440"/>
        <w:rPr>
          <w:sz w:val="24"/>
          <w:szCs w:val="24"/>
        </w:rPr>
      </w:pPr>
    </w:p>
    <w:p w:rsidR="00732E27" w:rsidRDefault="00B2732B" w:rsidP="00807694">
      <w:pPr>
        <w:pStyle w:val="ListParagraph"/>
        <w:numPr>
          <w:ilvl w:val="0"/>
          <w:numId w:val="12"/>
        </w:numPr>
        <w:spacing w:after="0" w:line="240" w:lineRule="auto"/>
        <w:rPr>
          <w:sz w:val="24"/>
          <w:szCs w:val="24"/>
        </w:rPr>
      </w:pPr>
      <w:r w:rsidRPr="00732E27">
        <w:rPr>
          <w:sz w:val="24"/>
          <w:szCs w:val="24"/>
        </w:rPr>
        <w:t>The restrictions of sec</w:t>
      </w:r>
      <w:r w:rsidR="00D27057" w:rsidRPr="00732E27">
        <w:rPr>
          <w:sz w:val="24"/>
          <w:szCs w:val="24"/>
        </w:rPr>
        <w:t xml:space="preserve"> 303 are applicable to the pay period of the individual whose earnings</w:t>
      </w:r>
      <w:r w:rsidRPr="00732E27">
        <w:rPr>
          <w:sz w:val="24"/>
          <w:szCs w:val="24"/>
        </w:rPr>
        <w:t xml:space="preserve"> </w:t>
      </w:r>
      <w:r w:rsidR="00D27057" w:rsidRPr="00732E27">
        <w:rPr>
          <w:sz w:val="24"/>
          <w:szCs w:val="24"/>
        </w:rPr>
        <w:t>are subjected to garnishment. Where there is a hold-back period for wages earned, the</w:t>
      </w:r>
      <w:r w:rsidRPr="00732E27">
        <w:rPr>
          <w:sz w:val="24"/>
          <w:szCs w:val="24"/>
        </w:rPr>
        <w:t xml:space="preserve"> </w:t>
      </w:r>
      <w:r w:rsidR="00D27057" w:rsidRPr="00732E27">
        <w:rPr>
          <w:sz w:val="24"/>
          <w:szCs w:val="24"/>
        </w:rPr>
        <w:t xml:space="preserve">multiple limitations prescribed in the Statute and </w:t>
      </w:r>
      <w:proofErr w:type="spellStart"/>
      <w:r w:rsidR="00D27057" w:rsidRPr="00732E27">
        <w:rPr>
          <w:sz w:val="24"/>
          <w:szCs w:val="24"/>
        </w:rPr>
        <w:t>Reg</w:t>
      </w:r>
      <w:proofErr w:type="spellEnd"/>
      <w:r w:rsidR="00D27057" w:rsidRPr="00732E27">
        <w:rPr>
          <w:sz w:val="24"/>
          <w:szCs w:val="24"/>
        </w:rPr>
        <w:t xml:space="preserve"> 870.10 </w:t>
      </w:r>
      <w:proofErr w:type="gramStart"/>
      <w:r w:rsidR="00D27057" w:rsidRPr="00732E27">
        <w:rPr>
          <w:sz w:val="24"/>
          <w:szCs w:val="24"/>
        </w:rPr>
        <w:t>are</w:t>
      </w:r>
      <w:proofErr w:type="gramEnd"/>
      <w:r w:rsidR="00D27057" w:rsidRPr="00732E27">
        <w:rPr>
          <w:sz w:val="24"/>
          <w:szCs w:val="24"/>
        </w:rPr>
        <w:t xml:space="preserve"> applied separately to the</w:t>
      </w:r>
      <w:r w:rsidRPr="00732E27">
        <w:rPr>
          <w:sz w:val="24"/>
          <w:szCs w:val="24"/>
        </w:rPr>
        <w:t xml:space="preserve"> </w:t>
      </w:r>
      <w:r w:rsidR="00D27057" w:rsidRPr="00732E27">
        <w:rPr>
          <w:sz w:val="24"/>
          <w:szCs w:val="24"/>
        </w:rPr>
        <w:t>earnings for each pay period. Earnings for two or more pay periods are not lumped together.</w:t>
      </w:r>
    </w:p>
    <w:p w:rsidR="00732E27" w:rsidRDefault="00732E27" w:rsidP="00732E27">
      <w:pPr>
        <w:pStyle w:val="ListParagraph"/>
        <w:spacing w:after="0" w:line="240" w:lineRule="auto"/>
        <w:rPr>
          <w:sz w:val="24"/>
          <w:szCs w:val="24"/>
        </w:rPr>
      </w:pPr>
    </w:p>
    <w:p w:rsidR="00807694" w:rsidRDefault="00B2732B" w:rsidP="00807694">
      <w:pPr>
        <w:pStyle w:val="ListParagraph"/>
        <w:numPr>
          <w:ilvl w:val="0"/>
          <w:numId w:val="12"/>
        </w:numPr>
        <w:spacing w:after="0" w:line="240" w:lineRule="auto"/>
        <w:rPr>
          <w:sz w:val="24"/>
          <w:szCs w:val="24"/>
        </w:rPr>
      </w:pPr>
      <w:r w:rsidRPr="00807694">
        <w:rPr>
          <w:sz w:val="24"/>
          <w:szCs w:val="24"/>
        </w:rPr>
        <w:t>Sec</w:t>
      </w:r>
      <w:r w:rsidR="00D27057" w:rsidRPr="00807694">
        <w:rPr>
          <w:sz w:val="24"/>
          <w:szCs w:val="24"/>
        </w:rPr>
        <w:t xml:space="preserve"> 302(a) of the CCPA states “[t]he term ‘earnings’ means compensation paid or payable for</w:t>
      </w:r>
      <w:r w:rsidRPr="00807694">
        <w:rPr>
          <w:sz w:val="24"/>
          <w:szCs w:val="24"/>
        </w:rPr>
        <w:t xml:space="preserve"> </w:t>
      </w:r>
      <w:r w:rsidR="00D27057" w:rsidRPr="00807694">
        <w:rPr>
          <w:sz w:val="24"/>
          <w:szCs w:val="24"/>
        </w:rPr>
        <w:t>personal services, whether denominated as wages, salary, commission, bonus, or otherwise,</w:t>
      </w:r>
      <w:r w:rsidRPr="00807694">
        <w:rPr>
          <w:sz w:val="24"/>
          <w:szCs w:val="24"/>
        </w:rPr>
        <w:t xml:space="preserve"> </w:t>
      </w:r>
      <w:r w:rsidR="00D27057" w:rsidRPr="00807694">
        <w:rPr>
          <w:sz w:val="24"/>
          <w:szCs w:val="24"/>
        </w:rPr>
        <w:t>and includes periodic payments pursuant to a pension or retirement program. ” The statutory</w:t>
      </w:r>
      <w:r w:rsidRPr="00807694">
        <w:rPr>
          <w:sz w:val="24"/>
          <w:szCs w:val="24"/>
        </w:rPr>
        <w:t xml:space="preserve"> </w:t>
      </w:r>
      <w:r w:rsidR="00D27057" w:rsidRPr="00807694">
        <w:rPr>
          <w:sz w:val="24"/>
          <w:szCs w:val="24"/>
        </w:rPr>
        <w:t xml:space="preserve">definition generally embraces compensation for personal </w:t>
      </w:r>
      <w:r w:rsidR="00D27057" w:rsidRPr="00807694">
        <w:rPr>
          <w:sz w:val="24"/>
          <w:szCs w:val="24"/>
        </w:rPr>
        <w:lastRenderedPageBreak/>
        <w:t>services. When the employment</w:t>
      </w:r>
      <w:r w:rsidRPr="00807694">
        <w:rPr>
          <w:sz w:val="24"/>
          <w:szCs w:val="24"/>
        </w:rPr>
        <w:t xml:space="preserve"> </w:t>
      </w:r>
      <w:r w:rsidR="00D27057" w:rsidRPr="00807694">
        <w:rPr>
          <w:sz w:val="24"/>
          <w:szCs w:val="24"/>
        </w:rPr>
        <w:t>contract provides furnished facilities, such as meals and lodging, the dollar value of the</w:t>
      </w:r>
      <w:r w:rsidRPr="00807694">
        <w:rPr>
          <w:sz w:val="24"/>
          <w:szCs w:val="24"/>
        </w:rPr>
        <w:t xml:space="preserve"> </w:t>
      </w:r>
      <w:r w:rsidR="00D27057" w:rsidRPr="00807694">
        <w:rPr>
          <w:sz w:val="24"/>
          <w:szCs w:val="24"/>
        </w:rPr>
        <w:t>furnished facilities is part of the earnings and must be considered in applying the restrictions</w:t>
      </w:r>
      <w:r w:rsidRPr="00807694">
        <w:rPr>
          <w:sz w:val="24"/>
          <w:szCs w:val="24"/>
        </w:rPr>
        <w:t xml:space="preserve"> of sec.</w:t>
      </w:r>
      <w:r w:rsidR="00D27057" w:rsidRPr="00807694">
        <w:rPr>
          <w:sz w:val="24"/>
          <w:szCs w:val="24"/>
        </w:rPr>
        <w:t xml:space="preserve"> 303(a).</w:t>
      </w:r>
    </w:p>
    <w:p w:rsidR="00807694" w:rsidRPr="00807694" w:rsidRDefault="00807694" w:rsidP="00807694">
      <w:pPr>
        <w:pStyle w:val="ListParagraph"/>
        <w:rPr>
          <w:sz w:val="24"/>
          <w:szCs w:val="24"/>
        </w:rPr>
      </w:pPr>
    </w:p>
    <w:p w:rsidR="009213F5" w:rsidRPr="00807694" w:rsidRDefault="00935DC5" w:rsidP="00807694">
      <w:pPr>
        <w:pStyle w:val="ListParagraph"/>
        <w:numPr>
          <w:ilvl w:val="0"/>
          <w:numId w:val="12"/>
        </w:numPr>
        <w:spacing w:after="0" w:line="240" w:lineRule="auto"/>
        <w:rPr>
          <w:sz w:val="24"/>
          <w:szCs w:val="24"/>
        </w:rPr>
      </w:pPr>
      <w:r w:rsidRPr="00807694">
        <w:rPr>
          <w:sz w:val="24"/>
          <w:szCs w:val="24"/>
        </w:rPr>
        <w:t>The Supreme Court has held that the statutory terms “earnings”</w:t>
      </w:r>
      <w:r w:rsidR="009213F5" w:rsidRPr="00807694">
        <w:rPr>
          <w:sz w:val="24"/>
          <w:szCs w:val="24"/>
        </w:rPr>
        <w:t xml:space="preserve"> and “disposable earnings” are, </w:t>
      </w:r>
      <w:r w:rsidRPr="00807694">
        <w:rPr>
          <w:sz w:val="24"/>
          <w:szCs w:val="24"/>
        </w:rPr>
        <w:t>for the purposes of the CCPA, generally confined to periodic payments of compensation.</w:t>
      </w:r>
      <w:r w:rsidR="009213F5" w:rsidRPr="00807694">
        <w:rPr>
          <w:sz w:val="24"/>
          <w:szCs w:val="24"/>
        </w:rPr>
        <w:t xml:space="preserve"> </w:t>
      </w:r>
      <w:r w:rsidRPr="00807694">
        <w:rPr>
          <w:sz w:val="24"/>
          <w:szCs w:val="24"/>
        </w:rPr>
        <w:t>They do not pertain to every asset that is traceable in</w:t>
      </w:r>
      <w:r w:rsidR="009213F5" w:rsidRPr="00807694">
        <w:rPr>
          <w:sz w:val="24"/>
          <w:szCs w:val="24"/>
        </w:rPr>
        <w:t xml:space="preserve"> some way to such compensation. (</w:t>
      </w:r>
      <w:proofErr w:type="spellStart"/>
      <w:r w:rsidR="007F6125" w:rsidRPr="00807694">
        <w:rPr>
          <w:sz w:val="24"/>
          <w:szCs w:val="24"/>
        </w:rPr>
        <w:t>Kokoszka</w:t>
      </w:r>
      <w:proofErr w:type="spellEnd"/>
      <w:r w:rsidR="007F6125" w:rsidRPr="00807694">
        <w:rPr>
          <w:sz w:val="24"/>
          <w:szCs w:val="24"/>
        </w:rPr>
        <w:t xml:space="preserve"> v. </w:t>
      </w:r>
      <w:r w:rsidRPr="00807694">
        <w:rPr>
          <w:sz w:val="24"/>
          <w:szCs w:val="24"/>
        </w:rPr>
        <w:t>Belford, 417 US 642 (1974).) Under this decis</w:t>
      </w:r>
      <w:r w:rsidR="009213F5" w:rsidRPr="00807694">
        <w:rPr>
          <w:sz w:val="24"/>
          <w:szCs w:val="24"/>
        </w:rPr>
        <w:t xml:space="preserve">ion, certain lump sum payments, </w:t>
      </w:r>
      <w:r w:rsidRPr="00807694">
        <w:rPr>
          <w:sz w:val="24"/>
          <w:szCs w:val="24"/>
        </w:rPr>
        <w:t>such as tax refunds, are neither periodic payments, nor subject to the limitations imposed by</w:t>
      </w:r>
      <w:r w:rsidR="009213F5" w:rsidRPr="00807694">
        <w:rPr>
          <w:sz w:val="24"/>
          <w:szCs w:val="24"/>
        </w:rPr>
        <w:t xml:space="preserve"> </w:t>
      </w:r>
      <w:r w:rsidRPr="00807694">
        <w:rPr>
          <w:sz w:val="24"/>
          <w:szCs w:val="24"/>
        </w:rPr>
        <w:t>the CCPA. The treatment of lump sum severance or pe</w:t>
      </w:r>
      <w:r w:rsidR="009213F5" w:rsidRPr="00807694">
        <w:rPr>
          <w:sz w:val="24"/>
          <w:szCs w:val="24"/>
        </w:rPr>
        <w:t xml:space="preserve">nsion payments is not clear and </w:t>
      </w:r>
      <w:r w:rsidRPr="00807694">
        <w:rPr>
          <w:sz w:val="24"/>
          <w:szCs w:val="24"/>
        </w:rPr>
        <w:t>contact should be made with the NO/OEP/FMLA Team with the facts involved prior to</w:t>
      </w:r>
      <w:r w:rsidR="009213F5" w:rsidRPr="00807694">
        <w:rPr>
          <w:sz w:val="24"/>
          <w:szCs w:val="24"/>
        </w:rPr>
        <w:t xml:space="preserve"> </w:t>
      </w:r>
      <w:r w:rsidRPr="00807694">
        <w:rPr>
          <w:sz w:val="24"/>
          <w:szCs w:val="24"/>
        </w:rPr>
        <w:t>making a final determination for any particular case. It is WH’s position that bonuses are</w:t>
      </w:r>
      <w:r w:rsidR="009213F5" w:rsidRPr="00807694">
        <w:rPr>
          <w:sz w:val="24"/>
          <w:szCs w:val="24"/>
        </w:rPr>
        <w:t xml:space="preserve"> </w:t>
      </w:r>
      <w:r w:rsidRPr="00807694">
        <w:rPr>
          <w:sz w:val="24"/>
          <w:szCs w:val="24"/>
        </w:rPr>
        <w:t>considered “earnings” for the pay period in which they are received, and subject to the limits</w:t>
      </w:r>
      <w:r w:rsidR="009213F5" w:rsidRPr="00807694">
        <w:rPr>
          <w:sz w:val="24"/>
          <w:szCs w:val="24"/>
        </w:rPr>
        <w:t xml:space="preserve"> </w:t>
      </w:r>
      <w:r w:rsidRPr="00807694">
        <w:rPr>
          <w:sz w:val="24"/>
          <w:szCs w:val="24"/>
        </w:rPr>
        <w:t>on garnishment.</w:t>
      </w:r>
    </w:p>
    <w:p w:rsidR="00AF0F79" w:rsidRPr="00A55756" w:rsidRDefault="00AF0F79" w:rsidP="00A55756">
      <w:pPr>
        <w:spacing w:after="0" w:line="240" w:lineRule="auto"/>
        <w:rPr>
          <w:sz w:val="24"/>
          <w:szCs w:val="24"/>
        </w:rPr>
      </w:pPr>
    </w:p>
    <w:p w:rsidR="00935DC5" w:rsidRPr="00B30B96" w:rsidRDefault="008D052D" w:rsidP="00A55756">
      <w:pPr>
        <w:spacing w:after="0" w:line="240" w:lineRule="auto"/>
        <w:rPr>
          <w:rFonts w:eastAsia="Times New Roman"/>
          <w:b/>
          <w:bCs/>
          <w:sz w:val="24"/>
          <w:szCs w:val="28"/>
        </w:rPr>
      </w:pPr>
      <w:proofErr w:type="gramStart"/>
      <w:r w:rsidRPr="00B30B96">
        <w:rPr>
          <w:rFonts w:eastAsia="Times New Roman"/>
          <w:b/>
          <w:bCs/>
          <w:sz w:val="24"/>
          <w:szCs w:val="28"/>
        </w:rPr>
        <w:t>16b04</w:t>
      </w:r>
      <w:r w:rsidR="00B30B96" w:rsidRPr="00B30B96">
        <w:rPr>
          <w:rFonts w:eastAsia="Times New Roman"/>
          <w:b/>
          <w:bCs/>
          <w:sz w:val="24"/>
          <w:szCs w:val="28"/>
        </w:rPr>
        <w:t xml:space="preserve"> - </w:t>
      </w:r>
      <w:r w:rsidR="00935DC5" w:rsidRPr="00B30B96">
        <w:rPr>
          <w:rFonts w:eastAsia="Times New Roman"/>
          <w:b/>
          <w:bCs/>
          <w:sz w:val="24"/>
          <w:szCs w:val="28"/>
        </w:rPr>
        <w:t>Withholding taxes - required by law to be withheld.</w:t>
      </w:r>
      <w:proofErr w:type="gramEnd"/>
    </w:p>
    <w:p w:rsidR="008D052D" w:rsidRPr="00A55756" w:rsidRDefault="008D052D" w:rsidP="00A55756">
      <w:pPr>
        <w:spacing w:after="0" w:line="240" w:lineRule="auto"/>
        <w:rPr>
          <w:sz w:val="24"/>
          <w:szCs w:val="24"/>
        </w:rPr>
      </w:pPr>
    </w:p>
    <w:p w:rsidR="00935DC5" w:rsidRPr="00807694" w:rsidRDefault="008D052D" w:rsidP="00807694">
      <w:pPr>
        <w:pStyle w:val="ListParagraph"/>
        <w:spacing w:after="0" w:line="240" w:lineRule="auto"/>
        <w:rPr>
          <w:sz w:val="24"/>
          <w:szCs w:val="24"/>
        </w:rPr>
      </w:pPr>
      <w:r w:rsidRPr="00807694">
        <w:rPr>
          <w:sz w:val="24"/>
          <w:szCs w:val="24"/>
        </w:rPr>
        <w:t xml:space="preserve">As specified in FOH </w:t>
      </w:r>
      <w:proofErr w:type="gramStart"/>
      <w:r w:rsidRPr="00807694">
        <w:rPr>
          <w:sz w:val="24"/>
          <w:szCs w:val="24"/>
        </w:rPr>
        <w:t>16b0</w:t>
      </w:r>
      <w:r w:rsidR="00935DC5" w:rsidRPr="00807694">
        <w:rPr>
          <w:sz w:val="24"/>
          <w:szCs w:val="24"/>
        </w:rPr>
        <w:t>l(</w:t>
      </w:r>
      <w:proofErr w:type="gramEnd"/>
      <w:r w:rsidR="00935DC5" w:rsidRPr="00807694">
        <w:rPr>
          <w:sz w:val="24"/>
          <w:szCs w:val="24"/>
        </w:rPr>
        <w:t>a)(l), federal, state, or municipal income tax withholdings are</w:t>
      </w:r>
      <w:r w:rsidRPr="00807694">
        <w:rPr>
          <w:sz w:val="24"/>
          <w:szCs w:val="24"/>
        </w:rPr>
        <w:t xml:space="preserve"> </w:t>
      </w:r>
      <w:r w:rsidR="00935DC5" w:rsidRPr="00807694">
        <w:rPr>
          <w:sz w:val="24"/>
          <w:szCs w:val="24"/>
        </w:rPr>
        <w:t>considered deductions required by law, and thus subtracted from gross earnings to</w:t>
      </w:r>
      <w:r w:rsidRPr="00807694">
        <w:rPr>
          <w:sz w:val="24"/>
          <w:szCs w:val="24"/>
        </w:rPr>
        <w:t xml:space="preserve"> determine </w:t>
      </w:r>
      <w:r w:rsidR="00935DC5" w:rsidRPr="00807694">
        <w:rPr>
          <w:sz w:val="24"/>
          <w:szCs w:val="24"/>
        </w:rPr>
        <w:t>disposable earnings. Some employees do not claim the num</w:t>
      </w:r>
      <w:r w:rsidRPr="00807694">
        <w:rPr>
          <w:sz w:val="24"/>
          <w:szCs w:val="24"/>
        </w:rPr>
        <w:t xml:space="preserve">ber of income tax exemptions to </w:t>
      </w:r>
      <w:r w:rsidR="00935DC5" w:rsidRPr="00807694">
        <w:rPr>
          <w:sz w:val="24"/>
          <w:szCs w:val="24"/>
        </w:rPr>
        <w:t>which they are entitled. In such cases WH will accept the amo</w:t>
      </w:r>
      <w:r w:rsidRPr="00807694">
        <w:rPr>
          <w:sz w:val="24"/>
          <w:szCs w:val="24"/>
        </w:rPr>
        <w:t xml:space="preserve">unt of withholding tax actually </w:t>
      </w:r>
      <w:r w:rsidR="00935DC5" w:rsidRPr="00807694">
        <w:rPr>
          <w:sz w:val="24"/>
          <w:szCs w:val="24"/>
        </w:rPr>
        <w:t>withheld, as shown on the payroll, regardless of the number of e</w:t>
      </w:r>
      <w:r w:rsidRPr="00807694">
        <w:rPr>
          <w:sz w:val="24"/>
          <w:szCs w:val="24"/>
        </w:rPr>
        <w:t xml:space="preserve">xemptions to which the </w:t>
      </w:r>
      <w:r w:rsidR="00935DC5" w:rsidRPr="00807694">
        <w:rPr>
          <w:sz w:val="24"/>
          <w:szCs w:val="24"/>
        </w:rPr>
        <w:t>employee is entitled.</w:t>
      </w:r>
    </w:p>
    <w:p w:rsidR="008D052D" w:rsidRPr="00A55756" w:rsidRDefault="008D052D" w:rsidP="00A55756">
      <w:pPr>
        <w:spacing w:after="0" w:line="240" w:lineRule="auto"/>
        <w:rPr>
          <w:sz w:val="24"/>
          <w:szCs w:val="24"/>
        </w:rPr>
      </w:pPr>
    </w:p>
    <w:p w:rsidR="00AF0F79" w:rsidRPr="00A55756" w:rsidRDefault="00AF0F79" w:rsidP="00A55756">
      <w:pPr>
        <w:spacing w:after="0" w:line="240" w:lineRule="auto"/>
        <w:rPr>
          <w:sz w:val="24"/>
          <w:szCs w:val="24"/>
        </w:rPr>
      </w:pPr>
    </w:p>
    <w:p w:rsidR="00AF0F79" w:rsidRPr="00A55756" w:rsidRDefault="00AF0F79" w:rsidP="00A55756">
      <w:pPr>
        <w:spacing w:after="0" w:line="240" w:lineRule="auto"/>
        <w:rPr>
          <w:sz w:val="24"/>
          <w:szCs w:val="24"/>
        </w:rPr>
      </w:pPr>
    </w:p>
    <w:p w:rsidR="00935DC5" w:rsidRPr="00B30B96" w:rsidRDefault="008D052D" w:rsidP="00A55756">
      <w:pPr>
        <w:spacing w:after="0" w:line="240" w:lineRule="auto"/>
        <w:rPr>
          <w:rFonts w:eastAsia="Times New Roman"/>
          <w:b/>
          <w:bCs/>
          <w:sz w:val="24"/>
          <w:szCs w:val="28"/>
        </w:rPr>
      </w:pPr>
      <w:r w:rsidRPr="00B30B96">
        <w:rPr>
          <w:rFonts w:eastAsia="Times New Roman"/>
          <w:b/>
          <w:bCs/>
          <w:sz w:val="24"/>
          <w:szCs w:val="28"/>
        </w:rPr>
        <w:t>16b0</w:t>
      </w:r>
      <w:r w:rsidR="00935DC5" w:rsidRPr="00B30B96">
        <w:rPr>
          <w:rFonts w:eastAsia="Times New Roman"/>
          <w:b/>
          <w:bCs/>
          <w:sz w:val="24"/>
          <w:szCs w:val="28"/>
        </w:rPr>
        <w:t>5</w:t>
      </w:r>
      <w:r w:rsidR="00B30B96" w:rsidRPr="00B30B96">
        <w:rPr>
          <w:rFonts w:eastAsia="Times New Roman"/>
          <w:b/>
          <w:bCs/>
          <w:sz w:val="24"/>
          <w:szCs w:val="28"/>
        </w:rPr>
        <w:t xml:space="preserve"> - </w:t>
      </w:r>
      <w:r w:rsidR="00935DC5" w:rsidRPr="00B30B96">
        <w:rPr>
          <w:rFonts w:eastAsia="Times New Roman"/>
          <w:b/>
          <w:bCs/>
          <w:sz w:val="24"/>
          <w:szCs w:val="28"/>
        </w:rPr>
        <w:t>Garnishee’s attorney fees are subject to “consumer debt” restrictions of se</w:t>
      </w:r>
      <w:r w:rsidRPr="00B30B96">
        <w:rPr>
          <w:rFonts w:eastAsia="Times New Roman"/>
          <w:b/>
          <w:bCs/>
          <w:sz w:val="24"/>
          <w:szCs w:val="28"/>
        </w:rPr>
        <w:t>c</w:t>
      </w:r>
      <w:r w:rsidR="00935DC5" w:rsidRPr="00B30B96">
        <w:rPr>
          <w:rFonts w:eastAsia="Times New Roman"/>
          <w:b/>
          <w:bCs/>
          <w:sz w:val="24"/>
          <w:szCs w:val="28"/>
        </w:rPr>
        <w:t xml:space="preserve"> 303(a).</w:t>
      </w:r>
    </w:p>
    <w:p w:rsidR="008D052D" w:rsidRPr="00A55756" w:rsidRDefault="008D052D" w:rsidP="00A55756">
      <w:pPr>
        <w:spacing w:after="0" w:line="240" w:lineRule="auto"/>
        <w:rPr>
          <w:sz w:val="24"/>
          <w:szCs w:val="24"/>
        </w:rPr>
      </w:pPr>
    </w:p>
    <w:p w:rsidR="00935DC5" w:rsidRPr="00807694" w:rsidRDefault="00935DC5" w:rsidP="00807694">
      <w:pPr>
        <w:pStyle w:val="ListParagraph"/>
        <w:spacing w:after="0" w:line="240" w:lineRule="auto"/>
        <w:rPr>
          <w:sz w:val="24"/>
          <w:szCs w:val="24"/>
        </w:rPr>
      </w:pPr>
      <w:r w:rsidRPr="00807694">
        <w:rPr>
          <w:sz w:val="24"/>
          <w:szCs w:val="24"/>
        </w:rPr>
        <w:t>The withholding of a garnishee’s (employer’s) attorney fees from a debtor’s earnings allowed</w:t>
      </w:r>
      <w:r w:rsidR="008D052D" w:rsidRPr="00807694">
        <w:rPr>
          <w:sz w:val="24"/>
          <w:szCs w:val="24"/>
        </w:rPr>
        <w:t xml:space="preserve"> </w:t>
      </w:r>
      <w:r w:rsidRPr="00807694">
        <w:rPr>
          <w:sz w:val="24"/>
          <w:szCs w:val="24"/>
        </w:rPr>
        <w:t>under state law is not considered to be required by law. T</w:t>
      </w:r>
      <w:r w:rsidR="008D052D" w:rsidRPr="00807694">
        <w:rPr>
          <w:sz w:val="24"/>
          <w:szCs w:val="24"/>
        </w:rPr>
        <w:t xml:space="preserve">hey are not deducted from gross </w:t>
      </w:r>
      <w:r w:rsidRPr="00807694">
        <w:rPr>
          <w:sz w:val="24"/>
          <w:szCs w:val="24"/>
        </w:rPr>
        <w:t>earnings, in determining the employee’s dis</w:t>
      </w:r>
      <w:r w:rsidR="008D052D" w:rsidRPr="00807694">
        <w:rPr>
          <w:sz w:val="24"/>
          <w:szCs w:val="24"/>
        </w:rPr>
        <w:t xml:space="preserve">posable earnings pursuant to sec 302(b). They are </w:t>
      </w:r>
      <w:r w:rsidRPr="00807694">
        <w:rPr>
          <w:sz w:val="24"/>
          <w:szCs w:val="24"/>
        </w:rPr>
        <w:t>su</w:t>
      </w:r>
      <w:r w:rsidR="008D052D" w:rsidRPr="00807694">
        <w:rPr>
          <w:sz w:val="24"/>
          <w:szCs w:val="24"/>
        </w:rPr>
        <w:t>bject to the restrictions of sec</w:t>
      </w:r>
      <w:r w:rsidRPr="00807694">
        <w:rPr>
          <w:sz w:val="24"/>
          <w:szCs w:val="24"/>
        </w:rPr>
        <w:t xml:space="preserve"> 303(a). Further, suc</w:t>
      </w:r>
      <w:r w:rsidR="008D052D" w:rsidRPr="00807694">
        <w:rPr>
          <w:sz w:val="24"/>
          <w:szCs w:val="24"/>
        </w:rPr>
        <w:t xml:space="preserve">h deductions may not reduce the </w:t>
      </w:r>
      <w:r w:rsidRPr="00807694">
        <w:rPr>
          <w:sz w:val="24"/>
          <w:szCs w:val="24"/>
        </w:rPr>
        <w:t xml:space="preserve">employee’s earnings below the MW or OT required by the law. (See </w:t>
      </w:r>
      <w:r w:rsidR="00B608C7" w:rsidRPr="00807694">
        <w:rPr>
          <w:sz w:val="24"/>
          <w:szCs w:val="24"/>
        </w:rPr>
        <w:t xml:space="preserve">FOH </w:t>
      </w:r>
      <w:proofErr w:type="gramStart"/>
      <w:r w:rsidR="00B608C7" w:rsidRPr="00807694">
        <w:rPr>
          <w:sz w:val="24"/>
          <w:szCs w:val="24"/>
        </w:rPr>
        <w:t>16b01</w:t>
      </w:r>
      <w:r w:rsidRPr="00807694">
        <w:rPr>
          <w:sz w:val="24"/>
          <w:szCs w:val="24"/>
        </w:rPr>
        <w:t>(</w:t>
      </w:r>
      <w:proofErr w:type="gramEnd"/>
      <w:r w:rsidRPr="00807694">
        <w:rPr>
          <w:sz w:val="24"/>
          <w:szCs w:val="24"/>
        </w:rPr>
        <w:t>b)(12).)</w:t>
      </w:r>
    </w:p>
    <w:p w:rsidR="00B608C7" w:rsidRPr="00A55756" w:rsidRDefault="00B608C7" w:rsidP="00A55756">
      <w:pPr>
        <w:spacing w:after="0" w:line="240" w:lineRule="auto"/>
        <w:rPr>
          <w:sz w:val="24"/>
          <w:szCs w:val="24"/>
        </w:rPr>
      </w:pPr>
    </w:p>
    <w:p w:rsidR="00AF0F79" w:rsidRPr="00A55756" w:rsidRDefault="00AF0F79" w:rsidP="00A55756">
      <w:pPr>
        <w:spacing w:after="0" w:line="240" w:lineRule="auto"/>
        <w:rPr>
          <w:sz w:val="24"/>
          <w:szCs w:val="24"/>
        </w:rPr>
      </w:pPr>
    </w:p>
    <w:p w:rsidR="00AF0F79" w:rsidRPr="00A55756" w:rsidRDefault="00AF0F79" w:rsidP="00A55756">
      <w:pPr>
        <w:spacing w:after="0" w:line="240" w:lineRule="auto"/>
        <w:rPr>
          <w:sz w:val="24"/>
          <w:szCs w:val="24"/>
        </w:rPr>
      </w:pPr>
    </w:p>
    <w:p w:rsidR="00935DC5" w:rsidRPr="00A55756" w:rsidRDefault="00935DC5" w:rsidP="00A55756">
      <w:pPr>
        <w:spacing w:after="0" w:line="240" w:lineRule="auto"/>
        <w:rPr>
          <w:sz w:val="24"/>
          <w:szCs w:val="24"/>
        </w:rPr>
      </w:pPr>
      <w:proofErr w:type="gramStart"/>
      <w:r w:rsidRPr="00B30B96">
        <w:rPr>
          <w:rFonts w:eastAsia="Times New Roman"/>
          <w:b/>
          <w:bCs/>
          <w:sz w:val="24"/>
          <w:szCs w:val="28"/>
        </w:rPr>
        <w:t>16b06</w:t>
      </w:r>
      <w:r w:rsidR="00B30B96" w:rsidRPr="00B30B96">
        <w:rPr>
          <w:rFonts w:eastAsia="Times New Roman"/>
          <w:b/>
          <w:bCs/>
          <w:sz w:val="24"/>
          <w:szCs w:val="28"/>
        </w:rPr>
        <w:t xml:space="preserve"> - </w:t>
      </w:r>
      <w:r w:rsidRPr="00B30B96">
        <w:rPr>
          <w:rFonts w:eastAsia="Times New Roman"/>
          <w:b/>
          <w:bCs/>
          <w:sz w:val="24"/>
          <w:szCs w:val="28"/>
        </w:rPr>
        <w:t>Creditor’s attorney fees.</w:t>
      </w:r>
      <w:proofErr w:type="gramEnd"/>
    </w:p>
    <w:p w:rsidR="00807694" w:rsidRDefault="00807694" w:rsidP="00A55756">
      <w:pPr>
        <w:spacing w:after="0" w:line="240" w:lineRule="auto"/>
        <w:rPr>
          <w:sz w:val="24"/>
          <w:szCs w:val="24"/>
        </w:rPr>
      </w:pPr>
    </w:p>
    <w:p w:rsidR="00935DC5" w:rsidRPr="00807694" w:rsidRDefault="00935DC5" w:rsidP="00807694">
      <w:pPr>
        <w:pStyle w:val="ListParagraph"/>
        <w:spacing w:after="0" w:line="240" w:lineRule="auto"/>
        <w:rPr>
          <w:sz w:val="24"/>
          <w:szCs w:val="24"/>
        </w:rPr>
      </w:pPr>
      <w:r w:rsidRPr="00807694">
        <w:rPr>
          <w:sz w:val="24"/>
          <w:szCs w:val="24"/>
        </w:rPr>
        <w:t xml:space="preserve">A creditor’s attorney fees may be collected through a wage </w:t>
      </w:r>
      <w:r w:rsidR="00B608C7" w:rsidRPr="00807694">
        <w:rPr>
          <w:sz w:val="24"/>
          <w:szCs w:val="24"/>
        </w:rPr>
        <w:t xml:space="preserve">garnishment order, when allowed </w:t>
      </w:r>
      <w:r w:rsidRPr="00807694">
        <w:rPr>
          <w:sz w:val="24"/>
          <w:szCs w:val="24"/>
        </w:rPr>
        <w:t>by state law. The attorney fees are not considered to be requir</w:t>
      </w:r>
      <w:r w:rsidR="00B608C7" w:rsidRPr="00807694">
        <w:rPr>
          <w:sz w:val="24"/>
          <w:szCs w:val="24"/>
        </w:rPr>
        <w:t xml:space="preserve">ed by law when determining </w:t>
      </w:r>
      <w:r w:rsidRPr="00807694">
        <w:rPr>
          <w:sz w:val="24"/>
          <w:szCs w:val="24"/>
        </w:rPr>
        <w:t xml:space="preserve">disposable earnings. </w:t>
      </w:r>
      <w:r w:rsidR="00B608C7" w:rsidRPr="00807694">
        <w:rPr>
          <w:sz w:val="24"/>
          <w:szCs w:val="24"/>
        </w:rPr>
        <w:t>They are subject to the CCPA sec</w:t>
      </w:r>
      <w:r w:rsidRPr="00807694">
        <w:rPr>
          <w:sz w:val="24"/>
          <w:szCs w:val="24"/>
        </w:rPr>
        <w:t xml:space="preserve"> 303(a)</w:t>
      </w:r>
      <w:r w:rsidR="00B608C7" w:rsidRPr="00807694">
        <w:rPr>
          <w:sz w:val="24"/>
          <w:szCs w:val="24"/>
        </w:rPr>
        <w:t xml:space="preserve"> limits on garnishment amounts. (See FOH </w:t>
      </w:r>
      <w:proofErr w:type="gramStart"/>
      <w:r w:rsidR="00B608C7" w:rsidRPr="00807694">
        <w:rPr>
          <w:sz w:val="24"/>
          <w:szCs w:val="24"/>
        </w:rPr>
        <w:t>16b0</w:t>
      </w:r>
      <w:r w:rsidRPr="00807694">
        <w:rPr>
          <w:sz w:val="24"/>
          <w:szCs w:val="24"/>
        </w:rPr>
        <w:t>lb(</w:t>
      </w:r>
      <w:proofErr w:type="gramEnd"/>
      <w:r w:rsidRPr="00807694">
        <w:rPr>
          <w:sz w:val="24"/>
          <w:szCs w:val="24"/>
        </w:rPr>
        <w:t>12).)</w:t>
      </w:r>
    </w:p>
    <w:p w:rsidR="00B608C7" w:rsidRPr="00A55756" w:rsidRDefault="00B608C7" w:rsidP="00A55756">
      <w:pPr>
        <w:spacing w:after="0" w:line="240" w:lineRule="auto"/>
        <w:rPr>
          <w:sz w:val="24"/>
          <w:szCs w:val="24"/>
        </w:rPr>
      </w:pPr>
    </w:p>
    <w:p w:rsidR="00AF0F79" w:rsidRPr="00A55756" w:rsidRDefault="00AF0F79" w:rsidP="00A55756">
      <w:pPr>
        <w:spacing w:after="0" w:line="240" w:lineRule="auto"/>
        <w:rPr>
          <w:sz w:val="24"/>
          <w:szCs w:val="24"/>
        </w:rPr>
      </w:pPr>
    </w:p>
    <w:p w:rsidR="00AF0F79" w:rsidRPr="00A55756" w:rsidRDefault="00AF0F79" w:rsidP="00A55756">
      <w:pPr>
        <w:spacing w:after="0" w:line="240" w:lineRule="auto"/>
        <w:rPr>
          <w:sz w:val="24"/>
          <w:szCs w:val="24"/>
        </w:rPr>
      </w:pPr>
    </w:p>
    <w:p w:rsidR="00935DC5" w:rsidRPr="00A55756" w:rsidRDefault="00935DC5" w:rsidP="00A55756">
      <w:pPr>
        <w:spacing w:after="0" w:line="240" w:lineRule="auto"/>
        <w:rPr>
          <w:sz w:val="24"/>
          <w:szCs w:val="24"/>
        </w:rPr>
      </w:pPr>
      <w:r w:rsidRPr="00B30B96">
        <w:rPr>
          <w:rFonts w:eastAsia="Times New Roman"/>
          <w:b/>
          <w:bCs/>
          <w:sz w:val="24"/>
          <w:szCs w:val="28"/>
        </w:rPr>
        <w:lastRenderedPageBreak/>
        <w:t>16b07</w:t>
      </w:r>
      <w:r w:rsidR="00B30B96" w:rsidRPr="00B30B96">
        <w:rPr>
          <w:rFonts w:eastAsia="Times New Roman"/>
          <w:b/>
          <w:bCs/>
          <w:sz w:val="24"/>
          <w:szCs w:val="28"/>
        </w:rPr>
        <w:t xml:space="preserve"> - </w:t>
      </w:r>
      <w:r w:rsidRPr="00B30B96">
        <w:rPr>
          <w:rFonts w:eastAsia="Times New Roman"/>
          <w:b/>
          <w:bCs/>
          <w:sz w:val="24"/>
          <w:szCs w:val="28"/>
        </w:rPr>
        <w:t>Attorney fees in support cases (alimony and child support).</w:t>
      </w:r>
    </w:p>
    <w:p w:rsidR="00B608C7" w:rsidRPr="00A55756" w:rsidRDefault="00B608C7" w:rsidP="00A55756">
      <w:pPr>
        <w:spacing w:after="0" w:line="240" w:lineRule="auto"/>
        <w:rPr>
          <w:sz w:val="24"/>
          <w:szCs w:val="24"/>
        </w:rPr>
      </w:pPr>
    </w:p>
    <w:p w:rsidR="00AF0F79" w:rsidRPr="00A55756" w:rsidRDefault="00935DC5" w:rsidP="00807694">
      <w:pPr>
        <w:pStyle w:val="ListParagraph"/>
        <w:spacing w:after="0" w:line="240" w:lineRule="auto"/>
        <w:rPr>
          <w:sz w:val="24"/>
          <w:szCs w:val="24"/>
        </w:rPr>
      </w:pPr>
      <w:r w:rsidRPr="00807694">
        <w:rPr>
          <w:sz w:val="24"/>
          <w:szCs w:val="24"/>
        </w:rPr>
        <w:t>The awarding of attorney fees in support cases constit</w:t>
      </w:r>
      <w:r w:rsidR="00B608C7" w:rsidRPr="00807694">
        <w:rPr>
          <w:sz w:val="24"/>
          <w:szCs w:val="24"/>
        </w:rPr>
        <w:t xml:space="preserve">utes part of the support award. </w:t>
      </w:r>
      <w:r w:rsidRPr="00807694">
        <w:rPr>
          <w:sz w:val="24"/>
          <w:szCs w:val="24"/>
        </w:rPr>
        <w:t>Therefore, if a court orders garnishment of a husband’s earnin</w:t>
      </w:r>
      <w:r w:rsidR="00B608C7" w:rsidRPr="00807694">
        <w:rPr>
          <w:sz w:val="24"/>
          <w:szCs w:val="24"/>
        </w:rPr>
        <w:t xml:space="preserve">gs to collect the attorney fees </w:t>
      </w:r>
      <w:r w:rsidRPr="00807694">
        <w:rPr>
          <w:sz w:val="24"/>
          <w:szCs w:val="24"/>
        </w:rPr>
        <w:t>incurred by a wife during a support case, the</w:t>
      </w:r>
      <w:r w:rsidR="00B608C7" w:rsidRPr="00807694">
        <w:rPr>
          <w:sz w:val="24"/>
          <w:szCs w:val="24"/>
        </w:rPr>
        <w:t xml:space="preserve"> earnings are subject to the sec 303(b</w:t>
      </w:r>
      <w:proofErr w:type="gramStart"/>
      <w:r w:rsidR="00B608C7" w:rsidRPr="00807694">
        <w:rPr>
          <w:sz w:val="24"/>
          <w:szCs w:val="24"/>
        </w:rPr>
        <w:t>)(</w:t>
      </w:r>
      <w:proofErr w:type="gramEnd"/>
      <w:r w:rsidR="00B608C7" w:rsidRPr="00807694">
        <w:rPr>
          <w:sz w:val="24"/>
          <w:szCs w:val="24"/>
        </w:rPr>
        <w:t xml:space="preserve">2) limit </w:t>
      </w:r>
      <w:r w:rsidRPr="00807694">
        <w:rPr>
          <w:sz w:val="24"/>
          <w:szCs w:val="24"/>
        </w:rPr>
        <w:t>(i.e., 50 to 65% of disposable earnings). In a case pertain</w:t>
      </w:r>
      <w:r w:rsidR="00B608C7" w:rsidRPr="00807694">
        <w:rPr>
          <w:sz w:val="24"/>
          <w:szCs w:val="24"/>
        </w:rPr>
        <w:t xml:space="preserve">ing to a wage garnishment order </w:t>
      </w:r>
      <w:r w:rsidRPr="00807694">
        <w:rPr>
          <w:sz w:val="24"/>
          <w:szCs w:val="24"/>
        </w:rPr>
        <w:t>involving a domestic relations matter, care must be given to det</w:t>
      </w:r>
      <w:r w:rsidR="00B608C7" w:rsidRPr="00807694">
        <w:rPr>
          <w:sz w:val="24"/>
          <w:szCs w:val="24"/>
        </w:rPr>
        <w:t xml:space="preserve">ermine whether the order is for </w:t>
      </w:r>
      <w:r w:rsidRPr="00807694">
        <w:rPr>
          <w:sz w:val="24"/>
          <w:szCs w:val="24"/>
        </w:rPr>
        <w:t>support (subject to the 50 - 65% limit) or property settlement (</w:t>
      </w:r>
      <w:r w:rsidR="00B608C7" w:rsidRPr="00807694">
        <w:rPr>
          <w:sz w:val="24"/>
          <w:szCs w:val="24"/>
        </w:rPr>
        <w:t xml:space="preserve">subject to the 25% limit). (See </w:t>
      </w:r>
      <w:r w:rsidRPr="00807694">
        <w:rPr>
          <w:sz w:val="24"/>
          <w:szCs w:val="24"/>
        </w:rPr>
        <w:t>FOH,</w:t>
      </w:r>
      <w:r w:rsidR="00B608C7" w:rsidRPr="00807694">
        <w:rPr>
          <w:sz w:val="24"/>
          <w:szCs w:val="24"/>
        </w:rPr>
        <w:t xml:space="preserve"> </w:t>
      </w:r>
      <w:proofErr w:type="gramStart"/>
      <w:r w:rsidR="00B608C7" w:rsidRPr="00807694">
        <w:rPr>
          <w:sz w:val="24"/>
          <w:szCs w:val="24"/>
        </w:rPr>
        <w:t>16b0</w:t>
      </w:r>
      <w:r w:rsidRPr="00807694">
        <w:rPr>
          <w:sz w:val="24"/>
          <w:szCs w:val="24"/>
        </w:rPr>
        <w:t>lb(</w:t>
      </w:r>
      <w:proofErr w:type="gramEnd"/>
      <w:r w:rsidRPr="00807694">
        <w:rPr>
          <w:sz w:val="24"/>
          <w:szCs w:val="24"/>
        </w:rPr>
        <w:t>12), and 16b13.)</w:t>
      </w:r>
    </w:p>
    <w:p w:rsidR="00AF0F79" w:rsidRPr="00A55756" w:rsidRDefault="00AF0F79" w:rsidP="00A55756">
      <w:pPr>
        <w:spacing w:after="0" w:line="240" w:lineRule="auto"/>
        <w:rPr>
          <w:sz w:val="24"/>
          <w:szCs w:val="24"/>
        </w:rPr>
      </w:pPr>
    </w:p>
    <w:p w:rsidR="00194DBB" w:rsidRPr="00B30B96" w:rsidRDefault="00194DBB" w:rsidP="00A55756">
      <w:pPr>
        <w:spacing w:after="0" w:line="240" w:lineRule="auto"/>
        <w:rPr>
          <w:rFonts w:eastAsia="Times New Roman"/>
          <w:b/>
          <w:bCs/>
          <w:sz w:val="24"/>
          <w:szCs w:val="28"/>
        </w:rPr>
      </w:pPr>
      <w:r w:rsidRPr="00B30B96">
        <w:rPr>
          <w:rFonts w:eastAsia="Times New Roman"/>
          <w:b/>
          <w:bCs/>
          <w:sz w:val="24"/>
          <w:szCs w:val="28"/>
        </w:rPr>
        <w:t>16b</w:t>
      </w:r>
      <w:r w:rsidR="007F6125" w:rsidRPr="00B30B96">
        <w:rPr>
          <w:rFonts w:eastAsia="Times New Roman"/>
          <w:b/>
          <w:bCs/>
          <w:sz w:val="24"/>
          <w:szCs w:val="28"/>
        </w:rPr>
        <w:t>08</w:t>
      </w:r>
      <w:r w:rsidR="00B30B96" w:rsidRPr="00B30B96">
        <w:rPr>
          <w:rFonts w:eastAsia="Times New Roman"/>
          <w:b/>
          <w:bCs/>
          <w:sz w:val="24"/>
          <w:szCs w:val="28"/>
        </w:rPr>
        <w:t xml:space="preserve"> - </w:t>
      </w:r>
      <w:r w:rsidRPr="00B30B96">
        <w:rPr>
          <w:rFonts w:eastAsia="Times New Roman"/>
          <w:b/>
          <w:bCs/>
          <w:sz w:val="24"/>
          <w:szCs w:val="28"/>
        </w:rPr>
        <w:t>Service charges deducted pursuant to state law.</w:t>
      </w:r>
    </w:p>
    <w:p w:rsidR="00194DBB" w:rsidRPr="00A55756" w:rsidRDefault="00194DBB" w:rsidP="00A55756">
      <w:pPr>
        <w:spacing w:after="0" w:line="240" w:lineRule="auto"/>
        <w:rPr>
          <w:sz w:val="24"/>
          <w:szCs w:val="24"/>
        </w:rPr>
      </w:pPr>
    </w:p>
    <w:p w:rsidR="00194DBB" w:rsidRPr="00807694" w:rsidRDefault="00194DBB" w:rsidP="00807694">
      <w:pPr>
        <w:pStyle w:val="ListParagraph"/>
        <w:spacing w:after="0" w:line="240" w:lineRule="auto"/>
        <w:rPr>
          <w:sz w:val="24"/>
          <w:szCs w:val="24"/>
        </w:rPr>
      </w:pPr>
      <w:r w:rsidRPr="00807694">
        <w:rPr>
          <w:sz w:val="24"/>
          <w:szCs w:val="24"/>
        </w:rPr>
        <w:t xml:space="preserve">In some cases, a state law may permit an employer to deduct a service fee each time a deduction is made. Such deductions are not considered to be required by law, for the purpose of determining the employee’s disposable earnings. Thus, they are subject to the restrictions of sec 303(a). Further, such deductions may not reduce the employee’s earnings below the MW or OT required by the FLSA or WD in the case of </w:t>
      </w:r>
      <w:r w:rsidR="00D97345" w:rsidRPr="00807694">
        <w:rPr>
          <w:sz w:val="24"/>
          <w:szCs w:val="24"/>
        </w:rPr>
        <w:t xml:space="preserve">a government contract. (See FOH </w:t>
      </w:r>
      <w:proofErr w:type="gramStart"/>
      <w:r w:rsidR="00D97345" w:rsidRPr="00807694">
        <w:rPr>
          <w:sz w:val="24"/>
          <w:szCs w:val="24"/>
        </w:rPr>
        <w:t>16b01</w:t>
      </w:r>
      <w:r w:rsidRPr="00807694">
        <w:rPr>
          <w:sz w:val="24"/>
          <w:szCs w:val="24"/>
        </w:rPr>
        <w:t>(</w:t>
      </w:r>
      <w:proofErr w:type="gramEnd"/>
      <w:r w:rsidRPr="00807694">
        <w:rPr>
          <w:sz w:val="24"/>
          <w:szCs w:val="24"/>
        </w:rPr>
        <w:t>b)(13).)</w:t>
      </w:r>
    </w:p>
    <w:p w:rsidR="00D97345" w:rsidRPr="00A55756" w:rsidRDefault="00D97345" w:rsidP="00A55756">
      <w:pPr>
        <w:spacing w:after="0" w:line="240" w:lineRule="auto"/>
        <w:rPr>
          <w:sz w:val="24"/>
          <w:szCs w:val="24"/>
        </w:rPr>
      </w:pPr>
    </w:p>
    <w:p w:rsidR="00AF0F79" w:rsidRPr="00A55756" w:rsidRDefault="00AF0F79" w:rsidP="00A55756">
      <w:pPr>
        <w:spacing w:after="0" w:line="240" w:lineRule="auto"/>
        <w:rPr>
          <w:sz w:val="24"/>
          <w:szCs w:val="24"/>
        </w:rPr>
      </w:pPr>
    </w:p>
    <w:p w:rsidR="00194DBB" w:rsidRPr="00B30B96" w:rsidRDefault="00194DBB" w:rsidP="00A55756">
      <w:pPr>
        <w:spacing w:after="0" w:line="240" w:lineRule="auto"/>
        <w:rPr>
          <w:rFonts w:eastAsia="Times New Roman"/>
          <w:b/>
          <w:bCs/>
          <w:sz w:val="24"/>
          <w:szCs w:val="28"/>
        </w:rPr>
      </w:pPr>
      <w:r w:rsidRPr="00B30B96">
        <w:rPr>
          <w:rFonts w:eastAsia="Times New Roman"/>
          <w:b/>
          <w:bCs/>
          <w:sz w:val="24"/>
          <w:szCs w:val="28"/>
        </w:rPr>
        <w:t>16b09</w:t>
      </w:r>
      <w:r w:rsidR="00B30B96" w:rsidRPr="00B30B96">
        <w:rPr>
          <w:rFonts w:eastAsia="Times New Roman"/>
          <w:b/>
          <w:bCs/>
          <w:sz w:val="24"/>
          <w:szCs w:val="28"/>
        </w:rPr>
        <w:t xml:space="preserve"> - </w:t>
      </w:r>
      <w:r w:rsidRPr="00B30B96">
        <w:rPr>
          <w:rFonts w:eastAsia="Times New Roman"/>
          <w:b/>
          <w:bCs/>
          <w:sz w:val="24"/>
          <w:szCs w:val="28"/>
        </w:rPr>
        <w:t>Excess garnishment withholdings are not wages.</w:t>
      </w:r>
    </w:p>
    <w:p w:rsidR="00D97345" w:rsidRPr="00A55756" w:rsidRDefault="00D97345" w:rsidP="00A55756">
      <w:pPr>
        <w:spacing w:after="0" w:line="240" w:lineRule="auto"/>
        <w:rPr>
          <w:sz w:val="24"/>
          <w:szCs w:val="24"/>
        </w:rPr>
      </w:pPr>
    </w:p>
    <w:p w:rsidR="00194DBB" w:rsidRPr="00807694" w:rsidRDefault="00D97345" w:rsidP="00807694">
      <w:pPr>
        <w:pStyle w:val="ListParagraph"/>
        <w:spacing w:after="0" w:line="240" w:lineRule="auto"/>
        <w:rPr>
          <w:sz w:val="24"/>
          <w:szCs w:val="24"/>
        </w:rPr>
      </w:pPr>
      <w:r w:rsidRPr="00807694">
        <w:rPr>
          <w:sz w:val="24"/>
          <w:szCs w:val="24"/>
        </w:rPr>
        <w:t>Part 531.39(b) states, “[w]</w:t>
      </w:r>
      <w:r w:rsidR="00194DBB" w:rsidRPr="00807694">
        <w:rPr>
          <w:sz w:val="24"/>
          <w:szCs w:val="24"/>
        </w:rPr>
        <w:t>hen the payment to a third person of monies withheld pursuant to a</w:t>
      </w:r>
      <w:r w:rsidRPr="00807694">
        <w:rPr>
          <w:sz w:val="24"/>
          <w:szCs w:val="24"/>
        </w:rPr>
        <w:t xml:space="preserve"> </w:t>
      </w:r>
      <w:r w:rsidR="00194DBB" w:rsidRPr="00807694">
        <w:rPr>
          <w:sz w:val="24"/>
          <w:szCs w:val="24"/>
        </w:rPr>
        <w:t>court order under which the withholding exceeds that permitted by the CCPA, the excess will</w:t>
      </w:r>
      <w:r w:rsidRPr="00807694">
        <w:rPr>
          <w:sz w:val="24"/>
          <w:szCs w:val="24"/>
        </w:rPr>
        <w:t xml:space="preserve"> </w:t>
      </w:r>
      <w:r w:rsidR="00194DBB" w:rsidRPr="00807694">
        <w:rPr>
          <w:sz w:val="24"/>
          <w:szCs w:val="24"/>
        </w:rPr>
        <w:t>not be considered equivalent to payment of wages to the employee for purpose of the Fair</w:t>
      </w:r>
      <w:r w:rsidRPr="00807694">
        <w:rPr>
          <w:sz w:val="24"/>
          <w:szCs w:val="24"/>
        </w:rPr>
        <w:t xml:space="preserve"> </w:t>
      </w:r>
      <w:r w:rsidR="00194DBB" w:rsidRPr="00807694">
        <w:rPr>
          <w:sz w:val="24"/>
          <w:szCs w:val="24"/>
        </w:rPr>
        <w:t>Labor Standards Act.” Therefore, amounts withheld by the employer from an employee’s</w:t>
      </w:r>
      <w:r w:rsidRPr="00807694">
        <w:rPr>
          <w:sz w:val="24"/>
          <w:szCs w:val="24"/>
        </w:rPr>
        <w:t xml:space="preserve"> </w:t>
      </w:r>
      <w:r w:rsidR="00194DBB" w:rsidRPr="00807694">
        <w:rPr>
          <w:sz w:val="24"/>
          <w:szCs w:val="24"/>
        </w:rPr>
        <w:t>earnings under a garnishment order in excess of</w:t>
      </w:r>
      <w:r w:rsidRPr="00807694">
        <w:rPr>
          <w:sz w:val="24"/>
          <w:szCs w:val="24"/>
        </w:rPr>
        <w:t xml:space="preserve"> the withholdings allowed by sec</w:t>
      </w:r>
      <w:r w:rsidR="00194DBB" w:rsidRPr="00807694">
        <w:rPr>
          <w:sz w:val="24"/>
          <w:szCs w:val="24"/>
        </w:rPr>
        <w:t xml:space="preserve"> 303 of the</w:t>
      </w:r>
      <w:r w:rsidRPr="00807694">
        <w:rPr>
          <w:sz w:val="24"/>
          <w:szCs w:val="24"/>
        </w:rPr>
        <w:t xml:space="preserve"> </w:t>
      </w:r>
      <w:r w:rsidR="00194DBB" w:rsidRPr="00807694">
        <w:rPr>
          <w:sz w:val="24"/>
          <w:szCs w:val="24"/>
        </w:rPr>
        <w:t>CC</w:t>
      </w:r>
      <w:r w:rsidRPr="00807694">
        <w:rPr>
          <w:sz w:val="24"/>
          <w:szCs w:val="24"/>
        </w:rPr>
        <w:t>PA are not wages pursuant to sec</w:t>
      </w:r>
      <w:r w:rsidR="00194DBB" w:rsidRPr="00807694">
        <w:rPr>
          <w:sz w:val="24"/>
          <w:szCs w:val="24"/>
        </w:rPr>
        <w:t xml:space="preserve"> 3(m) of the FLSA. Accordingly, where such excess</w:t>
      </w:r>
      <w:r w:rsidRPr="00807694">
        <w:rPr>
          <w:sz w:val="24"/>
          <w:szCs w:val="24"/>
        </w:rPr>
        <w:t xml:space="preserve"> </w:t>
      </w:r>
      <w:r w:rsidR="00194DBB" w:rsidRPr="00807694">
        <w:rPr>
          <w:sz w:val="24"/>
          <w:szCs w:val="24"/>
        </w:rPr>
        <w:t>withholdings decrease wages below the compensation due under the FLSA a violation of that</w:t>
      </w:r>
      <w:r w:rsidRPr="00807694">
        <w:rPr>
          <w:sz w:val="24"/>
          <w:szCs w:val="24"/>
        </w:rPr>
        <w:t xml:space="preserve"> </w:t>
      </w:r>
      <w:r w:rsidR="00194DBB" w:rsidRPr="00807694">
        <w:rPr>
          <w:sz w:val="24"/>
          <w:szCs w:val="24"/>
        </w:rPr>
        <w:t>Act exists. This is not altered by the fact that such excess withholdings are for the benefit of</w:t>
      </w:r>
      <w:r w:rsidRPr="00807694">
        <w:rPr>
          <w:sz w:val="24"/>
          <w:szCs w:val="24"/>
        </w:rPr>
        <w:t xml:space="preserve"> </w:t>
      </w:r>
      <w:r w:rsidR="00194DBB" w:rsidRPr="00807694">
        <w:rPr>
          <w:sz w:val="24"/>
          <w:szCs w:val="24"/>
        </w:rPr>
        <w:t>the employee, paid to a third person and the employer derives no profit or benefit from the</w:t>
      </w:r>
      <w:r w:rsidRPr="00807694">
        <w:rPr>
          <w:sz w:val="24"/>
          <w:szCs w:val="24"/>
        </w:rPr>
        <w:t xml:space="preserve"> </w:t>
      </w:r>
      <w:r w:rsidR="00194DBB" w:rsidRPr="00807694">
        <w:rPr>
          <w:sz w:val="24"/>
          <w:szCs w:val="24"/>
        </w:rPr>
        <w:t>transaction.</w:t>
      </w:r>
    </w:p>
    <w:p w:rsidR="00D97345" w:rsidRPr="00A55756" w:rsidRDefault="00D97345" w:rsidP="00A55756">
      <w:pPr>
        <w:spacing w:after="0" w:line="240" w:lineRule="auto"/>
        <w:rPr>
          <w:sz w:val="24"/>
          <w:szCs w:val="24"/>
        </w:rPr>
      </w:pPr>
    </w:p>
    <w:p w:rsidR="00AF0F79" w:rsidRPr="00A55756" w:rsidRDefault="00AF0F79" w:rsidP="00A55756">
      <w:pPr>
        <w:spacing w:after="0" w:line="240" w:lineRule="auto"/>
        <w:rPr>
          <w:sz w:val="24"/>
          <w:szCs w:val="24"/>
        </w:rPr>
      </w:pPr>
    </w:p>
    <w:p w:rsidR="00194DBB" w:rsidRPr="00A55756" w:rsidRDefault="00D97345" w:rsidP="00A55756">
      <w:pPr>
        <w:spacing w:after="0" w:line="240" w:lineRule="auto"/>
        <w:rPr>
          <w:sz w:val="24"/>
          <w:szCs w:val="24"/>
        </w:rPr>
      </w:pPr>
      <w:proofErr w:type="gramStart"/>
      <w:r w:rsidRPr="00B30B96">
        <w:rPr>
          <w:rFonts w:eastAsia="Times New Roman"/>
          <w:b/>
          <w:bCs/>
          <w:sz w:val="24"/>
          <w:szCs w:val="28"/>
        </w:rPr>
        <w:t>16bl0</w:t>
      </w:r>
      <w:r w:rsidR="00B30B96" w:rsidRPr="00B30B96">
        <w:rPr>
          <w:rFonts w:eastAsia="Times New Roman"/>
          <w:b/>
          <w:bCs/>
          <w:sz w:val="24"/>
          <w:szCs w:val="28"/>
        </w:rPr>
        <w:t xml:space="preserve"> - </w:t>
      </w:r>
      <w:r w:rsidR="00194DBB" w:rsidRPr="00B30B96">
        <w:rPr>
          <w:rFonts w:eastAsia="Times New Roman"/>
          <w:b/>
          <w:bCs/>
          <w:sz w:val="24"/>
          <w:szCs w:val="28"/>
        </w:rPr>
        <w:t>Draw against commission.</w:t>
      </w:r>
      <w:proofErr w:type="gramEnd"/>
    </w:p>
    <w:p w:rsidR="00D97345" w:rsidRPr="00A55756" w:rsidRDefault="00D97345" w:rsidP="00A55756">
      <w:pPr>
        <w:spacing w:after="0" w:line="240" w:lineRule="auto"/>
        <w:rPr>
          <w:sz w:val="24"/>
          <w:szCs w:val="24"/>
        </w:rPr>
      </w:pPr>
    </w:p>
    <w:p w:rsidR="00807694" w:rsidRDefault="00194DBB" w:rsidP="00807694">
      <w:pPr>
        <w:pStyle w:val="ListParagraph"/>
        <w:spacing w:after="0" w:line="240" w:lineRule="auto"/>
        <w:rPr>
          <w:sz w:val="24"/>
          <w:szCs w:val="24"/>
        </w:rPr>
      </w:pPr>
      <w:r w:rsidRPr="00807694">
        <w:rPr>
          <w:sz w:val="24"/>
          <w:szCs w:val="24"/>
        </w:rPr>
        <w:t xml:space="preserve">The </w:t>
      </w:r>
      <w:r w:rsidR="00D97345" w:rsidRPr="00807694">
        <w:rPr>
          <w:sz w:val="24"/>
          <w:szCs w:val="24"/>
        </w:rPr>
        <w:t xml:space="preserve">definition of “earnings” in sec </w:t>
      </w:r>
      <w:r w:rsidRPr="00807694">
        <w:rPr>
          <w:sz w:val="24"/>
          <w:szCs w:val="24"/>
        </w:rPr>
        <w:t>302(a) of the Act includes, “compensation paid or</w:t>
      </w:r>
      <w:r w:rsidR="00D97345" w:rsidRPr="00807694">
        <w:rPr>
          <w:sz w:val="24"/>
          <w:szCs w:val="24"/>
        </w:rPr>
        <w:t xml:space="preserve"> </w:t>
      </w:r>
      <w:r w:rsidR="007F6125" w:rsidRPr="00807694">
        <w:rPr>
          <w:sz w:val="24"/>
          <w:szCs w:val="24"/>
        </w:rPr>
        <w:t xml:space="preserve">payable … </w:t>
      </w:r>
      <w:r w:rsidRPr="00807694">
        <w:rPr>
          <w:sz w:val="24"/>
          <w:szCs w:val="24"/>
        </w:rPr>
        <w:t xml:space="preserve">whether denominated as </w:t>
      </w:r>
      <w:r w:rsidR="00FC5EF2" w:rsidRPr="00807694">
        <w:rPr>
          <w:sz w:val="24"/>
          <w:szCs w:val="24"/>
        </w:rPr>
        <w:t xml:space="preserve">wages, salary, </w:t>
      </w:r>
      <w:proofErr w:type="gramStart"/>
      <w:r w:rsidR="00FC5EF2" w:rsidRPr="00807694">
        <w:rPr>
          <w:sz w:val="24"/>
          <w:szCs w:val="24"/>
        </w:rPr>
        <w:t>commission, ...</w:t>
      </w:r>
      <w:r w:rsidRPr="00807694">
        <w:rPr>
          <w:sz w:val="24"/>
          <w:szCs w:val="24"/>
        </w:rPr>
        <w:t>”</w:t>
      </w:r>
      <w:proofErr w:type="gramEnd"/>
      <w:r w:rsidRPr="00807694">
        <w:rPr>
          <w:sz w:val="24"/>
          <w:szCs w:val="24"/>
        </w:rPr>
        <w:t xml:space="preserve"> WH considers a draw</w:t>
      </w:r>
      <w:r w:rsidR="00FC5EF2" w:rsidRPr="00807694">
        <w:rPr>
          <w:sz w:val="24"/>
          <w:szCs w:val="24"/>
        </w:rPr>
        <w:t xml:space="preserve"> </w:t>
      </w:r>
      <w:r w:rsidRPr="00807694">
        <w:rPr>
          <w:sz w:val="24"/>
          <w:szCs w:val="24"/>
        </w:rPr>
        <w:t>against commission to be earnings. As such, the draw is subject to the restrictions of</w:t>
      </w:r>
      <w:r w:rsidR="00FC5EF2" w:rsidRPr="00807694">
        <w:rPr>
          <w:sz w:val="24"/>
          <w:szCs w:val="24"/>
        </w:rPr>
        <w:t xml:space="preserve"> sec</w:t>
      </w:r>
      <w:r w:rsidRPr="00807694">
        <w:rPr>
          <w:sz w:val="24"/>
          <w:szCs w:val="24"/>
        </w:rPr>
        <w:t xml:space="preserve"> 303(a), in the same manner as other forms of compensation.</w:t>
      </w:r>
    </w:p>
    <w:p w:rsidR="00807694" w:rsidRDefault="00807694" w:rsidP="00807694">
      <w:pPr>
        <w:pStyle w:val="ListParagraph"/>
        <w:spacing w:after="0" w:line="240" w:lineRule="auto"/>
        <w:rPr>
          <w:sz w:val="24"/>
          <w:szCs w:val="24"/>
        </w:rPr>
      </w:pPr>
    </w:p>
    <w:p w:rsidR="00194DBB" w:rsidRPr="00A55756" w:rsidRDefault="00194DBB" w:rsidP="00807694">
      <w:pPr>
        <w:pStyle w:val="ListParagraph"/>
        <w:spacing w:after="0" w:line="240" w:lineRule="auto"/>
        <w:rPr>
          <w:sz w:val="24"/>
          <w:szCs w:val="24"/>
        </w:rPr>
      </w:pPr>
      <w:r w:rsidRPr="00A55756">
        <w:rPr>
          <w:sz w:val="24"/>
          <w:szCs w:val="24"/>
        </w:rPr>
        <w:t>For example, for a period of 8 weeks an employee receives disposable earnings in the amount</w:t>
      </w:r>
      <w:r w:rsidR="00FC5EF2" w:rsidRPr="00A55756">
        <w:rPr>
          <w:sz w:val="24"/>
          <w:szCs w:val="24"/>
        </w:rPr>
        <w:t xml:space="preserve"> </w:t>
      </w:r>
      <w:r w:rsidRPr="00A55756">
        <w:rPr>
          <w:sz w:val="24"/>
          <w:szCs w:val="24"/>
        </w:rPr>
        <w:t>of $150.00 a week, as a draw against commission. The employer may make no deduction</w:t>
      </w:r>
      <w:r w:rsidR="00FC5EF2" w:rsidRPr="00A55756">
        <w:rPr>
          <w:sz w:val="24"/>
          <w:szCs w:val="24"/>
        </w:rPr>
        <w:t xml:space="preserve"> </w:t>
      </w:r>
      <w:r w:rsidRPr="00A55756">
        <w:rPr>
          <w:sz w:val="24"/>
          <w:szCs w:val="24"/>
        </w:rPr>
        <w:t>pursuant to a consumer debt garnishment during the 8 weeks, because only disposable</w:t>
      </w:r>
      <w:r w:rsidR="00FC5EF2" w:rsidRPr="00A55756">
        <w:rPr>
          <w:sz w:val="24"/>
          <w:szCs w:val="24"/>
        </w:rPr>
        <w:t xml:space="preserve"> </w:t>
      </w:r>
      <w:r w:rsidRPr="00A55756">
        <w:rPr>
          <w:sz w:val="24"/>
          <w:szCs w:val="24"/>
        </w:rPr>
        <w:t xml:space="preserve">earnings in excess of $154.50 may </w:t>
      </w:r>
      <w:r w:rsidR="00C732AF" w:rsidRPr="00A55756">
        <w:rPr>
          <w:sz w:val="24"/>
          <w:szCs w:val="24"/>
        </w:rPr>
        <w:t>be withheld. At the end of the 8</w:t>
      </w:r>
      <w:r w:rsidRPr="00A55756">
        <w:rPr>
          <w:sz w:val="24"/>
          <w:szCs w:val="24"/>
        </w:rPr>
        <w:t>-week period, the</w:t>
      </w:r>
      <w:r w:rsidR="00FC5EF2" w:rsidRPr="00A55756">
        <w:rPr>
          <w:sz w:val="24"/>
          <w:szCs w:val="24"/>
        </w:rPr>
        <w:t xml:space="preserve"> </w:t>
      </w:r>
      <w:r w:rsidRPr="00A55756">
        <w:rPr>
          <w:sz w:val="24"/>
          <w:szCs w:val="24"/>
        </w:rPr>
        <w:t xml:space="preserve">employee receives $6,000.00 settling the remainder of commissions earned. </w:t>
      </w:r>
      <w:r w:rsidRPr="00A55756">
        <w:rPr>
          <w:sz w:val="24"/>
          <w:szCs w:val="24"/>
        </w:rPr>
        <w:lastRenderedPageBreak/>
        <w:t>After subtracting</w:t>
      </w:r>
      <w:r w:rsidR="00FC5EF2" w:rsidRPr="00A55756">
        <w:rPr>
          <w:sz w:val="24"/>
          <w:szCs w:val="24"/>
        </w:rPr>
        <w:t xml:space="preserve"> </w:t>
      </w:r>
      <w:r w:rsidRPr="00A55756">
        <w:rPr>
          <w:sz w:val="24"/>
          <w:szCs w:val="24"/>
        </w:rPr>
        <w:t>the deductions required by law from this $6,000.00, 25% is available for garnishment. The</w:t>
      </w:r>
      <w:r w:rsidR="00FC5EF2" w:rsidRPr="00A55756">
        <w:rPr>
          <w:sz w:val="24"/>
          <w:szCs w:val="24"/>
        </w:rPr>
        <w:t xml:space="preserve"> </w:t>
      </w:r>
      <w:r w:rsidRPr="00A55756">
        <w:rPr>
          <w:sz w:val="24"/>
          <w:szCs w:val="24"/>
        </w:rPr>
        <w:t>$1200.00 drawn during the first 8 weeks of this period is not inc</w:t>
      </w:r>
      <w:r w:rsidR="00FC5EF2" w:rsidRPr="00A55756">
        <w:rPr>
          <w:sz w:val="24"/>
          <w:szCs w:val="24"/>
        </w:rPr>
        <w:t xml:space="preserve">luded in the total subject to </w:t>
      </w:r>
      <w:r w:rsidRPr="00A55756">
        <w:rPr>
          <w:sz w:val="24"/>
          <w:szCs w:val="24"/>
        </w:rPr>
        <w:t>garnishment. These wages constitute the earnings subject to capture in each week of the eight</w:t>
      </w:r>
      <w:r w:rsidR="00FC5EF2" w:rsidRPr="00A55756">
        <w:rPr>
          <w:sz w:val="24"/>
          <w:szCs w:val="24"/>
        </w:rPr>
        <w:t xml:space="preserve"> </w:t>
      </w:r>
      <w:r w:rsidRPr="00A55756">
        <w:rPr>
          <w:sz w:val="24"/>
          <w:szCs w:val="24"/>
        </w:rPr>
        <w:t>week</w:t>
      </w:r>
      <w:r w:rsidR="00FC5EF2" w:rsidRPr="00A55756">
        <w:rPr>
          <w:sz w:val="24"/>
          <w:szCs w:val="24"/>
        </w:rPr>
        <w:t xml:space="preserve"> period. (See FOH 16b00</w:t>
      </w:r>
      <w:r w:rsidR="007F6125" w:rsidRPr="00A55756">
        <w:rPr>
          <w:sz w:val="24"/>
          <w:szCs w:val="24"/>
        </w:rPr>
        <w:t xml:space="preserve">.) </w:t>
      </w:r>
    </w:p>
    <w:p w:rsidR="00FC5EF2" w:rsidRPr="00A55756" w:rsidRDefault="00FC5EF2" w:rsidP="00A55756">
      <w:pPr>
        <w:spacing w:after="0" w:line="240" w:lineRule="auto"/>
        <w:rPr>
          <w:sz w:val="24"/>
          <w:szCs w:val="24"/>
        </w:rPr>
      </w:pPr>
    </w:p>
    <w:p w:rsidR="00194DBB" w:rsidRPr="00A55756" w:rsidRDefault="00FC5EF2" w:rsidP="00A55756">
      <w:pPr>
        <w:spacing w:after="0" w:line="240" w:lineRule="auto"/>
        <w:rPr>
          <w:sz w:val="24"/>
          <w:szCs w:val="24"/>
        </w:rPr>
      </w:pPr>
      <w:r w:rsidRPr="00B30B96">
        <w:rPr>
          <w:rFonts w:eastAsia="Times New Roman"/>
          <w:b/>
          <w:bCs/>
          <w:sz w:val="24"/>
          <w:szCs w:val="28"/>
        </w:rPr>
        <w:t>16b11</w:t>
      </w:r>
      <w:r w:rsidR="00B30B96" w:rsidRPr="00B30B96">
        <w:rPr>
          <w:rFonts w:eastAsia="Times New Roman"/>
          <w:b/>
          <w:bCs/>
          <w:sz w:val="24"/>
          <w:szCs w:val="28"/>
        </w:rPr>
        <w:t xml:space="preserve"> - </w:t>
      </w:r>
      <w:r w:rsidRPr="00B30B96">
        <w:rPr>
          <w:rFonts w:eastAsia="Times New Roman"/>
          <w:b/>
          <w:bCs/>
          <w:sz w:val="24"/>
          <w:szCs w:val="28"/>
        </w:rPr>
        <w:t>Sec</w:t>
      </w:r>
      <w:r w:rsidR="00194DBB" w:rsidRPr="00B30B96">
        <w:rPr>
          <w:rFonts w:eastAsia="Times New Roman"/>
          <w:b/>
          <w:bCs/>
          <w:sz w:val="24"/>
          <w:szCs w:val="28"/>
        </w:rPr>
        <w:t xml:space="preserve"> 303 restrictions are separately applicable to each employment situation.</w:t>
      </w:r>
    </w:p>
    <w:p w:rsidR="00FC5EF2" w:rsidRPr="00A55756" w:rsidRDefault="00FC5EF2" w:rsidP="00A55756">
      <w:pPr>
        <w:spacing w:after="0" w:line="240" w:lineRule="auto"/>
        <w:rPr>
          <w:sz w:val="24"/>
          <w:szCs w:val="24"/>
        </w:rPr>
      </w:pPr>
    </w:p>
    <w:p w:rsidR="00961773" w:rsidRPr="00A55756" w:rsidRDefault="00FC5EF2" w:rsidP="00807694">
      <w:pPr>
        <w:pStyle w:val="ListParagraph"/>
        <w:spacing w:after="0" w:line="240" w:lineRule="auto"/>
        <w:rPr>
          <w:sz w:val="24"/>
          <w:szCs w:val="24"/>
        </w:rPr>
      </w:pPr>
      <w:r w:rsidRPr="00807694">
        <w:rPr>
          <w:sz w:val="24"/>
          <w:szCs w:val="24"/>
        </w:rPr>
        <w:t>The restrictions of sec</w:t>
      </w:r>
      <w:r w:rsidR="00194DBB" w:rsidRPr="00807694">
        <w:rPr>
          <w:sz w:val="24"/>
          <w:szCs w:val="24"/>
        </w:rPr>
        <w:t xml:space="preserve"> 303 are separately applicable to each employer (garnishee), where an</w:t>
      </w:r>
      <w:r w:rsidRPr="00807694">
        <w:rPr>
          <w:sz w:val="24"/>
          <w:szCs w:val="24"/>
        </w:rPr>
        <w:t xml:space="preserve"> </w:t>
      </w:r>
      <w:r w:rsidR="00194DBB" w:rsidRPr="00807694">
        <w:rPr>
          <w:sz w:val="24"/>
          <w:szCs w:val="24"/>
        </w:rPr>
        <w:t>employee (debtor) works for more than one employer in the same pay period. Each</w:t>
      </w:r>
      <w:r w:rsidRPr="00807694">
        <w:rPr>
          <w:sz w:val="24"/>
          <w:szCs w:val="24"/>
        </w:rPr>
        <w:t xml:space="preserve"> </w:t>
      </w:r>
      <w:r w:rsidR="00194DBB" w:rsidRPr="00807694">
        <w:rPr>
          <w:sz w:val="24"/>
          <w:szCs w:val="24"/>
        </w:rPr>
        <w:t>employment must be separate and distinct (that is, the employers must be completely</w:t>
      </w:r>
      <w:r w:rsidRPr="00807694">
        <w:rPr>
          <w:sz w:val="24"/>
          <w:szCs w:val="24"/>
        </w:rPr>
        <w:t xml:space="preserve"> </w:t>
      </w:r>
      <w:r w:rsidR="00194DBB" w:rsidRPr="00807694">
        <w:rPr>
          <w:sz w:val="24"/>
          <w:szCs w:val="24"/>
        </w:rPr>
        <w:t>disassociated and act independently of each other), in order for the garnishments to be treated</w:t>
      </w:r>
      <w:r w:rsidRPr="00807694">
        <w:rPr>
          <w:sz w:val="24"/>
          <w:szCs w:val="24"/>
        </w:rPr>
        <w:t xml:space="preserve"> </w:t>
      </w:r>
      <w:r w:rsidR="00194DBB" w:rsidRPr="00807694">
        <w:rPr>
          <w:sz w:val="24"/>
          <w:szCs w:val="24"/>
        </w:rPr>
        <w:t xml:space="preserve">separately. </w:t>
      </w:r>
      <w:proofErr w:type="gramStart"/>
      <w:r w:rsidR="00194DBB" w:rsidRPr="00807694">
        <w:rPr>
          <w:sz w:val="24"/>
          <w:szCs w:val="24"/>
        </w:rPr>
        <w:t>An employee whose pay period is a week, and who works for two</w:t>
      </w:r>
      <w:r w:rsidR="007F6125" w:rsidRPr="00807694">
        <w:rPr>
          <w:sz w:val="24"/>
          <w:szCs w:val="24"/>
        </w:rPr>
        <w:t xml:space="preserve"> </w:t>
      </w:r>
      <w:r w:rsidR="00961773" w:rsidRPr="00A55756">
        <w:rPr>
          <w:sz w:val="24"/>
          <w:szCs w:val="24"/>
        </w:rPr>
        <w:t>different employers in the week receiving $140.00 in disp</w:t>
      </w:r>
      <w:r w:rsidR="00DF7D06" w:rsidRPr="00A55756">
        <w:rPr>
          <w:sz w:val="24"/>
          <w:szCs w:val="24"/>
        </w:rPr>
        <w:t xml:space="preserve">osable earnings from each is an </w:t>
      </w:r>
      <w:r w:rsidR="00961773" w:rsidRPr="00A55756">
        <w:rPr>
          <w:sz w:val="24"/>
          <w:szCs w:val="24"/>
        </w:rPr>
        <w:t>example of such an employee.</w:t>
      </w:r>
      <w:proofErr w:type="gramEnd"/>
      <w:r w:rsidR="00961773" w:rsidRPr="00A55756">
        <w:rPr>
          <w:sz w:val="24"/>
          <w:szCs w:val="24"/>
        </w:rPr>
        <w:t xml:space="preserve"> The employee’s wages are n</w:t>
      </w:r>
      <w:r w:rsidR="00DF7D06" w:rsidRPr="00A55756">
        <w:rPr>
          <w:sz w:val="24"/>
          <w:szCs w:val="24"/>
        </w:rPr>
        <w:t xml:space="preserve">ot subject to garnishment for a </w:t>
      </w:r>
      <w:r w:rsidR="00961773" w:rsidRPr="00A55756">
        <w:rPr>
          <w:sz w:val="24"/>
          <w:szCs w:val="24"/>
        </w:rPr>
        <w:t>consumer debt even though the total earnings for the week are $</w:t>
      </w:r>
      <w:proofErr w:type="gramStart"/>
      <w:r w:rsidR="00961773" w:rsidRPr="00A55756">
        <w:rPr>
          <w:sz w:val="24"/>
          <w:szCs w:val="24"/>
        </w:rPr>
        <w:t>280.00,</w:t>
      </w:r>
      <w:proofErr w:type="gramEnd"/>
      <w:r w:rsidR="00961773" w:rsidRPr="00A55756">
        <w:rPr>
          <w:sz w:val="24"/>
          <w:szCs w:val="24"/>
        </w:rPr>
        <w:t xml:space="preserve"> because the</w:t>
      </w:r>
      <w:r w:rsidR="00DF7D06" w:rsidRPr="00A55756">
        <w:rPr>
          <w:sz w:val="24"/>
          <w:szCs w:val="24"/>
        </w:rPr>
        <w:t xml:space="preserve"> </w:t>
      </w:r>
      <w:r w:rsidR="00961773" w:rsidRPr="00A55756">
        <w:rPr>
          <w:sz w:val="24"/>
          <w:szCs w:val="24"/>
        </w:rPr>
        <w:t>employee’s disposable earnings from each employer are less than $154.50. (See FOH</w:t>
      </w:r>
      <w:r w:rsidR="00DF7D06" w:rsidRPr="00A55756">
        <w:rPr>
          <w:sz w:val="24"/>
          <w:szCs w:val="24"/>
        </w:rPr>
        <w:t xml:space="preserve"> </w:t>
      </w:r>
      <w:proofErr w:type="gramStart"/>
      <w:r w:rsidR="00DF7D06" w:rsidRPr="00A55756">
        <w:rPr>
          <w:sz w:val="24"/>
          <w:szCs w:val="24"/>
        </w:rPr>
        <w:t>16b00</w:t>
      </w:r>
      <w:r w:rsidR="00961773" w:rsidRPr="00A55756">
        <w:rPr>
          <w:sz w:val="24"/>
          <w:szCs w:val="24"/>
        </w:rPr>
        <w:t>(</w:t>
      </w:r>
      <w:proofErr w:type="gramEnd"/>
      <w:r w:rsidR="00961773" w:rsidRPr="00A55756">
        <w:rPr>
          <w:sz w:val="24"/>
          <w:szCs w:val="24"/>
        </w:rPr>
        <w:t>a).)</w:t>
      </w:r>
    </w:p>
    <w:p w:rsidR="00AF0F79" w:rsidRPr="00A55756" w:rsidRDefault="00AF0F79" w:rsidP="00A55756">
      <w:pPr>
        <w:spacing w:after="0" w:line="240" w:lineRule="auto"/>
        <w:rPr>
          <w:sz w:val="24"/>
          <w:szCs w:val="24"/>
        </w:rPr>
      </w:pPr>
    </w:p>
    <w:p w:rsidR="00961773" w:rsidRPr="00B30B96" w:rsidRDefault="00961773" w:rsidP="00A55756">
      <w:pPr>
        <w:spacing w:after="0" w:line="240" w:lineRule="auto"/>
        <w:rPr>
          <w:rFonts w:eastAsia="Times New Roman"/>
          <w:b/>
          <w:bCs/>
          <w:sz w:val="24"/>
          <w:szCs w:val="28"/>
        </w:rPr>
      </w:pPr>
      <w:r w:rsidRPr="00B30B96">
        <w:rPr>
          <w:rFonts w:eastAsia="Times New Roman"/>
          <w:b/>
          <w:bCs/>
          <w:sz w:val="24"/>
          <w:szCs w:val="28"/>
        </w:rPr>
        <w:t>16b12</w:t>
      </w:r>
      <w:r w:rsidR="00B30B96" w:rsidRPr="00B30B96">
        <w:rPr>
          <w:rFonts w:eastAsia="Times New Roman"/>
          <w:b/>
          <w:bCs/>
          <w:sz w:val="24"/>
          <w:szCs w:val="28"/>
        </w:rPr>
        <w:t xml:space="preserve"> - </w:t>
      </w:r>
      <w:r w:rsidRPr="00B30B96">
        <w:rPr>
          <w:rFonts w:eastAsia="Times New Roman"/>
          <w:b/>
          <w:bCs/>
          <w:sz w:val="24"/>
          <w:szCs w:val="28"/>
        </w:rPr>
        <w:t>Effect of “</w:t>
      </w:r>
      <w:proofErr w:type="gramStart"/>
      <w:r w:rsidRPr="00B30B96">
        <w:rPr>
          <w:rFonts w:eastAsia="Times New Roman"/>
          <w:b/>
          <w:bCs/>
          <w:sz w:val="24"/>
          <w:szCs w:val="28"/>
        </w:rPr>
        <w:t>excepted</w:t>
      </w:r>
      <w:proofErr w:type="gramEnd"/>
      <w:r w:rsidRPr="00B30B96">
        <w:rPr>
          <w:rFonts w:eastAsia="Times New Roman"/>
          <w:b/>
          <w:bCs/>
          <w:sz w:val="24"/>
          <w:szCs w:val="28"/>
        </w:rPr>
        <w:t>” (se</w:t>
      </w:r>
      <w:r w:rsidR="00DF7D06" w:rsidRPr="00B30B96">
        <w:rPr>
          <w:rFonts w:eastAsia="Times New Roman"/>
          <w:b/>
          <w:bCs/>
          <w:sz w:val="24"/>
          <w:szCs w:val="28"/>
        </w:rPr>
        <w:t>c</w:t>
      </w:r>
      <w:r w:rsidRPr="00B30B96">
        <w:rPr>
          <w:rFonts w:eastAsia="Times New Roman"/>
          <w:b/>
          <w:bCs/>
          <w:sz w:val="24"/>
          <w:szCs w:val="28"/>
        </w:rPr>
        <w:t xml:space="preserve"> 303(b)) garnishments.</w:t>
      </w:r>
    </w:p>
    <w:p w:rsidR="003529F5" w:rsidRPr="00A55756" w:rsidRDefault="003529F5" w:rsidP="00A55756">
      <w:pPr>
        <w:spacing w:after="0" w:line="240" w:lineRule="auto"/>
        <w:rPr>
          <w:sz w:val="24"/>
          <w:szCs w:val="24"/>
        </w:rPr>
      </w:pPr>
    </w:p>
    <w:p w:rsidR="00961773" w:rsidRPr="00807694" w:rsidRDefault="00961773" w:rsidP="00807694">
      <w:pPr>
        <w:pStyle w:val="ListParagraph"/>
        <w:spacing w:after="0" w:line="240" w:lineRule="auto"/>
        <w:rPr>
          <w:sz w:val="24"/>
          <w:szCs w:val="24"/>
        </w:rPr>
      </w:pPr>
      <w:r w:rsidRPr="00807694">
        <w:rPr>
          <w:sz w:val="24"/>
          <w:szCs w:val="24"/>
        </w:rPr>
        <w:t>Garnishments for consumer debts may not excee</w:t>
      </w:r>
      <w:r w:rsidR="003529F5" w:rsidRPr="00807694">
        <w:rPr>
          <w:sz w:val="24"/>
          <w:szCs w:val="24"/>
        </w:rPr>
        <w:t>d the amount permitted under sec</w:t>
      </w:r>
      <w:r w:rsidRPr="00807694">
        <w:rPr>
          <w:sz w:val="24"/>
          <w:szCs w:val="24"/>
        </w:rPr>
        <w:t xml:space="preserve"> 303(a).</w:t>
      </w:r>
      <w:r w:rsidR="003529F5" w:rsidRPr="00807694">
        <w:rPr>
          <w:sz w:val="24"/>
          <w:szCs w:val="24"/>
        </w:rPr>
        <w:t xml:space="preserve"> (See FOH </w:t>
      </w:r>
      <w:proofErr w:type="gramStart"/>
      <w:r w:rsidR="003529F5" w:rsidRPr="00807694">
        <w:rPr>
          <w:sz w:val="24"/>
          <w:szCs w:val="24"/>
        </w:rPr>
        <w:t>16b00</w:t>
      </w:r>
      <w:r w:rsidRPr="00807694">
        <w:rPr>
          <w:sz w:val="24"/>
          <w:szCs w:val="24"/>
        </w:rPr>
        <w:t>(</w:t>
      </w:r>
      <w:proofErr w:type="gramEnd"/>
      <w:r w:rsidRPr="00807694">
        <w:rPr>
          <w:sz w:val="24"/>
          <w:szCs w:val="24"/>
        </w:rPr>
        <w:t>a).) Support garnishments are limited t</w:t>
      </w:r>
      <w:r w:rsidR="003529F5" w:rsidRPr="00807694">
        <w:rPr>
          <w:sz w:val="24"/>
          <w:szCs w:val="24"/>
        </w:rPr>
        <w:t xml:space="preserve">o the amount permitted under sec </w:t>
      </w:r>
      <w:r w:rsidRPr="00807694">
        <w:rPr>
          <w:sz w:val="24"/>
          <w:szCs w:val="24"/>
        </w:rPr>
        <w:t>303(b</w:t>
      </w:r>
      <w:proofErr w:type="gramStart"/>
      <w:r w:rsidRPr="00807694">
        <w:rPr>
          <w:sz w:val="24"/>
          <w:szCs w:val="24"/>
        </w:rPr>
        <w:t>)(</w:t>
      </w:r>
      <w:proofErr w:type="gramEnd"/>
      <w:r w:rsidRPr="00807694">
        <w:rPr>
          <w:sz w:val="24"/>
          <w:szCs w:val="24"/>
        </w:rPr>
        <w:t xml:space="preserve">2). (See </w:t>
      </w:r>
      <w:proofErr w:type="gramStart"/>
      <w:r w:rsidRPr="00807694">
        <w:rPr>
          <w:sz w:val="24"/>
          <w:szCs w:val="24"/>
        </w:rPr>
        <w:t>FOH</w:t>
      </w:r>
      <w:r w:rsidR="003529F5" w:rsidRPr="00807694">
        <w:rPr>
          <w:sz w:val="24"/>
          <w:szCs w:val="24"/>
        </w:rPr>
        <w:t xml:space="preserve">  16b00</w:t>
      </w:r>
      <w:proofErr w:type="gramEnd"/>
      <w:r w:rsidRPr="00807694">
        <w:rPr>
          <w:sz w:val="24"/>
          <w:szCs w:val="24"/>
        </w:rPr>
        <w:t xml:space="preserve">(b).) </w:t>
      </w:r>
      <w:r w:rsidR="003529F5" w:rsidRPr="00807694">
        <w:rPr>
          <w:sz w:val="24"/>
          <w:szCs w:val="24"/>
        </w:rPr>
        <w:t>Once</w:t>
      </w:r>
      <w:r w:rsidRPr="00807694">
        <w:rPr>
          <w:sz w:val="24"/>
          <w:szCs w:val="24"/>
        </w:rPr>
        <w:t xml:space="preserve"> the applicable limit is reached, no other garnishment</w:t>
      </w:r>
      <w:r w:rsidR="003529F5" w:rsidRPr="00807694">
        <w:rPr>
          <w:sz w:val="24"/>
          <w:szCs w:val="24"/>
        </w:rPr>
        <w:t xml:space="preserve"> </w:t>
      </w:r>
      <w:r w:rsidRPr="00807694">
        <w:rPr>
          <w:sz w:val="24"/>
          <w:szCs w:val="24"/>
        </w:rPr>
        <w:t>may be made</w:t>
      </w:r>
      <w:r w:rsidR="003529F5" w:rsidRPr="00807694">
        <w:rPr>
          <w:sz w:val="24"/>
          <w:szCs w:val="24"/>
        </w:rPr>
        <w:t>, u</w:t>
      </w:r>
      <w:r w:rsidRPr="00807694">
        <w:rPr>
          <w:sz w:val="24"/>
          <w:szCs w:val="24"/>
        </w:rPr>
        <w:t xml:space="preserve">nless it is further </w:t>
      </w:r>
      <w:proofErr w:type="gramStart"/>
      <w:r w:rsidRPr="00807694">
        <w:rPr>
          <w:sz w:val="24"/>
          <w:szCs w:val="24"/>
        </w:rPr>
        <w:t>excepted</w:t>
      </w:r>
      <w:proofErr w:type="gramEnd"/>
      <w:r w:rsidRPr="00807694">
        <w:rPr>
          <w:sz w:val="24"/>
          <w:szCs w:val="24"/>
        </w:rPr>
        <w:t xml:space="preserve"> (for example, bankruptcy or state taxes). The</w:t>
      </w:r>
      <w:r w:rsidR="003529F5" w:rsidRPr="00807694">
        <w:rPr>
          <w:sz w:val="24"/>
          <w:szCs w:val="24"/>
        </w:rPr>
        <w:t xml:space="preserve"> </w:t>
      </w:r>
      <w:r w:rsidRPr="00807694">
        <w:rPr>
          <w:sz w:val="24"/>
          <w:szCs w:val="24"/>
        </w:rPr>
        <w:t>following example demonstrates the principle. Pursuant to a garnishment order for support,</w:t>
      </w:r>
      <w:r w:rsidR="003529F5" w:rsidRPr="00807694">
        <w:rPr>
          <w:sz w:val="24"/>
          <w:szCs w:val="24"/>
        </w:rPr>
        <w:t xml:space="preserve"> </w:t>
      </w:r>
      <w:r w:rsidRPr="00807694">
        <w:rPr>
          <w:sz w:val="24"/>
          <w:szCs w:val="24"/>
        </w:rPr>
        <w:t>an employer withholds $90.00 a week from the wages of an employee who has disposable</w:t>
      </w:r>
      <w:r w:rsidR="003529F5" w:rsidRPr="00807694">
        <w:rPr>
          <w:sz w:val="24"/>
          <w:szCs w:val="24"/>
        </w:rPr>
        <w:t xml:space="preserve"> </w:t>
      </w:r>
      <w:r w:rsidRPr="00807694">
        <w:rPr>
          <w:sz w:val="24"/>
          <w:szCs w:val="24"/>
        </w:rPr>
        <w:t>earnings of $240.00 a week. A garnishment order for the collection of a retail credit debt is</w:t>
      </w:r>
      <w:r w:rsidR="003529F5" w:rsidRPr="00807694">
        <w:rPr>
          <w:sz w:val="24"/>
          <w:szCs w:val="24"/>
        </w:rPr>
        <w:t xml:space="preserve"> also served. The sec</w:t>
      </w:r>
      <w:r w:rsidRPr="00807694">
        <w:rPr>
          <w:sz w:val="24"/>
          <w:szCs w:val="24"/>
        </w:rPr>
        <w:t xml:space="preserve"> 303(a</w:t>
      </w:r>
      <w:proofErr w:type="gramStart"/>
      <w:r w:rsidRPr="00807694">
        <w:rPr>
          <w:sz w:val="24"/>
          <w:szCs w:val="24"/>
        </w:rPr>
        <w:t>)(</w:t>
      </w:r>
      <w:proofErr w:type="gramEnd"/>
      <w:r w:rsidRPr="00807694">
        <w:rPr>
          <w:sz w:val="24"/>
          <w:szCs w:val="24"/>
        </w:rPr>
        <w:t>l) limit for consumer debt garnishments of 25% applies to the</w:t>
      </w:r>
      <w:r w:rsidR="003529F5" w:rsidRPr="00807694">
        <w:rPr>
          <w:sz w:val="24"/>
          <w:szCs w:val="24"/>
        </w:rPr>
        <w:t xml:space="preserve"> </w:t>
      </w:r>
      <w:r w:rsidRPr="00807694">
        <w:rPr>
          <w:sz w:val="24"/>
          <w:szCs w:val="24"/>
        </w:rPr>
        <w:t>retail debt. Under the formula for consumer debts, a maximum of $60.00 (25% of $240.00)</w:t>
      </w:r>
      <w:r w:rsidR="003529F5" w:rsidRPr="00807694">
        <w:rPr>
          <w:sz w:val="24"/>
          <w:szCs w:val="24"/>
        </w:rPr>
        <w:t xml:space="preserve"> </w:t>
      </w:r>
      <w:r w:rsidRPr="00807694">
        <w:rPr>
          <w:sz w:val="24"/>
          <w:szCs w:val="24"/>
        </w:rPr>
        <w:t xml:space="preserve">is </w:t>
      </w:r>
      <w:proofErr w:type="spellStart"/>
      <w:r w:rsidRPr="00807694">
        <w:rPr>
          <w:sz w:val="24"/>
          <w:szCs w:val="24"/>
        </w:rPr>
        <w:t>garnishable</w:t>
      </w:r>
      <w:proofErr w:type="spellEnd"/>
      <w:r w:rsidRPr="00807694">
        <w:rPr>
          <w:sz w:val="24"/>
          <w:szCs w:val="24"/>
        </w:rPr>
        <w:t>. The $90.00 support payments may be withheld, because the restrictions of</w:t>
      </w:r>
      <w:r w:rsidR="003529F5" w:rsidRPr="00807694">
        <w:rPr>
          <w:sz w:val="24"/>
          <w:szCs w:val="24"/>
        </w:rPr>
        <w:t xml:space="preserve"> sec</w:t>
      </w:r>
      <w:r w:rsidRPr="00807694">
        <w:rPr>
          <w:sz w:val="24"/>
          <w:szCs w:val="24"/>
        </w:rPr>
        <w:t xml:space="preserve"> 303(a) do not apply to court orders for support. No consumer debt garnishment may be</w:t>
      </w:r>
      <w:r w:rsidR="003529F5" w:rsidRPr="00807694">
        <w:rPr>
          <w:sz w:val="24"/>
          <w:szCs w:val="24"/>
        </w:rPr>
        <w:t xml:space="preserve"> </w:t>
      </w:r>
      <w:r w:rsidRPr="00807694">
        <w:rPr>
          <w:sz w:val="24"/>
          <w:szCs w:val="24"/>
        </w:rPr>
        <w:t>made, because the amount already garnished is more than the amount that may be withheld</w:t>
      </w:r>
      <w:r w:rsidR="003529F5" w:rsidRPr="00807694">
        <w:rPr>
          <w:sz w:val="24"/>
          <w:szCs w:val="24"/>
        </w:rPr>
        <w:t xml:space="preserve"> under sec</w:t>
      </w:r>
      <w:r w:rsidRPr="00807694">
        <w:rPr>
          <w:sz w:val="24"/>
          <w:szCs w:val="24"/>
        </w:rPr>
        <w:t xml:space="preserve"> 303(a</w:t>
      </w:r>
      <w:proofErr w:type="gramStart"/>
      <w:r w:rsidRPr="00807694">
        <w:rPr>
          <w:sz w:val="24"/>
          <w:szCs w:val="24"/>
        </w:rPr>
        <w:t>)(</w:t>
      </w:r>
      <w:proofErr w:type="gramEnd"/>
      <w:r w:rsidRPr="00807694">
        <w:rPr>
          <w:sz w:val="24"/>
          <w:szCs w:val="24"/>
        </w:rPr>
        <w:t>l). Additional withholdings could be made for those purposes listed in</w:t>
      </w:r>
      <w:r w:rsidR="003529F5" w:rsidRPr="00807694">
        <w:rPr>
          <w:sz w:val="24"/>
          <w:szCs w:val="24"/>
        </w:rPr>
        <w:t xml:space="preserve"> sec </w:t>
      </w:r>
      <w:r w:rsidRPr="00807694">
        <w:rPr>
          <w:sz w:val="24"/>
          <w:szCs w:val="24"/>
        </w:rPr>
        <w:t>303(b).</w:t>
      </w:r>
    </w:p>
    <w:p w:rsidR="003529F5" w:rsidRPr="00A55756" w:rsidRDefault="003529F5" w:rsidP="00A55756">
      <w:pPr>
        <w:spacing w:after="0" w:line="240" w:lineRule="auto"/>
        <w:rPr>
          <w:sz w:val="24"/>
          <w:szCs w:val="24"/>
        </w:rPr>
      </w:pPr>
    </w:p>
    <w:p w:rsidR="00961773" w:rsidRPr="00B30B96" w:rsidRDefault="00961773" w:rsidP="00A55756">
      <w:pPr>
        <w:spacing w:after="0" w:line="240" w:lineRule="auto"/>
        <w:rPr>
          <w:rFonts w:eastAsia="Times New Roman"/>
          <w:b/>
          <w:bCs/>
          <w:sz w:val="24"/>
          <w:szCs w:val="28"/>
        </w:rPr>
      </w:pPr>
      <w:r w:rsidRPr="00B30B96">
        <w:rPr>
          <w:rFonts w:eastAsia="Times New Roman"/>
          <w:b/>
          <w:bCs/>
          <w:sz w:val="24"/>
          <w:szCs w:val="28"/>
        </w:rPr>
        <w:t>16b13</w:t>
      </w:r>
      <w:r w:rsidR="00B30B96" w:rsidRPr="00B30B96">
        <w:rPr>
          <w:rFonts w:eastAsia="Times New Roman"/>
          <w:b/>
          <w:bCs/>
          <w:sz w:val="24"/>
          <w:szCs w:val="28"/>
        </w:rPr>
        <w:t xml:space="preserve"> - </w:t>
      </w:r>
      <w:r w:rsidRPr="00B30B96">
        <w:rPr>
          <w:rFonts w:eastAsia="Times New Roman"/>
          <w:b/>
          <w:bCs/>
          <w:sz w:val="24"/>
          <w:szCs w:val="28"/>
        </w:rPr>
        <w:t>Court orders involving family support and property settlement agreements.</w:t>
      </w:r>
    </w:p>
    <w:p w:rsidR="00DB4669" w:rsidRPr="00A55756" w:rsidRDefault="00DB4669" w:rsidP="00A55756">
      <w:pPr>
        <w:spacing w:after="0" w:line="240" w:lineRule="auto"/>
        <w:rPr>
          <w:sz w:val="24"/>
          <w:szCs w:val="24"/>
        </w:rPr>
      </w:pPr>
    </w:p>
    <w:p w:rsidR="00961773" w:rsidRPr="00807694" w:rsidRDefault="00DB4669" w:rsidP="00807694">
      <w:pPr>
        <w:pStyle w:val="ListParagraph"/>
        <w:spacing w:after="0" w:line="240" w:lineRule="auto"/>
        <w:rPr>
          <w:sz w:val="24"/>
          <w:szCs w:val="24"/>
        </w:rPr>
      </w:pPr>
      <w:r w:rsidRPr="00807694">
        <w:rPr>
          <w:sz w:val="24"/>
          <w:szCs w:val="24"/>
        </w:rPr>
        <w:t>The provisions of sec</w:t>
      </w:r>
      <w:r w:rsidR="00961773" w:rsidRPr="00807694">
        <w:rPr>
          <w:sz w:val="24"/>
          <w:szCs w:val="24"/>
        </w:rPr>
        <w:t xml:space="preserve"> 303(b</w:t>
      </w:r>
      <w:proofErr w:type="gramStart"/>
      <w:r w:rsidR="00961773" w:rsidRPr="00807694">
        <w:rPr>
          <w:sz w:val="24"/>
          <w:szCs w:val="24"/>
        </w:rPr>
        <w:t>)(</w:t>
      </w:r>
      <w:proofErr w:type="gramEnd"/>
      <w:r w:rsidR="00961773" w:rsidRPr="00807694">
        <w:rPr>
          <w:sz w:val="24"/>
          <w:szCs w:val="24"/>
        </w:rPr>
        <w:t>2) only apply to orders for alimony, support or maintenance. A</w:t>
      </w:r>
      <w:r w:rsidRPr="00807694">
        <w:rPr>
          <w:sz w:val="24"/>
          <w:szCs w:val="24"/>
        </w:rPr>
        <w:t xml:space="preserve"> </w:t>
      </w:r>
      <w:r w:rsidR="00961773" w:rsidRPr="00807694">
        <w:rPr>
          <w:sz w:val="24"/>
          <w:szCs w:val="24"/>
        </w:rPr>
        <w:t>court order for specific performance of an agreement that is truly or substantially a property</w:t>
      </w:r>
      <w:r w:rsidRPr="00807694">
        <w:rPr>
          <w:sz w:val="24"/>
          <w:szCs w:val="24"/>
        </w:rPr>
        <w:t xml:space="preserve"> </w:t>
      </w:r>
      <w:r w:rsidR="00961773" w:rsidRPr="00807694">
        <w:rPr>
          <w:sz w:val="24"/>
          <w:szCs w:val="24"/>
        </w:rPr>
        <w:t>settlement agreement is not considered, “for the support of any person,” within the meaning of</w:t>
      </w:r>
      <w:r w:rsidRPr="00807694">
        <w:rPr>
          <w:sz w:val="24"/>
          <w:szCs w:val="24"/>
        </w:rPr>
        <w:t xml:space="preserve"> sec</w:t>
      </w:r>
      <w:r w:rsidR="00961773" w:rsidRPr="00807694">
        <w:rPr>
          <w:sz w:val="24"/>
          <w:szCs w:val="24"/>
        </w:rPr>
        <w:t xml:space="preserve"> 303(b</w:t>
      </w:r>
      <w:proofErr w:type="gramStart"/>
      <w:r w:rsidR="00961773" w:rsidRPr="00807694">
        <w:rPr>
          <w:sz w:val="24"/>
          <w:szCs w:val="24"/>
        </w:rPr>
        <w:t>)(</w:t>
      </w:r>
      <w:proofErr w:type="gramEnd"/>
      <w:r w:rsidR="00961773" w:rsidRPr="00807694">
        <w:rPr>
          <w:sz w:val="24"/>
          <w:szCs w:val="24"/>
        </w:rPr>
        <w:t>l). A garnishment resulting from such an order is, therefore, subject to the</w:t>
      </w:r>
      <w:r w:rsidRPr="00807694">
        <w:rPr>
          <w:sz w:val="24"/>
          <w:szCs w:val="24"/>
        </w:rPr>
        <w:t xml:space="preserve"> restrictions of sec</w:t>
      </w:r>
      <w:r w:rsidR="00961773" w:rsidRPr="00807694">
        <w:rPr>
          <w:sz w:val="24"/>
          <w:szCs w:val="24"/>
        </w:rPr>
        <w:t xml:space="preserve"> 303(a).</w:t>
      </w:r>
    </w:p>
    <w:p w:rsidR="00DB4669" w:rsidRPr="00A55756" w:rsidRDefault="00DB4669" w:rsidP="00A55756">
      <w:pPr>
        <w:spacing w:after="0" w:line="240" w:lineRule="auto"/>
        <w:rPr>
          <w:sz w:val="24"/>
          <w:szCs w:val="24"/>
        </w:rPr>
      </w:pPr>
    </w:p>
    <w:p w:rsidR="00961773" w:rsidRPr="00B30B96" w:rsidRDefault="00961773" w:rsidP="00A55756">
      <w:pPr>
        <w:spacing w:after="0" w:line="240" w:lineRule="auto"/>
        <w:rPr>
          <w:rFonts w:eastAsia="Times New Roman"/>
          <w:b/>
          <w:bCs/>
          <w:sz w:val="24"/>
          <w:szCs w:val="28"/>
        </w:rPr>
      </w:pPr>
      <w:proofErr w:type="gramStart"/>
      <w:r w:rsidRPr="00B30B96">
        <w:rPr>
          <w:rFonts w:eastAsia="Times New Roman"/>
          <w:b/>
          <w:bCs/>
          <w:sz w:val="24"/>
          <w:szCs w:val="28"/>
        </w:rPr>
        <w:t>16b14</w:t>
      </w:r>
      <w:r w:rsidR="00B30B96" w:rsidRPr="00B30B96">
        <w:rPr>
          <w:rFonts w:eastAsia="Times New Roman"/>
          <w:b/>
          <w:bCs/>
          <w:sz w:val="24"/>
          <w:szCs w:val="28"/>
        </w:rPr>
        <w:t xml:space="preserve"> - </w:t>
      </w:r>
      <w:r w:rsidRPr="00B30B96">
        <w:rPr>
          <w:rFonts w:eastAsia="Times New Roman"/>
          <w:b/>
          <w:bCs/>
          <w:sz w:val="24"/>
          <w:szCs w:val="28"/>
        </w:rPr>
        <w:t>Bankruptcy.</w:t>
      </w:r>
      <w:proofErr w:type="gramEnd"/>
    </w:p>
    <w:p w:rsidR="00DB4669" w:rsidRPr="00A55756" w:rsidRDefault="00DB4669" w:rsidP="00A55756">
      <w:pPr>
        <w:spacing w:after="0" w:line="240" w:lineRule="auto"/>
        <w:rPr>
          <w:sz w:val="24"/>
          <w:szCs w:val="24"/>
        </w:rPr>
      </w:pPr>
    </w:p>
    <w:p w:rsidR="00111AC6" w:rsidRPr="00807694" w:rsidRDefault="00961773" w:rsidP="00807694">
      <w:pPr>
        <w:pStyle w:val="ListParagraph"/>
        <w:spacing w:after="0" w:line="240" w:lineRule="auto"/>
        <w:rPr>
          <w:sz w:val="24"/>
          <w:szCs w:val="24"/>
        </w:rPr>
        <w:sectPr w:rsidR="00111AC6" w:rsidRPr="00807694" w:rsidSect="00AF0F79">
          <w:headerReference w:type="default" r:id="rId11"/>
          <w:type w:val="continuous"/>
          <w:pgSz w:w="12240" w:h="15840"/>
          <w:pgMar w:top="1440" w:right="1440" w:bottom="1440" w:left="1440" w:header="720" w:footer="720" w:gutter="0"/>
          <w:cols w:space="720"/>
          <w:docGrid w:linePitch="360"/>
        </w:sectPr>
      </w:pPr>
      <w:r w:rsidRPr="00807694">
        <w:rPr>
          <w:sz w:val="24"/>
          <w:szCs w:val="24"/>
        </w:rPr>
        <w:lastRenderedPageBreak/>
        <w:t>The section of the Bankruptcy Act under which the bankruptcy is filed determines if the</w:t>
      </w:r>
      <w:r w:rsidR="00DB4669" w:rsidRPr="00807694">
        <w:rPr>
          <w:sz w:val="24"/>
          <w:szCs w:val="24"/>
        </w:rPr>
        <w:t xml:space="preserve"> </w:t>
      </w:r>
      <w:r w:rsidRPr="00807694">
        <w:rPr>
          <w:sz w:val="24"/>
          <w:szCs w:val="24"/>
        </w:rPr>
        <w:t>CCPA’s limitations apply to garnishment orders related to the bankruptcy. The CCPA does</w:t>
      </w:r>
      <w:r w:rsidR="00DB4669" w:rsidRPr="00807694">
        <w:rPr>
          <w:sz w:val="24"/>
          <w:szCs w:val="24"/>
        </w:rPr>
        <w:t xml:space="preserve"> not</w:t>
      </w:r>
      <w:r w:rsidRPr="00807694">
        <w:rPr>
          <w:sz w:val="24"/>
          <w:szCs w:val="24"/>
        </w:rPr>
        <w:t xml:space="preserve"> limit garnishment orders of courts acting under chapter XIII of the Bankruptcy Act. (See</w:t>
      </w:r>
      <w:r w:rsidR="00DB4669" w:rsidRPr="00807694">
        <w:rPr>
          <w:sz w:val="24"/>
          <w:szCs w:val="24"/>
        </w:rPr>
        <w:t xml:space="preserve"> CCPA sec</w:t>
      </w:r>
      <w:r w:rsidRPr="00807694">
        <w:rPr>
          <w:sz w:val="24"/>
          <w:szCs w:val="24"/>
        </w:rPr>
        <w:t xml:space="preserve"> 303(b</w:t>
      </w:r>
      <w:proofErr w:type="gramStart"/>
      <w:r w:rsidRPr="00807694">
        <w:rPr>
          <w:sz w:val="24"/>
          <w:szCs w:val="24"/>
        </w:rPr>
        <w:t>)(</w:t>
      </w:r>
      <w:proofErr w:type="gramEnd"/>
      <w:r w:rsidRPr="00807694">
        <w:rPr>
          <w:sz w:val="24"/>
          <w:szCs w:val="24"/>
        </w:rPr>
        <w:t>l)(B)). Chapter XIII provides post-bankruptcy consumer protections and</w:t>
      </w:r>
      <w:r w:rsidR="00DB4669" w:rsidRPr="00807694">
        <w:rPr>
          <w:sz w:val="24"/>
          <w:szCs w:val="24"/>
        </w:rPr>
        <w:t xml:space="preserve"> </w:t>
      </w:r>
      <w:r w:rsidRPr="00807694">
        <w:rPr>
          <w:sz w:val="24"/>
          <w:szCs w:val="24"/>
        </w:rPr>
        <w:t>remedies separate from the CCPA. The CCPA is designed to provide such protections pre</w:t>
      </w:r>
      <w:r w:rsidR="00DB4669" w:rsidRPr="00807694">
        <w:rPr>
          <w:sz w:val="24"/>
          <w:szCs w:val="24"/>
        </w:rPr>
        <w:t>-</w:t>
      </w:r>
      <w:r w:rsidRPr="00807694">
        <w:rPr>
          <w:sz w:val="24"/>
          <w:szCs w:val="24"/>
        </w:rPr>
        <w:t>bankruptcy,</w:t>
      </w:r>
      <w:r w:rsidR="00DB4669" w:rsidRPr="00807694">
        <w:rPr>
          <w:sz w:val="24"/>
          <w:szCs w:val="24"/>
        </w:rPr>
        <w:t xml:space="preserve"> </w:t>
      </w:r>
      <w:r w:rsidRPr="00807694">
        <w:rPr>
          <w:sz w:val="24"/>
          <w:szCs w:val="24"/>
        </w:rPr>
        <w:t>in the hope of preventing personal bankruptcy. The CCPA limitations do apply</w:t>
      </w:r>
      <w:r w:rsidR="00DB4669" w:rsidRPr="00807694">
        <w:rPr>
          <w:sz w:val="24"/>
          <w:szCs w:val="24"/>
        </w:rPr>
        <w:t xml:space="preserve"> </w:t>
      </w:r>
      <w:r w:rsidRPr="00807694">
        <w:rPr>
          <w:sz w:val="24"/>
          <w:szCs w:val="24"/>
        </w:rPr>
        <w:t>to garnishment orders filed under other chapters of the</w:t>
      </w:r>
      <w:r w:rsidR="00DB4669" w:rsidRPr="00807694">
        <w:rPr>
          <w:sz w:val="24"/>
          <w:szCs w:val="24"/>
        </w:rPr>
        <w:t xml:space="preserve"> Bankruptcy Act. </w:t>
      </w:r>
      <w:proofErr w:type="gramStart"/>
      <w:r w:rsidR="00DB4669" w:rsidRPr="00807694">
        <w:rPr>
          <w:sz w:val="24"/>
          <w:szCs w:val="24"/>
        </w:rPr>
        <w:t xml:space="preserve">(See </w:t>
      </w:r>
      <w:proofErr w:type="spellStart"/>
      <w:r w:rsidR="00DB4669" w:rsidRPr="00807694">
        <w:rPr>
          <w:sz w:val="24"/>
          <w:szCs w:val="24"/>
        </w:rPr>
        <w:t>Kokoszka</w:t>
      </w:r>
      <w:proofErr w:type="spellEnd"/>
      <w:r w:rsidR="00DB4669" w:rsidRPr="00807694">
        <w:rPr>
          <w:sz w:val="24"/>
          <w:szCs w:val="24"/>
        </w:rPr>
        <w:t xml:space="preserve"> v. </w:t>
      </w:r>
      <w:r w:rsidRPr="00807694">
        <w:rPr>
          <w:sz w:val="24"/>
          <w:szCs w:val="24"/>
        </w:rPr>
        <w:t>Belford, 417 US 642 (1974).)</w:t>
      </w:r>
      <w:proofErr w:type="gramEnd"/>
    </w:p>
    <w:p w:rsidR="002F5B79" w:rsidRPr="00A55756" w:rsidRDefault="002F5B79" w:rsidP="00B30B96">
      <w:pPr>
        <w:pStyle w:val="Heading3"/>
        <w:rPr>
          <w:szCs w:val="24"/>
        </w:rPr>
      </w:pPr>
      <w:r w:rsidRPr="00B30B96">
        <w:lastRenderedPageBreak/>
        <w:t>16c</w:t>
      </w:r>
      <w:r w:rsidR="00B30B96">
        <w:t xml:space="preserve"> - </w:t>
      </w:r>
      <w:r w:rsidRPr="00B30B96">
        <w:t>SECTION 304 (RESTRICTION ON DISCHARGE PROVISIONS)</w:t>
      </w:r>
      <w:r w:rsidRPr="00A55756">
        <w:rPr>
          <w:szCs w:val="24"/>
        </w:rPr>
        <w:tab/>
      </w:r>
    </w:p>
    <w:p w:rsidR="002F5B79" w:rsidRPr="00A55756" w:rsidRDefault="002F5B79" w:rsidP="00A55756">
      <w:pPr>
        <w:spacing w:after="0" w:line="240" w:lineRule="auto"/>
        <w:rPr>
          <w:sz w:val="24"/>
          <w:szCs w:val="24"/>
        </w:rPr>
      </w:pPr>
    </w:p>
    <w:p w:rsidR="002F5B79" w:rsidRPr="00A55756" w:rsidRDefault="002F5B79" w:rsidP="00A55756">
      <w:pPr>
        <w:spacing w:after="0" w:line="240" w:lineRule="auto"/>
        <w:rPr>
          <w:sz w:val="24"/>
          <w:szCs w:val="24"/>
        </w:rPr>
      </w:pPr>
      <w:r w:rsidRPr="00B30B96">
        <w:rPr>
          <w:rFonts w:eastAsia="Times New Roman"/>
          <w:b/>
          <w:bCs/>
          <w:sz w:val="24"/>
          <w:szCs w:val="28"/>
        </w:rPr>
        <w:t>16c00</w:t>
      </w:r>
      <w:r w:rsidR="00B30B96" w:rsidRPr="00B30B96">
        <w:rPr>
          <w:rFonts w:eastAsia="Times New Roman"/>
          <w:b/>
          <w:bCs/>
          <w:sz w:val="24"/>
          <w:szCs w:val="28"/>
        </w:rPr>
        <w:t xml:space="preserve"> - </w:t>
      </w:r>
      <w:r w:rsidRPr="00B30B96">
        <w:rPr>
          <w:rFonts w:eastAsia="Times New Roman"/>
          <w:b/>
          <w:bCs/>
          <w:sz w:val="24"/>
          <w:szCs w:val="28"/>
        </w:rPr>
        <w:t>“Subjected to garnishment”.</w:t>
      </w:r>
    </w:p>
    <w:p w:rsidR="002F5B79" w:rsidRPr="00A55756" w:rsidRDefault="002F5B79" w:rsidP="00A55756">
      <w:pPr>
        <w:spacing w:after="0" w:line="240" w:lineRule="auto"/>
        <w:rPr>
          <w:sz w:val="24"/>
          <w:szCs w:val="24"/>
        </w:rPr>
      </w:pPr>
    </w:p>
    <w:p w:rsidR="002F5B79" w:rsidRPr="00807694" w:rsidRDefault="002F5B79" w:rsidP="00807694">
      <w:pPr>
        <w:pStyle w:val="ListParagraph"/>
        <w:spacing w:after="0" w:line="240" w:lineRule="auto"/>
        <w:rPr>
          <w:sz w:val="24"/>
          <w:szCs w:val="24"/>
        </w:rPr>
      </w:pPr>
      <w:r w:rsidRPr="00807694">
        <w:rPr>
          <w:sz w:val="24"/>
          <w:szCs w:val="24"/>
        </w:rPr>
        <w:t xml:space="preserve">Sec 304(a) provides a restriction on discharge from employment because an employee’s earnings were subjected to garnishment </w:t>
      </w:r>
      <w:proofErr w:type="gramStart"/>
      <w:r w:rsidRPr="00807694">
        <w:rPr>
          <w:sz w:val="24"/>
          <w:szCs w:val="24"/>
        </w:rPr>
        <w:t>for any one indebtedness</w:t>
      </w:r>
      <w:proofErr w:type="gramEnd"/>
      <w:r w:rsidRPr="00807694">
        <w:rPr>
          <w:sz w:val="24"/>
          <w:szCs w:val="24"/>
        </w:rPr>
        <w:t>. (See FOH 16c03.) Earnings are subjected to garnishment when the employer is legally bound to make deductions</w:t>
      </w:r>
      <w:r w:rsidR="00D03C5C" w:rsidRPr="00807694">
        <w:rPr>
          <w:sz w:val="24"/>
          <w:szCs w:val="24"/>
        </w:rPr>
        <w:t xml:space="preserve"> </w:t>
      </w:r>
      <w:r w:rsidRPr="00807694">
        <w:rPr>
          <w:sz w:val="24"/>
          <w:szCs w:val="24"/>
        </w:rPr>
        <w:t>from the earnings of an employee to satisfy a garnishment order. Where a binding</w:t>
      </w:r>
      <w:r w:rsidR="00D03C5C" w:rsidRPr="00807694">
        <w:rPr>
          <w:sz w:val="24"/>
          <w:szCs w:val="24"/>
        </w:rPr>
        <w:t xml:space="preserve"> </w:t>
      </w:r>
      <w:r w:rsidRPr="00807694">
        <w:rPr>
          <w:sz w:val="24"/>
          <w:szCs w:val="24"/>
        </w:rPr>
        <w:t>garnishment order absorbs all disposable earnings and the employer may, therefore, not make</w:t>
      </w:r>
      <w:r w:rsidR="00D03C5C" w:rsidRPr="00807694">
        <w:rPr>
          <w:sz w:val="24"/>
          <w:szCs w:val="24"/>
        </w:rPr>
        <w:t xml:space="preserve"> </w:t>
      </w:r>
      <w:r w:rsidRPr="00807694">
        <w:rPr>
          <w:sz w:val="24"/>
          <w:szCs w:val="24"/>
        </w:rPr>
        <w:t>deductions for additional garnishments until</w:t>
      </w:r>
      <w:r w:rsidR="00D03C5C" w:rsidRPr="00807694">
        <w:rPr>
          <w:sz w:val="24"/>
          <w:szCs w:val="24"/>
        </w:rPr>
        <w:t xml:space="preserve"> satisfying the first order, sec</w:t>
      </w:r>
      <w:r w:rsidRPr="00807694">
        <w:rPr>
          <w:sz w:val="24"/>
          <w:szCs w:val="24"/>
        </w:rPr>
        <w:t xml:space="preserve"> 304 prohibits</w:t>
      </w:r>
      <w:r w:rsidR="00D03C5C" w:rsidRPr="00807694">
        <w:rPr>
          <w:sz w:val="24"/>
          <w:szCs w:val="24"/>
        </w:rPr>
        <w:t xml:space="preserve"> </w:t>
      </w:r>
      <w:r w:rsidRPr="00807694">
        <w:rPr>
          <w:sz w:val="24"/>
          <w:szCs w:val="24"/>
        </w:rPr>
        <w:t>discharge from employment until the employer is legally bound to withhold for the second</w:t>
      </w:r>
      <w:r w:rsidR="00D03C5C" w:rsidRPr="00807694">
        <w:rPr>
          <w:sz w:val="24"/>
          <w:szCs w:val="24"/>
        </w:rPr>
        <w:t xml:space="preserve"> </w:t>
      </w:r>
      <w:r w:rsidRPr="00807694">
        <w:rPr>
          <w:sz w:val="24"/>
          <w:szCs w:val="24"/>
        </w:rPr>
        <w:t>garnishment. Thus, in such a case, there is no second garnishment until the second</w:t>
      </w:r>
      <w:r w:rsidR="00D03C5C" w:rsidRPr="00807694">
        <w:rPr>
          <w:sz w:val="24"/>
          <w:szCs w:val="24"/>
        </w:rPr>
        <w:t xml:space="preserve"> </w:t>
      </w:r>
      <w:r w:rsidRPr="00807694">
        <w:rPr>
          <w:sz w:val="24"/>
          <w:szCs w:val="24"/>
        </w:rPr>
        <w:t>garnishment is actionable.</w:t>
      </w:r>
    </w:p>
    <w:p w:rsidR="00D03C5C" w:rsidRPr="00A55756" w:rsidRDefault="00D03C5C" w:rsidP="00A55756">
      <w:pPr>
        <w:spacing w:after="0" w:line="240" w:lineRule="auto"/>
        <w:rPr>
          <w:sz w:val="24"/>
          <w:szCs w:val="24"/>
        </w:rPr>
      </w:pPr>
    </w:p>
    <w:p w:rsidR="002F5B79" w:rsidRPr="00A55756" w:rsidRDefault="00D03C5C" w:rsidP="00A55756">
      <w:pPr>
        <w:spacing w:after="0" w:line="240" w:lineRule="auto"/>
        <w:rPr>
          <w:sz w:val="24"/>
          <w:szCs w:val="24"/>
        </w:rPr>
      </w:pPr>
      <w:r w:rsidRPr="00B30B96">
        <w:rPr>
          <w:rFonts w:eastAsia="Times New Roman"/>
          <w:b/>
          <w:bCs/>
          <w:sz w:val="24"/>
          <w:szCs w:val="28"/>
        </w:rPr>
        <w:t>16c</w:t>
      </w:r>
      <w:r w:rsidR="002F5B79" w:rsidRPr="00B30B96">
        <w:rPr>
          <w:rFonts w:eastAsia="Times New Roman"/>
          <w:b/>
          <w:bCs/>
          <w:sz w:val="24"/>
          <w:szCs w:val="28"/>
        </w:rPr>
        <w:t>01</w:t>
      </w:r>
      <w:r w:rsidR="00B30B96" w:rsidRPr="00B30B96">
        <w:rPr>
          <w:rFonts w:eastAsia="Times New Roman"/>
          <w:b/>
          <w:bCs/>
          <w:sz w:val="24"/>
          <w:szCs w:val="28"/>
        </w:rPr>
        <w:t xml:space="preserve"> - </w:t>
      </w:r>
      <w:r w:rsidR="002F5B79" w:rsidRPr="00B30B96">
        <w:rPr>
          <w:rFonts w:eastAsia="Times New Roman"/>
          <w:b/>
          <w:bCs/>
          <w:sz w:val="24"/>
          <w:szCs w:val="28"/>
        </w:rPr>
        <w:t>Restriction on discharge applies to all garnishments.</w:t>
      </w:r>
    </w:p>
    <w:p w:rsidR="00D03C5C" w:rsidRPr="00A55756" w:rsidRDefault="00D03C5C" w:rsidP="00A55756">
      <w:pPr>
        <w:spacing w:after="0" w:line="240" w:lineRule="auto"/>
        <w:rPr>
          <w:sz w:val="24"/>
          <w:szCs w:val="24"/>
        </w:rPr>
      </w:pPr>
    </w:p>
    <w:p w:rsidR="002F5B79" w:rsidRPr="00807694" w:rsidRDefault="002F5B79" w:rsidP="00807694">
      <w:pPr>
        <w:pStyle w:val="ListParagraph"/>
        <w:spacing w:after="0" w:line="240" w:lineRule="auto"/>
        <w:rPr>
          <w:sz w:val="24"/>
          <w:szCs w:val="24"/>
        </w:rPr>
      </w:pPr>
      <w:r w:rsidRPr="00807694">
        <w:rPr>
          <w:sz w:val="24"/>
          <w:szCs w:val="24"/>
        </w:rPr>
        <w:t>The restriction on discharge of se</w:t>
      </w:r>
      <w:r w:rsidR="00D03C5C" w:rsidRPr="00807694">
        <w:rPr>
          <w:sz w:val="24"/>
          <w:szCs w:val="24"/>
        </w:rPr>
        <w:t>c</w:t>
      </w:r>
      <w:r w:rsidRPr="00807694">
        <w:rPr>
          <w:sz w:val="24"/>
          <w:szCs w:val="24"/>
        </w:rPr>
        <w:t xml:space="preserve"> 304(a) applies to all types of garnishments. The protection</w:t>
      </w:r>
      <w:r w:rsidR="00D03C5C" w:rsidRPr="00807694">
        <w:rPr>
          <w:sz w:val="24"/>
          <w:szCs w:val="24"/>
        </w:rPr>
        <w:t xml:space="preserve"> provided by sec</w:t>
      </w:r>
      <w:r w:rsidRPr="00807694">
        <w:rPr>
          <w:sz w:val="24"/>
          <w:szCs w:val="24"/>
        </w:rPr>
        <w:t xml:space="preserve"> 304(a) is available even though the amount of the garnishment withholdings is</w:t>
      </w:r>
      <w:r w:rsidR="00D03C5C" w:rsidRPr="00807694">
        <w:rPr>
          <w:sz w:val="24"/>
          <w:szCs w:val="24"/>
        </w:rPr>
        <w:t xml:space="preserve"> </w:t>
      </w:r>
      <w:r w:rsidRPr="00807694">
        <w:rPr>
          <w:sz w:val="24"/>
          <w:szCs w:val="24"/>
        </w:rPr>
        <w:t>not sub</w:t>
      </w:r>
      <w:r w:rsidR="00D03C5C" w:rsidRPr="00807694">
        <w:rPr>
          <w:sz w:val="24"/>
          <w:szCs w:val="24"/>
        </w:rPr>
        <w:t xml:space="preserve">ject to the restrictions of sec </w:t>
      </w:r>
      <w:r w:rsidRPr="00807694">
        <w:rPr>
          <w:sz w:val="24"/>
          <w:szCs w:val="24"/>
        </w:rPr>
        <w:t>303(a). For example, if a tax debt results in the</w:t>
      </w:r>
      <w:r w:rsidR="00D03C5C" w:rsidRPr="00807694">
        <w:rPr>
          <w:sz w:val="24"/>
          <w:szCs w:val="24"/>
        </w:rPr>
        <w:t xml:space="preserve"> </w:t>
      </w:r>
      <w:r w:rsidRPr="00807694">
        <w:rPr>
          <w:sz w:val="24"/>
          <w:szCs w:val="24"/>
        </w:rPr>
        <w:t>garnishment of earnings and there are no previous garnishments, discharging the employee for</w:t>
      </w:r>
      <w:r w:rsidR="00D03C5C" w:rsidRPr="00807694">
        <w:rPr>
          <w:sz w:val="24"/>
          <w:szCs w:val="24"/>
        </w:rPr>
        <w:t xml:space="preserve"> </w:t>
      </w:r>
      <w:r w:rsidRPr="00807694">
        <w:rPr>
          <w:sz w:val="24"/>
          <w:szCs w:val="24"/>
        </w:rPr>
        <w:t>the garnishment would violate se</w:t>
      </w:r>
      <w:r w:rsidR="00D03C5C" w:rsidRPr="00807694">
        <w:rPr>
          <w:sz w:val="24"/>
          <w:szCs w:val="24"/>
        </w:rPr>
        <w:t>c</w:t>
      </w:r>
      <w:r w:rsidRPr="00807694">
        <w:rPr>
          <w:sz w:val="24"/>
          <w:szCs w:val="24"/>
        </w:rPr>
        <w:t xml:space="preserve"> 304(a). (See FOH </w:t>
      </w:r>
      <w:proofErr w:type="gramStart"/>
      <w:r w:rsidRPr="00807694">
        <w:rPr>
          <w:sz w:val="24"/>
          <w:szCs w:val="24"/>
        </w:rPr>
        <w:t>16a05(</w:t>
      </w:r>
      <w:proofErr w:type="gramEnd"/>
      <w:r w:rsidRPr="00807694">
        <w:rPr>
          <w:sz w:val="24"/>
          <w:szCs w:val="24"/>
        </w:rPr>
        <w:t>b) and (c).)</w:t>
      </w:r>
    </w:p>
    <w:p w:rsidR="00D03C5C" w:rsidRPr="00A55756" w:rsidRDefault="00D03C5C" w:rsidP="00A55756">
      <w:pPr>
        <w:spacing w:after="0" w:line="240" w:lineRule="auto"/>
        <w:rPr>
          <w:sz w:val="24"/>
          <w:szCs w:val="24"/>
        </w:rPr>
      </w:pPr>
    </w:p>
    <w:p w:rsidR="002F5B79" w:rsidRPr="00A55756" w:rsidRDefault="008E4488" w:rsidP="00A55756">
      <w:pPr>
        <w:spacing w:after="0" w:line="240" w:lineRule="auto"/>
        <w:rPr>
          <w:sz w:val="24"/>
          <w:szCs w:val="24"/>
        </w:rPr>
      </w:pPr>
      <w:r w:rsidRPr="00B30B96">
        <w:rPr>
          <w:rFonts w:eastAsia="Times New Roman"/>
          <w:b/>
          <w:bCs/>
          <w:sz w:val="24"/>
          <w:szCs w:val="28"/>
        </w:rPr>
        <w:t>16c</w:t>
      </w:r>
      <w:r w:rsidR="002F5B79" w:rsidRPr="00B30B96">
        <w:rPr>
          <w:rFonts w:eastAsia="Times New Roman"/>
          <w:b/>
          <w:bCs/>
          <w:sz w:val="24"/>
          <w:szCs w:val="28"/>
        </w:rPr>
        <w:t>02</w:t>
      </w:r>
      <w:r w:rsidR="00B30B96" w:rsidRPr="00B30B96">
        <w:rPr>
          <w:rFonts w:eastAsia="Times New Roman"/>
          <w:b/>
          <w:bCs/>
          <w:sz w:val="24"/>
          <w:szCs w:val="28"/>
        </w:rPr>
        <w:t xml:space="preserve"> - </w:t>
      </w:r>
      <w:r w:rsidR="002F5B79" w:rsidRPr="00B30B96">
        <w:rPr>
          <w:rFonts w:eastAsia="Times New Roman"/>
          <w:b/>
          <w:bCs/>
          <w:sz w:val="24"/>
          <w:szCs w:val="28"/>
        </w:rPr>
        <w:t>Discharge for non-tax debts owed the federal government.</w:t>
      </w:r>
    </w:p>
    <w:p w:rsidR="008E4488" w:rsidRPr="00A55756" w:rsidRDefault="008E4488" w:rsidP="00A55756">
      <w:pPr>
        <w:spacing w:after="0" w:line="240" w:lineRule="auto"/>
        <w:rPr>
          <w:sz w:val="24"/>
          <w:szCs w:val="24"/>
        </w:rPr>
      </w:pPr>
    </w:p>
    <w:p w:rsidR="002F5B79" w:rsidRPr="00807694" w:rsidRDefault="002F5B79" w:rsidP="00807694">
      <w:pPr>
        <w:pStyle w:val="ListParagraph"/>
        <w:spacing w:after="0" w:line="240" w:lineRule="auto"/>
        <w:rPr>
          <w:sz w:val="24"/>
          <w:szCs w:val="24"/>
        </w:rPr>
      </w:pPr>
      <w:r w:rsidRPr="00807694">
        <w:rPr>
          <w:sz w:val="24"/>
          <w:szCs w:val="24"/>
        </w:rPr>
        <w:t>The Debt Collection Improvement and Higher Education Acts prohibit an employer from</w:t>
      </w:r>
      <w:r w:rsidR="008E4488" w:rsidRPr="00807694">
        <w:rPr>
          <w:sz w:val="24"/>
          <w:szCs w:val="24"/>
        </w:rPr>
        <w:t xml:space="preserve"> </w:t>
      </w:r>
      <w:r w:rsidRPr="00807694">
        <w:rPr>
          <w:sz w:val="24"/>
          <w:szCs w:val="24"/>
        </w:rPr>
        <w:t>discharging, refusing to employ, or taking any disciplinary action against an individual subject</w:t>
      </w:r>
      <w:r w:rsidR="008E4488" w:rsidRPr="00807694">
        <w:rPr>
          <w:sz w:val="24"/>
          <w:szCs w:val="24"/>
        </w:rPr>
        <w:t xml:space="preserve"> </w:t>
      </w:r>
      <w:r w:rsidRPr="00807694">
        <w:rPr>
          <w:sz w:val="24"/>
          <w:szCs w:val="24"/>
        </w:rPr>
        <w:t>to an administrative garnishment. WH has no enforcement authority with regard to these</w:t>
      </w:r>
      <w:r w:rsidR="008E4488" w:rsidRPr="00807694">
        <w:rPr>
          <w:sz w:val="24"/>
          <w:szCs w:val="24"/>
        </w:rPr>
        <w:t xml:space="preserve"> </w:t>
      </w:r>
      <w:proofErr w:type="gramStart"/>
      <w:r w:rsidRPr="00807694">
        <w:rPr>
          <w:sz w:val="24"/>
          <w:szCs w:val="24"/>
        </w:rPr>
        <w:t>provisions,</w:t>
      </w:r>
      <w:proofErr w:type="gramEnd"/>
      <w:r w:rsidRPr="00807694">
        <w:rPr>
          <w:sz w:val="24"/>
          <w:szCs w:val="24"/>
        </w:rPr>
        <w:t xml:space="preserve"> questions should be referred to the agency initiating the garnishment. </w:t>
      </w:r>
      <w:proofErr w:type="gramStart"/>
      <w:r w:rsidRPr="00807694">
        <w:rPr>
          <w:sz w:val="24"/>
          <w:szCs w:val="24"/>
        </w:rPr>
        <w:t>(See FOH</w:t>
      </w:r>
      <w:r w:rsidR="008E4488" w:rsidRPr="00807694">
        <w:rPr>
          <w:sz w:val="24"/>
          <w:szCs w:val="24"/>
        </w:rPr>
        <w:t xml:space="preserve"> </w:t>
      </w:r>
      <w:r w:rsidRPr="00807694">
        <w:rPr>
          <w:sz w:val="24"/>
          <w:szCs w:val="24"/>
        </w:rPr>
        <w:t>16a05(c).)</w:t>
      </w:r>
      <w:proofErr w:type="gramEnd"/>
      <w:r w:rsidRPr="00807694">
        <w:rPr>
          <w:sz w:val="24"/>
          <w:szCs w:val="24"/>
        </w:rPr>
        <w:t xml:space="preserve"> A CCPA violation exists if an employee is terminated because of a single</w:t>
      </w:r>
      <w:r w:rsidR="008E4488" w:rsidRPr="00807694">
        <w:rPr>
          <w:sz w:val="24"/>
          <w:szCs w:val="24"/>
        </w:rPr>
        <w:t xml:space="preserve"> </w:t>
      </w:r>
      <w:r w:rsidRPr="00807694">
        <w:rPr>
          <w:sz w:val="24"/>
          <w:szCs w:val="24"/>
        </w:rPr>
        <w:t>administrative garnishment. A CCPA violation does not exist if the discharge is based on an</w:t>
      </w:r>
      <w:r w:rsidR="008E4488" w:rsidRPr="00807694">
        <w:rPr>
          <w:sz w:val="24"/>
          <w:szCs w:val="24"/>
        </w:rPr>
        <w:t xml:space="preserve"> </w:t>
      </w:r>
      <w:r w:rsidRPr="00807694">
        <w:rPr>
          <w:sz w:val="24"/>
          <w:szCs w:val="24"/>
        </w:rPr>
        <w:t>administrative garnishment in conjunction with any other garnishment. (See FOH</w:t>
      </w:r>
      <w:r w:rsidR="008E4488" w:rsidRPr="00807694">
        <w:rPr>
          <w:sz w:val="24"/>
          <w:szCs w:val="24"/>
        </w:rPr>
        <w:t xml:space="preserve"> </w:t>
      </w:r>
      <w:proofErr w:type="gramStart"/>
      <w:r w:rsidRPr="00807694">
        <w:rPr>
          <w:sz w:val="24"/>
          <w:szCs w:val="24"/>
        </w:rPr>
        <w:t>52v13(</w:t>
      </w:r>
      <w:proofErr w:type="gramEnd"/>
      <w:r w:rsidRPr="00807694">
        <w:rPr>
          <w:sz w:val="24"/>
          <w:szCs w:val="24"/>
        </w:rPr>
        <w:t>b)(3).)</w:t>
      </w:r>
    </w:p>
    <w:p w:rsidR="008E4488" w:rsidRPr="00A55756" w:rsidRDefault="008E4488" w:rsidP="00A55756">
      <w:pPr>
        <w:spacing w:after="0" w:line="240" w:lineRule="auto"/>
        <w:rPr>
          <w:sz w:val="24"/>
          <w:szCs w:val="24"/>
        </w:rPr>
      </w:pPr>
    </w:p>
    <w:p w:rsidR="002F5B79" w:rsidRPr="00B30B96" w:rsidRDefault="008E4488" w:rsidP="00A55756">
      <w:pPr>
        <w:spacing w:after="0" w:line="240" w:lineRule="auto"/>
        <w:rPr>
          <w:rFonts w:eastAsia="Times New Roman"/>
          <w:b/>
          <w:bCs/>
          <w:sz w:val="24"/>
          <w:szCs w:val="28"/>
        </w:rPr>
      </w:pPr>
      <w:r w:rsidRPr="00B30B96">
        <w:rPr>
          <w:rFonts w:eastAsia="Times New Roman"/>
          <w:b/>
          <w:bCs/>
          <w:sz w:val="24"/>
          <w:szCs w:val="28"/>
        </w:rPr>
        <w:t>16c</w:t>
      </w:r>
      <w:r w:rsidR="002F5B79" w:rsidRPr="00B30B96">
        <w:rPr>
          <w:rFonts w:eastAsia="Times New Roman"/>
          <w:b/>
          <w:bCs/>
          <w:sz w:val="24"/>
          <w:szCs w:val="28"/>
        </w:rPr>
        <w:t>03</w:t>
      </w:r>
      <w:r w:rsidR="00B30B96" w:rsidRPr="00B30B96">
        <w:rPr>
          <w:rFonts w:eastAsia="Times New Roman"/>
          <w:b/>
          <w:bCs/>
          <w:sz w:val="24"/>
          <w:szCs w:val="28"/>
        </w:rPr>
        <w:t xml:space="preserve"> - </w:t>
      </w:r>
      <w:proofErr w:type="gramStart"/>
      <w:r w:rsidR="002F5B79" w:rsidRPr="00B30B96">
        <w:rPr>
          <w:rFonts w:eastAsia="Times New Roman"/>
          <w:b/>
          <w:bCs/>
          <w:sz w:val="24"/>
          <w:szCs w:val="28"/>
        </w:rPr>
        <w:t>One indebtedness</w:t>
      </w:r>
      <w:proofErr w:type="gramEnd"/>
      <w:r w:rsidR="002F5B79" w:rsidRPr="00B30B96">
        <w:rPr>
          <w:rFonts w:eastAsia="Times New Roman"/>
          <w:b/>
          <w:bCs/>
          <w:sz w:val="24"/>
          <w:szCs w:val="28"/>
        </w:rPr>
        <w:t>.</w:t>
      </w:r>
    </w:p>
    <w:p w:rsidR="008E4488" w:rsidRPr="00A55756" w:rsidRDefault="008E4488" w:rsidP="00A55756">
      <w:pPr>
        <w:spacing w:after="0" w:line="240" w:lineRule="auto"/>
        <w:rPr>
          <w:sz w:val="24"/>
          <w:szCs w:val="24"/>
        </w:rPr>
      </w:pPr>
    </w:p>
    <w:p w:rsidR="00807694" w:rsidRDefault="002F5B79" w:rsidP="00807694">
      <w:pPr>
        <w:pStyle w:val="ListParagraph"/>
        <w:numPr>
          <w:ilvl w:val="0"/>
          <w:numId w:val="13"/>
        </w:numPr>
        <w:spacing w:after="0" w:line="240" w:lineRule="auto"/>
        <w:rPr>
          <w:sz w:val="24"/>
          <w:szCs w:val="24"/>
        </w:rPr>
      </w:pPr>
      <w:r w:rsidRPr="00807694">
        <w:rPr>
          <w:sz w:val="24"/>
          <w:szCs w:val="24"/>
        </w:rPr>
        <w:t>The term “one indebtedness” refers to a single debt, regardless of the number of levies made</w:t>
      </w:r>
      <w:r w:rsidR="008E4488" w:rsidRPr="00807694">
        <w:rPr>
          <w:sz w:val="24"/>
          <w:szCs w:val="24"/>
        </w:rPr>
        <w:t xml:space="preserve"> </w:t>
      </w:r>
      <w:r w:rsidRPr="00807694">
        <w:rPr>
          <w:sz w:val="24"/>
          <w:szCs w:val="24"/>
        </w:rPr>
        <w:t>or the number of separate garnishment proceedings instituted in connection with the</w:t>
      </w:r>
      <w:r w:rsidR="008E4488" w:rsidRPr="00807694">
        <w:rPr>
          <w:sz w:val="24"/>
          <w:szCs w:val="24"/>
        </w:rPr>
        <w:t xml:space="preserve"> </w:t>
      </w:r>
      <w:r w:rsidRPr="00807694">
        <w:rPr>
          <w:sz w:val="24"/>
          <w:szCs w:val="24"/>
        </w:rPr>
        <w:t>indebtedness. In cases of garnishment after judgment, it is WH policy that the judgment itself</w:t>
      </w:r>
      <w:r w:rsidR="008E4488" w:rsidRPr="00807694">
        <w:rPr>
          <w:sz w:val="24"/>
          <w:szCs w:val="24"/>
        </w:rPr>
        <w:t xml:space="preserve"> </w:t>
      </w:r>
      <w:r w:rsidRPr="00807694">
        <w:rPr>
          <w:sz w:val="24"/>
          <w:szCs w:val="24"/>
        </w:rPr>
        <w:t>is a “debt.” This debt may represent one or more claims of a single creditor or the claims of</w:t>
      </w:r>
      <w:r w:rsidR="008E4488" w:rsidRPr="00807694">
        <w:rPr>
          <w:sz w:val="24"/>
          <w:szCs w:val="24"/>
        </w:rPr>
        <w:t xml:space="preserve"> </w:t>
      </w:r>
      <w:r w:rsidRPr="00807694">
        <w:rPr>
          <w:sz w:val="24"/>
          <w:szCs w:val="24"/>
        </w:rPr>
        <w:t>several creditors who joined in the proceeding. Also, the protection against discharge is</w:t>
      </w:r>
      <w:r w:rsidR="008E4488" w:rsidRPr="00807694">
        <w:rPr>
          <w:sz w:val="24"/>
          <w:szCs w:val="24"/>
        </w:rPr>
        <w:t xml:space="preserve"> </w:t>
      </w:r>
      <w:r w:rsidRPr="00807694">
        <w:rPr>
          <w:sz w:val="24"/>
          <w:szCs w:val="24"/>
        </w:rPr>
        <w:t>renewed with each employment since the new employer has not been a garnishee with respect</w:t>
      </w:r>
      <w:r w:rsidR="008E4488" w:rsidRPr="00807694">
        <w:rPr>
          <w:sz w:val="24"/>
          <w:szCs w:val="24"/>
        </w:rPr>
        <w:t xml:space="preserve"> </w:t>
      </w:r>
      <w:r w:rsidRPr="00807694">
        <w:rPr>
          <w:sz w:val="24"/>
          <w:szCs w:val="24"/>
        </w:rPr>
        <w:t>to that employee.</w:t>
      </w:r>
    </w:p>
    <w:p w:rsidR="00807694" w:rsidRDefault="00807694" w:rsidP="00807694">
      <w:pPr>
        <w:pStyle w:val="ListParagraph"/>
        <w:spacing w:after="0" w:line="240" w:lineRule="auto"/>
        <w:rPr>
          <w:sz w:val="24"/>
          <w:szCs w:val="24"/>
        </w:rPr>
      </w:pPr>
    </w:p>
    <w:p w:rsidR="00807694" w:rsidRDefault="002F5B79" w:rsidP="00807694">
      <w:pPr>
        <w:pStyle w:val="ListParagraph"/>
        <w:numPr>
          <w:ilvl w:val="0"/>
          <w:numId w:val="13"/>
        </w:numPr>
        <w:spacing w:after="0" w:line="240" w:lineRule="auto"/>
        <w:rPr>
          <w:sz w:val="24"/>
          <w:szCs w:val="24"/>
        </w:rPr>
      </w:pPr>
      <w:r w:rsidRPr="00807694">
        <w:rPr>
          <w:sz w:val="24"/>
          <w:szCs w:val="24"/>
        </w:rPr>
        <w:t>As provided in paragraph (a) above, there is a distinction between a single debt and the</w:t>
      </w:r>
      <w:r w:rsidR="00861808" w:rsidRPr="00807694">
        <w:rPr>
          <w:sz w:val="24"/>
          <w:szCs w:val="24"/>
        </w:rPr>
        <w:t xml:space="preserve"> </w:t>
      </w:r>
      <w:r w:rsidRPr="00807694">
        <w:rPr>
          <w:sz w:val="24"/>
          <w:szCs w:val="24"/>
        </w:rPr>
        <w:t xml:space="preserve">garnishment proceeding brought to collect it. After a garnishment proceeding for one </w:t>
      </w:r>
      <w:r w:rsidRPr="00807694">
        <w:rPr>
          <w:sz w:val="24"/>
          <w:szCs w:val="24"/>
        </w:rPr>
        <w:lastRenderedPageBreak/>
        <w:t>debt</w:t>
      </w:r>
      <w:r w:rsidR="00861808" w:rsidRPr="00807694">
        <w:rPr>
          <w:sz w:val="24"/>
          <w:szCs w:val="24"/>
        </w:rPr>
        <w:t xml:space="preserve"> </w:t>
      </w:r>
      <w:r w:rsidRPr="00807694">
        <w:rPr>
          <w:sz w:val="24"/>
          <w:szCs w:val="24"/>
        </w:rPr>
        <w:t>becomes effective, the law does not prohibit discharge if there is another garnishment</w:t>
      </w:r>
      <w:r w:rsidR="00861808" w:rsidRPr="00807694">
        <w:rPr>
          <w:sz w:val="24"/>
          <w:szCs w:val="24"/>
        </w:rPr>
        <w:t xml:space="preserve"> </w:t>
      </w:r>
      <w:r w:rsidRPr="00807694">
        <w:rPr>
          <w:sz w:val="24"/>
          <w:szCs w:val="24"/>
        </w:rPr>
        <w:t>proceeding pursuant to a second debt. Such multiple garnishments</w:t>
      </w:r>
      <w:r w:rsidR="00861808" w:rsidRPr="00807694">
        <w:rPr>
          <w:sz w:val="24"/>
          <w:szCs w:val="24"/>
        </w:rPr>
        <w:t xml:space="preserve"> need not be from different </w:t>
      </w:r>
      <w:r w:rsidRPr="00807694">
        <w:rPr>
          <w:sz w:val="24"/>
          <w:szCs w:val="24"/>
        </w:rPr>
        <w:t>creditors. They may be from the same or different creditors so long as they involve separate</w:t>
      </w:r>
      <w:r w:rsidR="00861808" w:rsidRPr="00807694">
        <w:rPr>
          <w:sz w:val="24"/>
          <w:szCs w:val="24"/>
        </w:rPr>
        <w:t xml:space="preserve"> </w:t>
      </w:r>
      <w:r w:rsidRPr="00807694">
        <w:rPr>
          <w:sz w:val="24"/>
          <w:szCs w:val="24"/>
        </w:rPr>
        <w:t>debts. All of the facts in the particular case must be considered, to determine whether there is</w:t>
      </w:r>
      <w:r w:rsidR="00861808" w:rsidRPr="00807694">
        <w:rPr>
          <w:sz w:val="24"/>
          <w:szCs w:val="24"/>
        </w:rPr>
        <w:t xml:space="preserve"> </w:t>
      </w:r>
      <w:r w:rsidRPr="00807694">
        <w:rPr>
          <w:sz w:val="24"/>
          <w:szCs w:val="24"/>
        </w:rPr>
        <w:t>more than one debt. Ordinarily, a separate debt may be identified as the full amount of the</w:t>
      </w:r>
      <w:r w:rsidR="00861808" w:rsidRPr="00807694">
        <w:rPr>
          <w:sz w:val="24"/>
          <w:szCs w:val="24"/>
        </w:rPr>
        <w:t xml:space="preserve"> </w:t>
      </w:r>
      <w:r w:rsidRPr="00807694">
        <w:rPr>
          <w:sz w:val="24"/>
          <w:szCs w:val="24"/>
        </w:rPr>
        <w:t>debt represented by a single judgment.</w:t>
      </w:r>
    </w:p>
    <w:p w:rsidR="00807694" w:rsidRPr="00807694" w:rsidRDefault="00807694" w:rsidP="00807694">
      <w:pPr>
        <w:pStyle w:val="ListParagraph"/>
        <w:rPr>
          <w:sz w:val="24"/>
          <w:szCs w:val="24"/>
        </w:rPr>
      </w:pPr>
    </w:p>
    <w:p w:rsidR="00807694" w:rsidRDefault="002F5B79" w:rsidP="00807694">
      <w:pPr>
        <w:pStyle w:val="ListParagraph"/>
        <w:numPr>
          <w:ilvl w:val="0"/>
          <w:numId w:val="13"/>
        </w:numPr>
        <w:spacing w:after="0" w:line="240" w:lineRule="auto"/>
        <w:rPr>
          <w:sz w:val="24"/>
          <w:szCs w:val="24"/>
        </w:rPr>
      </w:pPr>
      <w:r w:rsidRPr="00807694">
        <w:rPr>
          <w:sz w:val="24"/>
          <w:szCs w:val="24"/>
        </w:rPr>
        <w:t>The distinction between a single debt and the garnishment proceeding(s) brought to collect it</w:t>
      </w:r>
      <w:r w:rsidR="00861808" w:rsidRPr="00807694">
        <w:rPr>
          <w:sz w:val="24"/>
          <w:szCs w:val="24"/>
        </w:rPr>
        <w:t xml:space="preserve"> </w:t>
      </w:r>
      <w:r w:rsidRPr="00807694">
        <w:rPr>
          <w:sz w:val="24"/>
          <w:szCs w:val="24"/>
        </w:rPr>
        <w:t>has particular importance in states only allowing garnishment of wages earned prior to the</w:t>
      </w:r>
      <w:r w:rsidR="00861808" w:rsidRPr="00807694">
        <w:rPr>
          <w:sz w:val="24"/>
          <w:szCs w:val="24"/>
        </w:rPr>
        <w:t xml:space="preserve"> </w:t>
      </w:r>
      <w:r w:rsidRPr="00807694">
        <w:rPr>
          <w:sz w:val="24"/>
          <w:szCs w:val="24"/>
        </w:rPr>
        <w:t>garnishment order being served, or that of future wages subject to a time limitation. In such</w:t>
      </w:r>
      <w:r w:rsidR="00861808" w:rsidRPr="00807694">
        <w:rPr>
          <w:sz w:val="24"/>
          <w:szCs w:val="24"/>
        </w:rPr>
        <w:t xml:space="preserve"> </w:t>
      </w:r>
      <w:r w:rsidRPr="00807694">
        <w:rPr>
          <w:sz w:val="24"/>
          <w:szCs w:val="24"/>
        </w:rPr>
        <w:t>states, the judgment creditor may need to secure a number of garnishment orders to collect the</w:t>
      </w:r>
      <w:r w:rsidR="00861808" w:rsidRPr="00807694">
        <w:rPr>
          <w:sz w:val="24"/>
          <w:szCs w:val="24"/>
        </w:rPr>
        <w:t xml:space="preserve"> </w:t>
      </w:r>
      <w:r w:rsidRPr="00807694">
        <w:rPr>
          <w:sz w:val="24"/>
          <w:szCs w:val="24"/>
        </w:rPr>
        <w:t>full amount of the single deb</w:t>
      </w:r>
      <w:r w:rsidR="00861808" w:rsidRPr="00807694">
        <w:rPr>
          <w:sz w:val="24"/>
          <w:szCs w:val="24"/>
        </w:rPr>
        <w:t>t represented by a judgment. Sec</w:t>
      </w:r>
      <w:r w:rsidRPr="00807694">
        <w:rPr>
          <w:sz w:val="24"/>
          <w:szCs w:val="24"/>
        </w:rPr>
        <w:t xml:space="preserve"> 304(a) prohibits discharge of an</w:t>
      </w:r>
      <w:r w:rsidR="00861808" w:rsidRPr="00807694">
        <w:rPr>
          <w:sz w:val="24"/>
          <w:szCs w:val="24"/>
        </w:rPr>
        <w:t xml:space="preserve"> </w:t>
      </w:r>
      <w:r w:rsidRPr="00807694">
        <w:rPr>
          <w:sz w:val="24"/>
          <w:szCs w:val="24"/>
        </w:rPr>
        <w:t>employee under such circumstances.</w:t>
      </w:r>
    </w:p>
    <w:p w:rsidR="00807694" w:rsidRPr="00807694" w:rsidRDefault="00807694" w:rsidP="00807694">
      <w:pPr>
        <w:pStyle w:val="ListParagraph"/>
        <w:rPr>
          <w:sz w:val="24"/>
          <w:szCs w:val="24"/>
        </w:rPr>
      </w:pPr>
    </w:p>
    <w:p w:rsidR="002F5B79" w:rsidRPr="00807694" w:rsidRDefault="002F5B79" w:rsidP="00807694">
      <w:pPr>
        <w:pStyle w:val="ListParagraph"/>
        <w:numPr>
          <w:ilvl w:val="0"/>
          <w:numId w:val="13"/>
        </w:numPr>
        <w:spacing w:after="0" w:line="240" w:lineRule="auto"/>
        <w:rPr>
          <w:sz w:val="24"/>
          <w:szCs w:val="24"/>
        </w:rPr>
      </w:pPr>
      <w:r w:rsidRPr="00807694">
        <w:rPr>
          <w:sz w:val="24"/>
          <w:szCs w:val="24"/>
        </w:rPr>
        <w:t>An employee discharged after a second garnishment that occurred long after the first may</w:t>
      </w:r>
      <w:r w:rsidR="00861808" w:rsidRPr="00807694">
        <w:rPr>
          <w:sz w:val="24"/>
          <w:szCs w:val="24"/>
        </w:rPr>
        <w:t xml:space="preserve"> </w:t>
      </w:r>
      <w:r w:rsidRPr="00807694">
        <w:rPr>
          <w:sz w:val="24"/>
          <w:szCs w:val="24"/>
        </w:rPr>
        <w:t>have been discharged solely because of the second garnishment. As a rule of thumb, where</w:t>
      </w:r>
      <w:r w:rsidR="00861808" w:rsidRPr="00807694">
        <w:rPr>
          <w:sz w:val="24"/>
          <w:szCs w:val="24"/>
        </w:rPr>
        <w:t xml:space="preserve"> </w:t>
      </w:r>
      <w:r w:rsidRPr="00807694">
        <w:rPr>
          <w:sz w:val="24"/>
          <w:szCs w:val="24"/>
        </w:rPr>
        <w:t>the interval between successive garnishments for separate debts exceeds one year WH will</w:t>
      </w:r>
      <w:r w:rsidR="00861808" w:rsidRPr="00807694">
        <w:rPr>
          <w:sz w:val="24"/>
          <w:szCs w:val="24"/>
        </w:rPr>
        <w:t xml:space="preserve"> </w:t>
      </w:r>
      <w:r w:rsidRPr="00807694">
        <w:rPr>
          <w:sz w:val="24"/>
          <w:szCs w:val="24"/>
        </w:rPr>
        <w:t>carefully scrutinize a discharge from employment following the latest garnishment. A</w:t>
      </w:r>
      <w:r w:rsidR="00861808" w:rsidRPr="00807694">
        <w:rPr>
          <w:sz w:val="24"/>
          <w:szCs w:val="24"/>
        </w:rPr>
        <w:t xml:space="preserve"> </w:t>
      </w:r>
      <w:r w:rsidRPr="00807694">
        <w:rPr>
          <w:sz w:val="24"/>
          <w:szCs w:val="24"/>
        </w:rPr>
        <w:t>determinati</w:t>
      </w:r>
      <w:r w:rsidR="00861808" w:rsidRPr="00807694">
        <w:rPr>
          <w:sz w:val="24"/>
          <w:szCs w:val="24"/>
        </w:rPr>
        <w:t>on of whether a violation of sec</w:t>
      </w:r>
      <w:r w:rsidRPr="00807694">
        <w:rPr>
          <w:sz w:val="24"/>
          <w:szCs w:val="24"/>
        </w:rPr>
        <w:t xml:space="preserve"> 304(a) exists must be based on all the facts and</w:t>
      </w:r>
      <w:r w:rsidR="00861808" w:rsidRPr="00807694">
        <w:rPr>
          <w:sz w:val="24"/>
          <w:szCs w:val="24"/>
        </w:rPr>
        <w:t xml:space="preserve"> </w:t>
      </w:r>
      <w:r w:rsidRPr="00807694">
        <w:rPr>
          <w:sz w:val="24"/>
          <w:szCs w:val="24"/>
        </w:rPr>
        <w:t xml:space="preserve">circumstances. (See FOH </w:t>
      </w:r>
      <w:proofErr w:type="gramStart"/>
      <w:r w:rsidRPr="00807694">
        <w:rPr>
          <w:sz w:val="24"/>
          <w:szCs w:val="24"/>
        </w:rPr>
        <w:t>52v13(</w:t>
      </w:r>
      <w:proofErr w:type="gramEnd"/>
      <w:r w:rsidRPr="00807694">
        <w:rPr>
          <w:sz w:val="24"/>
          <w:szCs w:val="24"/>
        </w:rPr>
        <w:t>b)(l).)</w:t>
      </w:r>
    </w:p>
    <w:p w:rsidR="001D5D40" w:rsidRPr="00A55756" w:rsidRDefault="001D5D40" w:rsidP="00A55756">
      <w:pPr>
        <w:spacing w:after="0" w:line="240" w:lineRule="auto"/>
        <w:rPr>
          <w:sz w:val="24"/>
          <w:szCs w:val="24"/>
        </w:rPr>
      </w:pPr>
    </w:p>
    <w:p w:rsidR="002F5B79" w:rsidRPr="00A55756" w:rsidRDefault="001D5D40" w:rsidP="00A55756">
      <w:pPr>
        <w:spacing w:after="0" w:line="240" w:lineRule="auto"/>
        <w:rPr>
          <w:sz w:val="24"/>
          <w:szCs w:val="24"/>
        </w:rPr>
      </w:pPr>
      <w:proofErr w:type="gramStart"/>
      <w:r w:rsidRPr="00B30B96">
        <w:rPr>
          <w:rFonts w:eastAsia="Times New Roman"/>
          <w:b/>
          <w:bCs/>
          <w:sz w:val="24"/>
          <w:szCs w:val="28"/>
        </w:rPr>
        <w:t>16c</w:t>
      </w:r>
      <w:r w:rsidR="002F5B79" w:rsidRPr="00B30B96">
        <w:rPr>
          <w:rFonts w:eastAsia="Times New Roman"/>
          <w:b/>
          <w:bCs/>
          <w:sz w:val="24"/>
          <w:szCs w:val="28"/>
        </w:rPr>
        <w:t>04</w:t>
      </w:r>
      <w:r w:rsidR="00B30B96" w:rsidRPr="00B30B96">
        <w:rPr>
          <w:rFonts w:eastAsia="Times New Roman"/>
          <w:b/>
          <w:bCs/>
          <w:sz w:val="24"/>
          <w:szCs w:val="28"/>
        </w:rPr>
        <w:t xml:space="preserve"> - </w:t>
      </w:r>
      <w:r w:rsidR="002F5B79" w:rsidRPr="00B30B96">
        <w:rPr>
          <w:rFonts w:eastAsia="Times New Roman"/>
          <w:b/>
          <w:bCs/>
          <w:sz w:val="24"/>
          <w:szCs w:val="28"/>
        </w:rPr>
        <w:t>Discharge - suspension, demotion and/or transfer.</w:t>
      </w:r>
      <w:proofErr w:type="gramEnd"/>
    </w:p>
    <w:p w:rsidR="001D5D40" w:rsidRPr="00A55756" w:rsidRDefault="001D5D40" w:rsidP="00A55756">
      <w:pPr>
        <w:spacing w:after="0" w:line="240" w:lineRule="auto"/>
        <w:rPr>
          <w:sz w:val="24"/>
          <w:szCs w:val="24"/>
        </w:rPr>
      </w:pPr>
    </w:p>
    <w:p w:rsidR="00807694" w:rsidRDefault="002F5B79" w:rsidP="00807694">
      <w:pPr>
        <w:pStyle w:val="ListParagraph"/>
        <w:numPr>
          <w:ilvl w:val="0"/>
          <w:numId w:val="14"/>
        </w:numPr>
        <w:spacing w:after="0" w:line="240" w:lineRule="auto"/>
        <w:rPr>
          <w:sz w:val="24"/>
          <w:szCs w:val="24"/>
        </w:rPr>
      </w:pPr>
      <w:r w:rsidRPr="00807694">
        <w:rPr>
          <w:sz w:val="24"/>
          <w:szCs w:val="24"/>
        </w:rPr>
        <w:t>Although the protection provided by se</w:t>
      </w:r>
      <w:r w:rsidR="001D5D40" w:rsidRPr="00807694">
        <w:rPr>
          <w:sz w:val="24"/>
          <w:szCs w:val="24"/>
        </w:rPr>
        <w:t>c</w:t>
      </w:r>
      <w:r w:rsidRPr="00807694">
        <w:rPr>
          <w:sz w:val="24"/>
          <w:szCs w:val="24"/>
        </w:rPr>
        <w:t xml:space="preserve"> 304 is limited to discharge, a suspension for an</w:t>
      </w:r>
      <w:r w:rsidR="001D5D40" w:rsidRPr="00807694">
        <w:rPr>
          <w:sz w:val="24"/>
          <w:szCs w:val="24"/>
        </w:rPr>
        <w:t xml:space="preserve"> </w:t>
      </w:r>
      <w:r w:rsidRPr="00807694">
        <w:rPr>
          <w:sz w:val="24"/>
          <w:szCs w:val="24"/>
        </w:rPr>
        <w:t>indefinite period or for so long that the employe</w:t>
      </w:r>
      <w:r w:rsidR="001D5D40" w:rsidRPr="00807694">
        <w:rPr>
          <w:sz w:val="24"/>
          <w:szCs w:val="24"/>
        </w:rPr>
        <w:t xml:space="preserve">e’s return to duty is unlikely </w:t>
      </w:r>
      <w:r w:rsidRPr="00807694">
        <w:rPr>
          <w:sz w:val="24"/>
          <w:szCs w:val="24"/>
        </w:rPr>
        <w:t>may be</w:t>
      </w:r>
      <w:r w:rsidR="001D5D40" w:rsidRPr="00807694">
        <w:rPr>
          <w:sz w:val="24"/>
          <w:szCs w:val="24"/>
        </w:rPr>
        <w:t xml:space="preserve"> </w:t>
      </w:r>
      <w:r w:rsidRPr="00807694">
        <w:rPr>
          <w:sz w:val="24"/>
          <w:szCs w:val="24"/>
        </w:rPr>
        <w:t>considered tantamount to a discharge. A careful examination of all the facts in a particular</w:t>
      </w:r>
      <w:r w:rsidR="001D5D40" w:rsidRPr="00807694">
        <w:rPr>
          <w:sz w:val="24"/>
          <w:szCs w:val="24"/>
        </w:rPr>
        <w:t xml:space="preserve"> </w:t>
      </w:r>
      <w:r w:rsidRPr="00807694">
        <w:rPr>
          <w:sz w:val="24"/>
          <w:szCs w:val="24"/>
        </w:rPr>
        <w:t>case is needed to determine if the limitation on discharge provision applies to a particular</w:t>
      </w:r>
      <w:r w:rsidR="001D5D40" w:rsidRPr="00807694">
        <w:rPr>
          <w:sz w:val="24"/>
          <w:szCs w:val="24"/>
        </w:rPr>
        <w:t xml:space="preserve"> </w:t>
      </w:r>
      <w:r w:rsidRPr="00807694">
        <w:rPr>
          <w:sz w:val="24"/>
          <w:szCs w:val="24"/>
        </w:rPr>
        <w:t>suspension action. A suspension would not be considered a discharge, if the employee can</w:t>
      </w:r>
      <w:r w:rsidR="001D5D40" w:rsidRPr="00807694">
        <w:rPr>
          <w:sz w:val="24"/>
          <w:szCs w:val="24"/>
        </w:rPr>
        <w:t xml:space="preserve"> </w:t>
      </w:r>
      <w:r w:rsidRPr="00807694">
        <w:rPr>
          <w:sz w:val="24"/>
          <w:szCs w:val="24"/>
        </w:rPr>
        <w:t>obtain the funds necessary to satisfy the garnishment or can otherwise secure a release from</w:t>
      </w:r>
      <w:r w:rsidR="001D5D40" w:rsidRPr="00807694">
        <w:rPr>
          <w:sz w:val="24"/>
          <w:szCs w:val="24"/>
        </w:rPr>
        <w:t xml:space="preserve"> </w:t>
      </w:r>
      <w:r w:rsidRPr="00807694">
        <w:rPr>
          <w:sz w:val="24"/>
          <w:szCs w:val="24"/>
        </w:rPr>
        <w:t>the garnishment. However, a suspension action may be a “discharge” within the meaning of</w:t>
      </w:r>
      <w:r w:rsidR="001D5D40" w:rsidRPr="00807694">
        <w:rPr>
          <w:sz w:val="24"/>
          <w:szCs w:val="24"/>
        </w:rPr>
        <w:t xml:space="preserve"> sec</w:t>
      </w:r>
      <w:r w:rsidRPr="00807694">
        <w:rPr>
          <w:sz w:val="24"/>
          <w:szCs w:val="24"/>
        </w:rPr>
        <w:t xml:space="preserve"> 304(a), if the employee is unable to secure a release or obtain funds to satisfy the</w:t>
      </w:r>
      <w:r w:rsidR="001D5D40" w:rsidRPr="00807694">
        <w:rPr>
          <w:sz w:val="24"/>
          <w:szCs w:val="24"/>
        </w:rPr>
        <w:t xml:space="preserve"> </w:t>
      </w:r>
      <w:r w:rsidRPr="00807694">
        <w:rPr>
          <w:sz w:val="24"/>
          <w:szCs w:val="24"/>
        </w:rPr>
        <w:t>garnishment and is no longer in pay status to enable the earning of wages to apply against the</w:t>
      </w:r>
      <w:r w:rsidR="001D5D40" w:rsidRPr="00807694">
        <w:rPr>
          <w:sz w:val="24"/>
          <w:szCs w:val="24"/>
        </w:rPr>
        <w:t xml:space="preserve"> </w:t>
      </w:r>
      <w:r w:rsidRPr="00807694">
        <w:rPr>
          <w:sz w:val="24"/>
          <w:szCs w:val="24"/>
        </w:rPr>
        <w:t>debt (See FOH 52v13(b)(2).)</w:t>
      </w:r>
    </w:p>
    <w:p w:rsidR="00807694" w:rsidRDefault="00807694" w:rsidP="00807694">
      <w:pPr>
        <w:pStyle w:val="ListParagraph"/>
        <w:spacing w:after="0" w:line="240" w:lineRule="auto"/>
        <w:rPr>
          <w:sz w:val="24"/>
          <w:szCs w:val="24"/>
        </w:rPr>
      </w:pPr>
    </w:p>
    <w:p w:rsidR="00807694" w:rsidRDefault="002F5B79" w:rsidP="00807694">
      <w:pPr>
        <w:pStyle w:val="ListParagraph"/>
        <w:numPr>
          <w:ilvl w:val="0"/>
          <w:numId w:val="14"/>
        </w:numPr>
        <w:spacing w:after="0" w:line="240" w:lineRule="auto"/>
        <w:rPr>
          <w:sz w:val="24"/>
          <w:szCs w:val="24"/>
        </w:rPr>
      </w:pPr>
      <w:r w:rsidRPr="00807694">
        <w:rPr>
          <w:sz w:val="24"/>
          <w:szCs w:val="24"/>
        </w:rPr>
        <w:t>The term “discharge” is interpreted to include any adverse action that interrupts employment</w:t>
      </w:r>
      <w:r w:rsidR="001D5D40" w:rsidRPr="00807694">
        <w:rPr>
          <w:sz w:val="24"/>
          <w:szCs w:val="24"/>
        </w:rPr>
        <w:t xml:space="preserve"> </w:t>
      </w:r>
      <w:r w:rsidRPr="00807694">
        <w:rPr>
          <w:sz w:val="24"/>
          <w:szCs w:val="24"/>
        </w:rPr>
        <w:t>to the degree that a prudent employee would look for another job. A long suspension is</w:t>
      </w:r>
      <w:r w:rsidR="001D5D40" w:rsidRPr="00807694">
        <w:rPr>
          <w:sz w:val="24"/>
          <w:szCs w:val="24"/>
        </w:rPr>
        <w:t xml:space="preserve"> </w:t>
      </w:r>
      <w:r w:rsidRPr="00807694">
        <w:rPr>
          <w:sz w:val="24"/>
          <w:szCs w:val="24"/>
        </w:rPr>
        <w:t>considered tantamount to a termination of employment, and thus a “discharge” within the</w:t>
      </w:r>
      <w:r w:rsidR="001D5D40" w:rsidRPr="00807694">
        <w:rPr>
          <w:sz w:val="24"/>
          <w:szCs w:val="24"/>
        </w:rPr>
        <w:t xml:space="preserve"> meaning of sec </w:t>
      </w:r>
      <w:r w:rsidRPr="00807694">
        <w:rPr>
          <w:sz w:val="24"/>
          <w:szCs w:val="24"/>
        </w:rPr>
        <w:t>304(a). For example, if an employer disciplines an employee by a series of</w:t>
      </w:r>
      <w:r w:rsidR="001D5D40" w:rsidRPr="00807694">
        <w:rPr>
          <w:sz w:val="24"/>
          <w:szCs w:val="24"/>
        </w:rPr>
        <w:t xml:space="preserve"> </w:t>
      </w:r>
      <w:r w:rsidRPr="00807694">
        <w:rPr>
          <w:sz w:val="24"/>
          <w:szCs w:val="24"/>
        </w:rPr>
        <w:t>gradually increased suspensions of several days duration following subsequent garnishments</w:t>
      </w:r>
      <w:r w:rsidR="001D5D40" w:rsidRPr="00807694">
        <w:rPr>
          <w:sz w:val="24"/>
          <w:szCs w:val="24"/>
        </w:rPr>
        <w:t xml:space="preserve"> </w:t>
      </w:r>
      <w:r w:rsidRPr="00807694">
        <w:rPr>
          <w:sz w:val="24"/>
          <w:szCs w:val="24"/>
        </w:rPr>
        <w:t>on the same indebtedness, it co</w:t>
      </w:r>
      <w:r w:rsidR="001D5D40" w:rsidRPr="00807694">
        <w:rPr>
          <w:sz w:val="24"/>
          <w:szCs w:val="24"/>
        </w:rPr>
        <w:t>uld result in a violation of sec</w:t>
      </w:r>
      <w:r w:rsidRPr="00807694">
        <w:rPr>
          <w:sz w:val="24"/>
          <w:szCs w:val="24"/>
        </w:rPr>
        <w:t xml:space="preserve"> 304(a). Even where a</w:t>
      </w:r>
      <w:r w:rsidR="004F47E5" w:rsidRPr="00807694">
        <w:rPr>
          <w:sz w:val="24"/>
          <w:szCs w:val="24"/>
        </w:rPr>
        <w:t xml:space="preserve"> </w:t>
      </w:r>
      <w:r w:rsidRPr="00807694">
        <w:rPr>
          <w:sz w:val="24"/>
          <w:szCs w:val="24"/>
        </w:rPr>
        <w:t>suspension is five or ten days long, the circumstances may indicate that a discharge in</w:t>
      </w:r>
      <w:r w:rsidR="004F47E5" w:rsidRPr="00807694">
        <w:rPr>
          <w:sz w:val="24"/>
          <w:szCs w:val="24"/>
        </w:rPr>
        <w:t xml:space="preserve"> </w:t>
      </w:r>
      <w:r w:rsidRPr="00807694">
        <w:rPr>
          <w:sz w:val="24"/>
          <w:szCs w:val="24"/>
        </w:rPr>
        <w:t>viola</w:t>
      </w:r>
      <w:r w:rsidR="004F47E5" w:rsidRPr="00807694">
        <w:rPr>
          <w:sz w:val="24"/>
          <w:szCs w:val="24"/>
        </w:rPr>
        <w:t xml:space="preserve">tion of sec </w:t>
      </w:r>
      <w:r w:rsidRPr="00807694">
        <w:rPr>
          <w:sz w:val="24"/>
          <w:szCs w:val="24"/>
        </w:rPr>
        <w:t>304(a) exists.</w:t>
      </w:r>
    </w:p>
    <w:p w:rsidR="00807694" w:rsidRPr="00807694" w:rsidRDefault="00807694" w:rsidP="00807694">
      <w:pPr>
        <w:pStyle w:val="ListParagraph"/>
        <w:rPr>
          <w:sz w:val="24"/>
          <w:szCs w:val="24"/>
        </w:rPr>
      </w:pPr>
    </w:p>
    <w:p w:rsidR="002F5B79" w:rsidRPr="00807694" w:rsidRDefault="002F5B79" w:rsidP="00807694">
      <w:pPr>
        <w:pStyle w:val="ListParagraph"/>
        <w:numPr>
          <w:ilvl w:val="0"/>
          <w:numId w:val="14"/>
        </w:numPr>
        <w:spacing w:after="0" w:line="240" w:lineRule="auto"/>
        <w:rPr>
          <w:sz w:val="24"/>
          <w:szCs w:val="24"/>
        </w:rPr>
      </w:pPr>
      <w:r w:rsidRPr="00807694">
        <w:rPr>
          <w:sz w:val="24"/>
          <w:szCs w:val="24"/>
        </w:rPr>
        <w:t>A demotion and/or transfer based wholly or in part on a single garnishment is constructively a</w:t>
      </w:r>
      <w:r w:rsidR="004F47E5" w:rsidRPr="00807694">
        <w:rPr>
          <w:sz w:val="24"/>
          <w:szCs w:val="24"/>
        </w:rPr>
        <w:t xml:space="preserve"> </w:t>
      </w:r>
      <w:r w:rsidRPr="00807694">
        <w:rPr>
          <w:sz w:val="24"/>
          <w:szCs w:val="24"/>
        </w:rPr>
        <w:t>discharg</w:t>
      </w:r>
      <w:r w:rsidR="004F47E5" w:rsidRPr="00807694">
        <w:rPr>
          <w:sz w:val="24"/>
          <w:szCs w:val="24"/>
        </w:rPr>
        <w:t>e in violation of sec</w:t>
      </w:r>
      <w:r w:rsidRPr="00807694">
        <w:rPr>
          <w:sz w:val="24"/>
          <w:szCs w:val="24"/>
        </w:rPr>
        <w:t xml:space="preserve"> 304(a). A reasonable interpretation of the effect of transferring a</w:t>
      </w:r>
      <w:r w:rsidR="004F47E5" w:rsidRPr="00807694">
        <w:rPr>
          <w:sz w:val="24"/>
          <w:szCs w:val="24"/>
        </w:rPr>
        <w:t xml:space="preserve"> </w:t>
      </w:r>
      <w:r w:rsidRPr="00807694">
        <w:rPr>
          <w:sz w:val="24"/>
          <w:szCs w:val="24"/>
        </w:rPr>
        <w:t>person to a position paying less money is that of a discharge.</w:t>
      </w:r>
    </w:p>
    <w:p w:rsidR="004F47E5" w:rsidRPr="00A55756" w:rsidRDefault="004F47E5" w:rsidP="00A55756">
      <w:pPr>
        <w:spacing w:after="0" w:line="240" w:lineRule="auto"/>
        <w:rPr>
          <w:sz w:val="24"/>
          <w:szCs w:val="24"/>
        </w:rPr>
      </w:pPr>
    </w:p>
    <w:p w:rsidR="002F5B79" w:rsidRPr="00A55756" w:rsidRDefault="004F47E5" w:rsidP="00A55756">
      <w:pPr>
        <w:spacing w:after="0" w:line="240" w:lineRule="auto"/>
        <w:rPr>
          <w:sz w:val="24"/>
          <w:szCs w:val="24"/>
        </w:rPr>
      </w:pPr>
      <w:proofErr w:type="gramStart"/>
      <w:r w:rsidRPr="00B30B96">
        <w:rPr>
          <w:rFonts w:eastAsia="Times New Roman"/>
          <w:b/>
          <w:bCs/>
          <w:sz w:val="24"/>
          <w:szCs w:val="28"/>
        </w:rPr>
        <w:t>16c</w:t>
      </w:r>
      <w:r w:rsidR="002F5B79" w:rsidRPr="00B30B96">
        <w:rPr>
          <w:rFonts w:eastAsia="Times New Roman"/>
          <w:b/>
          <w:bCs/>
          <w:sz w:val="24"/>
          <w:szCs w:val="28"/>
        </w:rPr>
        <w:t>05</w:t>
      </w:r>
      <w:r w:rsidR="00B30B96" w:rsidRPr="00B30B96">
        <w:rPr>
          <w:rFonts w:eastAsia="Times New Roman"/>
          <w:b/>
          <w:bCs/>
          <w:sz w:val="24"/>
          <w:szCs w:val="28"/>
        </w:rPr>
        <w:t xml:space="preserve"> - </w:t>
      </w:r>
      <w:r w:rsidR="002F5B79" w:rsidRPr="00B30B96">
        <w:rPr>
          <w:rFonts w:eastAsia="Times New Roman"/>
          <w:b/>
          <w:bCs/>
          <w:sz w:val="24"/>
          <w:szCs w:val="28"/>
        </w:rPr>
        <w:t>Filing bankruptcy.</w:t>
      </w:r>
      <w:proofErr w:type="gramEnd"/>
    </w:p>
    <w:p w:rsidR="004F47E5" w:rsidRPr="00A55756" w:rsidRDefault="004F47E5" w:rsidP="00A55756">
      <w:pPr>
        <w:spacing w:after="0" w:line="240" w:lineRule="auto"/>
        <w:rPr>
          <w:sz w:val="24"/>
          <w:szCs w:val="24"/>
        </w:rPr>
      </w:pPr>
    </w:p>
    <w:p w:rsidR="002F5B79" w:rsidRPr="00807694" w:rsidRDefault="004F47E5" w:rsidP="00807694">
      <w:pPr>
        <w:pStyle w:val="ListParagraph"/>
        <w:spacing w:after="0" w:line="240" w:lineRule="auto"/>
        <w:rPr>
          <w:sz w:val="24"/>
          <w:szCs w:val="24"/>
        </w:rPr>
      </w:pPr>
      <w:r w:rsidRPr="00807694">
        <w:rPr>
          <w:sz w:val="24"/>
          <w:szCs w:val="24"/>
        </w:rPr>
        <w:t>Sec</w:t>
      </w:r>
      <w:r w:rsidR="002F5B79" w:rsidRPr="00807694">
        <w:rPr>
          <w:sz w:val="24"/>
          <w:szCs w:val="24"/>
        </w:rPr>
        <w:t xml:space="preserve"> 304 does not apply to the filing of bankruptcy proceedings. Therefore, an employer is not</w:t>
      </w:r>
      <w:r w:rsidRPr="00807694">
        <w:rPr>
          <w:sz w:val="24"/>
          <w:szCs w:val="24"/>
        </w:rPr>
        <w:t xml:space="preserve"> </w:t>
      </w:r>
      <w:r w:rsidR="002F5B79" w:rsidRPr="00807694">
        <w:rPr>
          <w:sz w:val="24"/>
          <w:szCs w:val="24"/>
        </w:rPr>
        <w:t>restricted under the CCPA from discharging an employee for filing bankruptcy. Section 525</w:t>
      </w:r>
      <w:r w:rsidRPr="00807694">
        <w:rPr>
          <w:sz w:val="24"/>
          <w:szCs w:val="24"/>
        </w:rPr>
        <w:t xml:space="preserve"> </w:t>
      </w:r>
      <w:r w:rsidR="002F5B79" w:rsidRPr="00807694">
        <w:rPr>
          <w:sz w:val="24"/>
          <w:szCs w:val="24"/>
        </w:rPr>
        <w:t>of the Bankruptcy Act contains protections from discriminatory treatment due to the filing of</w:t>
      </w:r>
      <w:r w:rsidRPr="00807694">
        <w:rPr>
          <w:sz w:val="24"/>
          <w:szCs w:val="24"/>
        </w:rPr>
        <w:t xml:space="preserve"> </w:t>
      </w:r>
      <w:r w:rsidR="002F5B79" w:rsidRPr="00807694">
        <w:rPr>
          <w:sz w:val="24"/>
          <w:szCs w:val="24"/>
        </w:rPr>
        <w:t>bankruptcy. WH has no authority to enforce the provisions of the Bankruptcy Act.</w:t>
      </w:r>
    </w:p>
    <w:p w:rsidR="004F47E5" w:rsidRPr="00A55756" w:rsidRDefault="004F47E5" w:rsidP="00A55756">
      <w:pPr>
        <w:spacing w:after="0" w:line="240" w:lineRule="auto"/>
        <w:rPr>
          <w:sz w:val="24"/>
          <w:szCs w:val="24"/>
        </w:rPr>
      </w:pPr>
    </w:p>
    <w:p w:rsidR="002F5B79" w:rsidRPr="00B30B96" w:rsidRDefault="004F47E5" w:rsidP="00A55756">
      <w:pPr>
        <w:spacing w:after="0" w:line="240" w:lineRule="auto"/>
        <w:rPr>
          <w:rFonts w:eastAsia="Times New Roman"/>
          <w:b/>
          <w:bCs/>
          <w:sz w:val="24"/>
          <w:szCs w:val="28"/>
        </w:rPr>
      </w:pPr>
      <w:proofErr w:type="gramStart"/>
      <w:r w:rsidRPr="00B30B96">
        <w:rPr>
          <w:rFonts w:eastAsia="Times New Roman"/>
          <w:b/>
          <w:bCs/>
          <w:sz w:val="24"/>
          <w:szCs w:val="28"/>
        </w:rPr>
        <w:t>16c0</w:t>
      </w:r>
      <w:r w:rsidR="002F5B79" w:rsidRPr="00B30B96">
        <w:rPr>
          <w:rFonts w:eastAsia="Times New Roman"/>
          <w:b/>
          <w:bCs/>
          <w:sz w:val="24"/>
          <w:szCs w:val="28"/>
        </w:rPr>
        <w:t>6</w:t>
      </w:r>
      <w:r w:rsidR="00B30B96" w:rsidRPr="00B30B96">
        <w:rPr>
          <w:rFonts w:eastAsia="Times New Roman"/>
          <w:b/>
          <w:bCs/>
          <w:sz w:val="24"/>
          <w:szCs w:val="28"/>
        </w:rPr>
        <w:t xml:space="preserve"> - </w:t>
      </w:r>
      <w:r w:rsidR="002F5B79" w:rsidRPr="00B30B96">
        <w:rPr>
          <w:rFonts w:eastAsia="Times New Roman"/>
          <w:b/>
          <w:bCs/>
          <w:sz w:val="24"/>
          <w:szCs w:val="28"/>
        </w:rPr>
        <w:t>Statute of limitations.</w:t>
      </w:r>
      <w:proofErr w:type="gramEnd"/>
    </w:p>
    <w:p w:rsidR="004F47E5" w:rsidRPr="00A55756" w:rsidRDefault="004F47E5" w:rsidP="00A55756">
      <w:pPr>
        <w:spacing w:after="0" w:line="240" w:lineRule="auto"/>
        <w:rPr>
          <w:sz w:val="24"/>
          <w:szCs w:val="24"/>
        </w:rPr>
      </w:pPr>
    </w:p>
    <w:p w:rsidR="00807694" w:rsidRDefault="002F5B79" w:rsidP="00807694">
      <w:pPr>
        <w:pStyle w:val="ListParagraph"/>
        <w:numPr>
          <w:ilvl w:val="0"/>
          <w:numId w:val="15"/>
        </w:numPr>
        <w:spacing w:after="0" w:line="240" w:lineRule="auto"/>
        <w:rPr>
          <w:sz w:val="24"/>
          <w:szCs w:val="24"/>
        </w:rPr>
      </w:pPr>
      <w:r w:rsidRPr="00807694">
        <w:rPr>
          <w:sz w:val="24"/>
          <w:szCs w:val="24"/>
        </w:rPr>
        <w:t>The CCPA does not prescribe any time limit during which an improperly discharged employee</w:t>
      </w:r>
      <w:r w:rsidR="004F47E5" w:rsidRPr="00807694">
        <w:rPr>
          <w:sz w:val="24"/>
          <w:szCs w:val="24"/>
        </w:rPr>
        <w:t xml:space="preserve"> </w:t>
      </w:r>
      <w:r w:rsidRPr="00807694">
        <w:rPr>
          <w:sz w:val="24"/>
          <w:szCs w:val="24"/>
        </w:rPr>
        <w:t xml:space="preserve">or the DOL must </w:t>
      </w:r>
      <w:r w:rsidR="004F47E5" w:rsidRPr="00807694">
        <w:rPr>
          <w:sz w:val="24"/>
          <w:szCs w:val="24"/>
        </w:rPr>
        <w:t>file a complaint pursuant to sec</w:t>
      </w:r>
      <w:r w:rsidRPr="00807694">
        <w:rPr>
          <w:sz w:val="24"/>
          <w:szCs w:val="24"/>
        </w:rPr>
        <w:t xml:space="preserve"> 304. In any </w:t>
      </w:r>
      <w:r w:rsidR="004F47E5" w:rsidRPr="00807694">
        <w:rPr>
          <w:sz w:val="24"/>
          <w:szCs w:val="24"/>
        </w:rPr>
        <w:t xml:space="preserve">case instituted solely under sec </w:t>
      </w:r>
      <w:r w:rsidRPr="00807694">
        <w:rPr>
          <w:sz w:val="24"/>
          <w:szCs w:val="24"/>
        </w:rPr>
        <w:t>304(a), the relief sought is elimination of the adverse effects of the unlawful action and redress</w:t>
      </w:r>
      <w:r w:rsidR="004F47E5" w:rsidRPr="00807694">
        <w:rPr>
          <w:sz w:val="24"/>
          <w:szCs w:val="24"/>
        </w:rPr>
        <w:t xml:space="preserve"> </w:t>
      </w:r>
      <w:r w:rsidRPr="00807694">
        <w:rPr>
          <w:sz w:val="24"/>
          <w:szCs w:val="24"/>
        </w:rPr>
        <w:t>of the employee’s rights by such means as attaining restoration to the same employment held</w:t>
      </w:r>
      <w:r w:rsidR="004F47E5" w:rsidRPr="00807694">
        <w:rPr>
          <w:sz w:val="24"/>
          <w:szCs w:val="24"/>
        </w:rPr>
        <w:t xml:space="preserve"> </w:t>
      </w:r>
      <w:r w:rsidRPr="00807694">
        <w:rPr>
          <w:sz w:val="24"/>
          <w:szCs w:val="24"/>
        </w:rPr>
        <w:t>before wrongful discharge and restitution of the wages and benefits lost as a result of the</w:t>
      </w:r>
      <w:r w:rsidR="004F47E5" w:rsidRPr="00807694">
        <w:rPr>
          <w:sz w:val="24"/>
          <w:szCs w:val="24"/>
        </w:rPr>
        <w:t xml:space="preserve"> </w:t>
      </w:r>
      <w:r w:rsidRPr="00807694">
        <w:rPr>
          <w:sz w:val="24"/>
          <w:szCs w:val="24"/>
        </w:rPr>
        <w:t>illegal discharge. Such relief is equitable in nature.</w:t>
      </w:r>
    </w:p>
    <w:p w:rsidR="00807694" w:rsidRDefault="00807694" w:rsidP="00807694">
      <w:pPr>
        <w:pStyle w:val="ListParagraph"/>
        <w:spacing w:after="0" w:line="240" w:lineRule="auto"/>
        <w:rPr>
          <w:sz w:val="24"/>
          <w:szCs w:val="24"/>
        </w:rPr>
      </w:pPr>
    </w:p>
    <w:p w:rsidR="002F5B79" w:rsidRPr="00807694" w:rsidRDefault="002F5B79" w:rsidP="00807694">
      <w:pPr>
        <w:pStyle w:val="ListParagraph"/>
        <w:numPr>
          <w:ilvl w:val="0"/>
          <w:numId w:val="15"/>
        </w:numPr>
        <w:spacing w:after="0" w:line="240" w:lineRule="auto"/>
        <w:rPr>
          <w:sz w:val="24"/>
          <w:szCs w:val="24"/>
        </w:rPr>
      </w:pPr>
      <w:r w:rsidRPr="00807694">
        <w:rPr>
          <w:sz w:val="24"/>
          <w:szCs w:val="24"/>
        </w:rPr>
        <w:t>In an equitable action, the employee’s neglect or omission to assert a right is to be considered</w:t>
      </w:r>
      <w:r w:rsidR="004F47E5" w:rsidRPr="00807694">
        <w:rPr>
          <w:sz w:val="24"/>
          <w:szCs w:val="24"/>
        </w:rPr>
        <w:t xml:space="preserve"> </w:t>
      </w:r>
      <w:r w:rsidRPr="00807694">
        <w:rPr>
          <w:sz w:val="24"/>
          <w:szCs w:val="24"/>
        </w:rPr>
        <w:t>in terms of whether there has been not mere delay but an inexcusable one prejudicial to the</w:t>
      </w:r>
      <w:r w:rsidR="004F47E5" w:rsidRPr="00807694">
        <w:rPr>
          <w:sz w:val="24"/>
          <w:szCs w:val="24"/>
        </w:rPr>
        <w:t xml:space="preserve"> </w:t>
      </w:r>
      <w:r w:rsidRPr="00807694">
        <w:rPr>
          <w:sz w:val="24"/>
          <w:szCs w:val="24"/>
        </w:rPr>
        <w:t>employer. Delay operates as a bar against the assertion of rights provided the employee</w:t>
      </w:r>
      <w:r w:rsidR="004F47E5" w:rsidRPr="00807694">
        <w:rPr>
          <w:sz w:val="24"/>
          <w:szCs w:val="24"/>
        </w:rPr>
        <w:t xml:space="preserve"> </w:t>
      </w:r>
      <w:r w:rsidRPr="00807694">
        <w:rPr>
          <w:sz w:val="24"/>
          <w:szCs w:val="24"/>
        </w:rPr>
        <w:t>knows of them and takes no steps to enforce them until the condition of the employer, in good</w:t>
      </w:r>
      <w:r w:rsidR="004F47E5" w:rsidRPr="00807694">
        <w:rPr>
          <w:sz w:val="24"/>
          <w:szCs w:val="24"/>
        </w:rPr>
        <w:t xml:space="preserve"> </w:t>
      </w:r>
      <w:r w:rsidRPr="00807694">
        <w:rPr>
          <w:sz w:val="24"/>
          <w:szCs w:val="24"/>
        </w:rPr>
        <w:t>faith, becomes so changed that restoration to the employee’s former state is impossible or</w:t>
      </w:r>
      <w:r w:rsidR="004F47E5" w:rsidRPr="00807694">
        <w:rPr>
          <w:sz w:val="24"/>
          <w:szCs w:val="24"/>
        </w:rPr>
        <w:t xml:space="preserve"> </w:t>
      </w:r>
      <w:r w:rsidRPr="00807694">
        <w:rPr>
          <w:sz w:val="24"/>
          <w:szCs w:val="24"/>
        </w:rPr>
        <w:t>where witnesses and records necessary to the employer’s defense are no longer available.</w:t>
      </w:r>
      <w:r w:rsidR="001E557F" w:rsidRPr="00807694">
        <w:rPr>
          <w:sz w:val="24"/>
          <w:szCs w:val="24"/>
        </w:rPr>
        <w:t xml:space="preserve"> </w:t>
      </w:r>
      <w:r w:rsidRPr="00807694">
        <w:rPr>
          <w:sz w:val="24"/>
          <w:szCs w:val="24"/>
        </w:rPr>
        <w:t>These are considerations in applying the general rule that persons who seek the aid of equity</w:t>
      </w:r>
      <w:r w:rsidR="001E557F" w:rsidRPr="00807694">
        <w:rPr>
          <w:sz w:val="24"/>
          <w:szCs w:val="24"/>
        </w:rPr>
        <w:t xml:space="preserve"> </w:t>
      </w:r>
      <w:r w:rsidRPr="00807694">
        <w:rPr>
          <w:sz w:val="24"/>
          <w:szCs w:val="24"/>
        </w:rPr>
        <w:t>must show the use of reasonable diligence in asserting their rights and demanding their</w:t>
      </w:r>
      <w:r w:rsidR="001E557F" w:rsidRPr="00807694">
        <w:rPr>
          <w:sz w:val="24"/>
          <w:szCs w:val="24"/>
        </w:rPr>
        <w:t xml:space="preserve"> </w:t>
      </w:r>
      <w:r w:rsidRPr="00807694">
        <w:rPr>
          <w:sz w:val="24"/>
          <w:szCs w:val="24"/>
        </w:rPr>
        <w:t>protection. Inexcusable delay by the employee and consequent detriment to the employer will</w:t>
      </w:r>
      <w:r w:rsidR="001E557F" w:rsidRPr="00807694">
        <w:rPr>
          <w:sz w:val="24"/>
          <w:szCs w:val="24"/>
        </w:rPr>
        <w:t xml:space="preserve"> </w:t>
      </w:r>
      <w:r w:rsidRPr="00807694">
        <w:rPr>
          <w:sz w:val="24"/>
          <w:szCs w:val="24"/>
        </w:rPr>
        <w:t xml:space="preserve">generally prove a bar to the exercise of equity jurisdiction. (See FOH </w:t>
      </w:r>
      <w:proofErr w:type="gramStart"/>
      <w:r w:rsidRPr="00807694">
        <w:rPr>
          <w:sz w:val="24"/>
          <w:szCs w:val="24"/>
        </w:rPr>
        <w:t>52v13(</w:t>
      </w:r>
      <w:proofErr w:type="gramEnd"/>
      <w:r w:rsidRPr="00807694">
        <w:rPr>
          <w:sz w:val="24"/>
          <w:szCs w:val="24"/>
        </w:rPr>
        <w:t>b)(5).)</w:t>
      </w:r>
    </w:p>
    <w:p w:rsidR="001E557F" w:rsidRPr="00A55756" w:rsidRDefault="001E557F" w:rsidP="00A55756">
      <w:pPr>
        <w:spacing w:after="0" w:line="240" w:lineRule="auto"/>
        <w:rPr>
          <w:sz w:val="24"/>
          <w:szCs w:val="24"/>
        </w:rPr>
      </w:pPr>
    </w:p>
    <w:p w:rsidR="002F5B79" w:rsidRPr="00A55756" w:rsidRDefault="001E557F" w:rsidP="00A55756">
      <w:pPr>
        <w:spacing w:after="0" w:line="240" w:lineRule="auto"/>
        <w:rPr>
          <w:sz w:val="24"/>
          <w:szCs w:val="24"/>
        </w:rPr>
      </w:pPr>
      <w:r w:rsidRPr="00B30B96">
        <w:rPr>
          <w:rFonts w:eastAsia="Times New Roman"/>
          <w:b/>
          <w:bCs/>
          <w:sz w:val="24"/>
          <w:szCs w:val="28"/>
        </w:rPr>
        <w:t>16c</w:t>
      </w:r>
      <w:r w:rsidR="002F5B79" w:rsidRPr="00B30B96">
        <w:rPr>
          <w:rFonts w:eastAsia="Times New Roman"/>
          <w:b/>
          <w:bCs/>
          <w:sz w:val="24"/>
          <w:szCs w:val="28"/>
        </w:rPr>
        <w:t>07</w:t>
      </w:r>
      <w:r w:rsidR="00B30B96" w:rsidRPr="00B30B96">
        <w:rPr>
          <w:rFonts w:eastAsia="Times New Roman"/>
          <w:b/>
          <w:bCs/>
          <w:sz w:val="24"/>
          <w:szCs w:val="28"/>
        </w:rPr>
        <w:t xml:space="preserve"> - </w:t>
      </w:r>
      <w:r w:rsidR="002F5B79" w:rsidRPr="00B30B96">
        <w:rPr>
          <w:rFonts w:eastAsia="Times New Roman"/>
          <w:b/>
          <w:bCs/>
          <w:sz w:val="24"/>
          <w:szCs w:val="28"/>
        </w:rPr>
        <w:t>Discharge may not be based, either wholly or partly, on a single garnishment.</w:t>
      </w:r>
    </w:p>
    <w:p w:rsidR="001E557F" w:rsidRPr="00A55756" w:rsidRDefault="001E557F" w:rsidP="00A55756">
      <w:pPr>
        <w:spacing w:after="0" w:line="240" w:lineRule="auto"/>
        <w:rPr>
          <w:sz w:val="24"/>
          <w:szCs w:val="24"/>
        </w:rPr>
      </w:pPr>
    </w:p>
    <w:p w:rsidR="008506C4" w:rsidRPr="00807694" w:rsidRDefault="001E557F" w:rsidP="00807694">
      <w:pPr>
        <w:pStyle w:val="ListParagraph"/>
        <w:spacing w:after="0" w:line="240" w:lineRule="auto"/>
        <w:rPr>
          <w:sz w:val="24"/>
          <w:szCs w:val="24"/>
        </w:rPr>
      </w:pPr>
      <w:r w:rsidRPr="00807694">
        <w:rPr>
          <w:sz w:val="24"/>
          <w:szCs w:val="24"/>
        </w:rPr>
        <w:t xml:space="preserve">A violation of sec </w:t>
      </w:r>
      <w:r w:rsidR="002F5B79" w:rsidRPr="00807694">
        <w:rPr>
          <w:sz w:val="24"/>
          <w:szCs w:val="24"/>
        </w:rPr>
        <w:t>304(a) can exist even if garnishment is not the only factor for an employee’s</w:t>
      </w:r>
      <w:r w:rsidRPr="00807694">
        <w:rPr>
          <w:sz w:val="24"/>
          <w:szCs w:val="24"/>
        </w:rPr>
        <w:t xml:space="preserve"> </w:t>
      </w:r>
      <w:r w:rsidR="002F5B79" w:rsidRPr="00807694">
        <w:rPr>
          <w:sz w:val="24"/>
          <w:szCs w:val="24"/>
        </w:rPr>
        <w:t>di</w:t>
      </w:r>
      <w:r w:rsidRPr="00807694">
        <w:rPr>
          <w:sz w:val="24"/>
          <w:szCs w:val="24"/>
        </w:rPr>
        <w:t>scharge. Thus, WH interprets sec</w:t>
      </w:r>
      <w:r w:rsidR="002F5B79" w:rsidRPr="00807694">
        <w:rPr>
          <w:sz w:val="24"/>
          <w:szCs w:val="24"/>
        </w:rPr>
        <w:t xml:space="preserve"> 304(a) to mean that only where garnishment for a single</w:t>
      </w:r>
      <w:r w:rsidRPr="00807694">
        <w:rPr>
          <w:sz w:val="24"/>
          <w:szCs w:val="24"/>
        </w:rPr>
        <w:t xml:space="preserve"> </w:t>
      </w:r>
      <w:r w:rsidR="002F5B79" w:rsidRPr="00807694">
        <w:rPr>
          <w:sz w:val="24"/>
          <w:szCs w:val="24"/>
        </w:rPr>
        <w:t>indebtedness plays no real part in the discharge is it beyond the prohibition of the Act.</w:t>
      </w:r>
    </w:p>
    <w:sectPr w:rsidR="008506C4" w:rsidRPr="00807694" w:rsidSect="00ED73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622" w:rsidRDefault="000D5622">
      <w:r>
        <w:separator/>
      </w:r>
    </w:p>
  </w:endnote>
  <w:endnote w:type="continuationSeparator" w:id="0">
    <w:p w:rsidR="000D5622" w:rsidRDefault="000D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622" w:rsidRDefault="000D5622">
      <w:r>
        <w:separator/>
      </w:r>
    </w:p>
  </w:footnote>
  <w:footnote w:type="continuationSeparator" w:id="0">
    <w:p w:rsidR="000D5622" w:rsidRDefault="000D5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55" w:rsidRPr="00807694" w:rsidRDefault="00807694" w:rsidP="00807694">
    <w:pPr>
      <w:pStyle w:val="Header"/>
    </w:pPr>
    <w:r>
      <w:t>Rev. 644 – 02/09/2001</w:t>
    </w:r>
    <w:r>
      <w:ptab w:relativeTo="margin" w:alignment="center" w:leader="none"/>
    </w:r>
    <w:r>
      <w:t>FIELD OPERATIONS HANDBOOK</w:t>
    </w:r>
    <w:r>
      <w:ptab w:relativeTo="margin" w:alignment="right" w:leader="none"/>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55" w:rsidRPr="00807694" w:rsidRDefault="00807694" w:rsidP="00807694">
    <w:pPr>
      <w:pStyle w:val="Header"/>
    </w:pPr>
    <w:r>
      <w:t>Rev. 644 – 02/09/2001</w:t>
    </w:r>
    <w:r>
      <w:ptab w:relativeTo="margin" w:alignment="center" w:leader="none"/>
    </w:r>
    <w:r>
      <w:t>FIELD OPERATIONS HANDBOOK</w:t>
    </w:r>
    <w:r>
      <w:ptab w:relativeTo="margin" w:alignment="right" w:leader="none"/>
    </w:r>
    <w:r>
      <w:t>16a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55" w:rsidRPr="00807694" w:rsidRDefault="00807694" w:rsidP="00807694">
    <w:pPr>
      <w:pStyle w:val="Header"/>
    </w:pPr>
    <w:r>
      <w:t>Rev. 644 – 02/09/2001</w:t>
    </w:r>
    <w:r>
      <w:ptab w:relativeTo="margin" w:alignment="center" w:leader="none"/>
    </w:r>
    <w:r>
      <w:t>FIELD OPERATIONS HANDBOOK</w:t>
    </w:r>
    <w:r>
      <w:ptab w:relativeTo="margin" w:alignment="right" w:leader="none"/>
    </w:r>
    <w:r>
      <w:t>16a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694" w:rsidRPr="00807694" w:rsidRDefault="00807694" w:rsidP="00807694">
    <w:pPr>
      <w:pStyle w:val="Header"/>
    </w:pPr>
    <w:r>
      <w:t>Rev. 644 – 02/09/2001</w:t>
    </w:r>
    <w:r>
      <w:ptab w:relativeTo="margin" w:alignment="center" w:leader="none"/>
    </w:r>
    <w:r>
      <w:t>FIELD OPERATIONS HANDBOOK</w:t>
    </w:r>
    <w:r>
      <w:ptab w:relativeTo="margin" w:alignment="right" w:leader="none"/>
    </w:r>
    <w:r>
      <w:t>16b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694" w:rsidRPr="00807694" w:rsidRDefault="00807694" w:rsidP="00807694">
    <w:pPr>
      <w:pStyle w:val="Header"/>
    </w:pPr>
    <w:r>
      <w:t>Rev. 644 – 02/09/2001</w:t>
    </w:r>
    <w:r>
      <w:ptab w:relativeTo="margin" w:alignment="center" w:leader="none"/>
    </w:r>
    <w:r>
      <w:t>FIELD OPERATIONS HANDBOOK</w:t>
    </w:r>
    <w:r>
      <w:ptab w:relativeTo="margin" w:alignment="right" w:leader="none"/>
    </w:r>
    <w:r>
      <w:t>16c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02F6E"/>
    <w:multiLevelType w:val="hybridMultilevel"/>
    <w:tmpl w:val="B6F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669AA"/>
    <w:multiLevelType w:val="multilevel"/>
    <w:tmpl w:val="C3E24774"/>
    <w:lvl w:ilvl="0">
      <w:start w:val="3"/>
      <w:numFmt w:val="lowerLetter"/>
      <w:lvlText w:val="(%1)"/>
      <w:lvlJc w:val="left"/>
      <w:pPr>
        <w:ind w:left="720" w:hanging="360"/>
      </w:pPr>
      <w:rPr>
        <w:rFonts w:hint="default"/>
      </w:rPr>
    </w:lvl>
    <w:lvl w:ilvl="1">
      <w:start w:val="2"/>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9277F8C"/>
    <w:multiLevelType w:val="multilevel"/>
    <w:tmpl w:val="0B2603DC"/>
    <w:lvl w:ilvl="0">
      <w:start w:val="1"/>
      <w:numFmt w:val="lowerLetter"/>
      <w:lvlText w:val="(%1)"/>
      <w:lvlJc w:val="left"/>
      <w:pPr>
        <w:ind w:left="720" w:hanging="360"/>
      </w:pPr>
      <w:rPr>
        <w:rFonts w:hint="default"/>
      </w:rPr>
    </w:lvl>
    <w:lvl w:ilvl="1">
      <w:start w:val="2"/>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031084F"/>
    <w:multiLevelType w:val="multilevel"/>
    <w:tmpl w:val="009A833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8170F12"/>
    <w:multiLevelType w:val="hybridMultilevel"/>
    <w:tmpl w:val="9C1A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766AB"/>
    <w:multiLevelType w:val="multilevel"/>
    <w:tmpl w:val="009A833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40FA699F"/>
    <w:multiLevelType w:val="multilevel"/>
    <w:tmpl w:val="C3E24774"/>
    <w:lvl w:ilvl="0">
      <w:start w:val="3"/>
      <w:numFmt w:val="lowerLetter"/>
      <w:lvlText w:val="(%1)"/>
      <w:lvlJc w:val="left"/>
      <w:pPr>
        <w:ind w:left="720" w:hanging="360"/>
      </w:pPr>
      <w:rPr>
        <w:rFonts w:hint="default"/>
      </w:rPr>
    </w:lvl>
    <w:lvl w:ilvl="1">
      <w:start w:val="2"/>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46220E6"/>
    <w:multiLevelType w:val="multilevel"/>
    <w:tmpl w:val="0B2603DC"/>
    <w:lvl w:ilvl="0">
      <w:start w:val="1"/>
      <w:numFmt w:val="lowerLetter"/>
      <w:lvlText w:val="(%1)"/>
      <w:lvlJc w:val="left"/>
      <w:pPr>
        <w:ind w:left="720" w:hanging="360"/>
      </w:pPr>
      <w:rPr>
        <w:rFonts w:hint="default"/>
      </w:rPr>
    </w:lvl>
    <w:lvl w:ilvl="1">
      <w:start w:val="2"/>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471F2208"/>
    <w:multiLevelType w:val="multilevel"/>
    <w:tmpl w:val="0B2603DC"/>
    <w:lvl w:ilvl="0">
      <w:start w:val="1"/>
      <w:numFmt w:val="lowerLetter"/>
      <w:lvlText w:val="(%1)"/>
      <w:lvlJc w:val="left"/>
      <w:pPr>
        <w:ind w:left="720" w:hanging="360"/>
      </w:pPr>
      <w:rPr>
        <w:rFonts w:hint="default"/>
      </w:rPr>
    </w:lvl>
    <w:lvl w:ilvl="1">
      <w:start w:val="2"/>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8B347B7"/>
    <w:multiLevelType w:val="multilevel"/>
    <w:tmpl w:val="009A833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48D274F1"/>
    <w:multiLevelType w:val="multilevel"/>
    <w:tmpl w:val="009A8338"/>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5E32654C"/>
    <w:multiLevelType w:val="hybridMultilevel"/>
    <w:tmpl w:val="D50C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433314"/>
    <w:multiLevelType w:val="multilevel"/>
    <w:tmpl w:val="0610D1B2"/>
    <w:lvl w:ilvl="0">
      <w:start w:val="1"/>
      <w:numFmt w:val="lowerLetter"/>
      <w:lvlText w:val="(%1)"/>
      <w:lvlJc w:val="left"/>
      <w:pPr>
        <w:ind w:left="720" w:hanging="360"/>
      </w:pPr>
      <w:rPr>
        <w:rFonts w:hint="default"/>
      </w:rPr>
    </w:lvl>
    <w:lvl w:ilvl="1">
      <w:start w:val="1"/>
      <w:numFmt w:val="decimal"/>
      <w:lvlText w:val="(%2)"/>
      <w:lvlJc w:val="left"/>
      <w:pPr>
        <w:ind w:left="1656" w:hanging="576"/>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02454E6"/>
    <w:multiLevelType w:val="multilevel"/>
    <w:tmpl w:val="0610D1B2"/>
    <w:lvl w:ilvl="0">
      <w:start w:val="1"/>
      <w:numFmt w:val="lowerLetter"/>
      <w:lvlText w:val="(%1)"/>
      <w:lvlJc w:val="left"/>
      <w:pPr>
        <w:ind w:left="720" w:hanging="360"/>
      </w:pPr>
      <w:rPr>
        <w:rFonts w:hint="default"/>
      </w:rPr>
    </w:lvl>
    <w:lvl w:ilvl="1">
      <w:start w:val="1"/>
      <w:numFmt w:val="decimal"/>
      <w:lvlText w:val="(%2)"/>
      <w:lvlJc w:val="left"/>
      <w:pPr>
        <w:ind w:left="1656" w:hanging="576"/>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67A007C"/>
    <w:multiLevelType w:val="multilevel"/>
    <w:tmpl w:val="0610D1B2"/>
    <w:lvl w:ilvl="0">
      <w:start w:val="1"/>
      <w:numFmt w:val="lowerLetter"/>
      <w:lvlText w:val="(%1)"/>
      <w:lvlJc w:val="left"/>
      <w:pPr>
        <w:ind w:left="720" w:hanging="360"/>
      </w:pPr>
      <w:rPr>
        <w:rFonts w:hint="default"/>
      </w:rPr>
    </w:lvl>
    <w:lvl w:ilvl="1">
      <w:start w:val="1"/>
      <w:numFmt w:val="decimal"/>
      <w:lvlText w:val="(%2)"/>
      <w:lvlJc w:val="left"/>
      <w:pPr>
        <w:ind w:left="1656" w:hanging="576"/>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0"/>
  </w:num>
  <w:num w:numId="3">
    <w:abstractNumId w:val="4"/>
  </w:num>
  <w:num w:numId="4">
    <w:abstractNumId w:val="9"/>
  </w:num>
  <w:num w:numId="5">
    <w:abstractNumId w:val="5"/>
  </w:num>
  <w:num w:numId="6">
    <w:abstractNumId w:val="10"/>
  </w:num>
  <w:num w:numId="7">
    <w:abstractNumId w:val="3"/>
  </w:num>
  <w:num w:numId="8">
    <w:abstractNumId w:val="12"/>
  </w:num>
  <w:num w:numId="9">
    <w:abstractNumId w:val="13"/>
  </w:num>
  <w:num w:numId="10">
    <w:abstractNumId w:val="14"/>
  </w:num>
  <w:num w:numId="11">
    <w:abstractNumId w:val="6"/>
  </w:num>
  <w:num w:numId="12">
    <w:abstractNumId w:val="1"/>
  </w:num>
  <w:num w:numId="13">
    <w:abstractNumId w:val="2"/>
  </w:num>
  <w:num w:numId="14">
    <w:abstractNumId w:val="7"/>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63"/>
    <w:rsid w:val="000032BE"/>
    <w:rsid w:val="000044D6"/>
    <w:rsid w:val="000058F4"/>
    <w:rsid w:val="000061F7"/>
    <w:rsid w:val="00011B06"/>
    <w:rsid w:val="00020F53"/>
    <w:rsid w:val="00022F0A"/>
    <w:rsid w:val="00023363"/>
    <w:rsid w:val="00023377"/>
    <w:rsid w:val="0002389A"/>
    <w:rsid w:val="00024CEC"/>
    <w:rsid w:val="00025565"/>
    <w:rsid w:val="00025FAB"/>
    <w:rsid w:val="0003227D"/>
    <w:rsid w:val="00032A26"/>
    <w:rsid w:val="00033C3A"/>
    <w:rsid w:val="000359C0"/>
    <w:rsid w:val="00035A90"/>
    <w:rsid w:val="00035BCE"/>
    <w:rsid w:val="00037FBD"/>
    <w:rsid w:val="00042B8D"/>
    <w:rsid w:val="000476F1"/>
    <w:rsid w:val="00050E71"/>
    <w:rsid w:val="000519B5"/>
    <w:rsid w:val="00056171"/>
    <w:rsid w:val="0006056F"/>
    <w:rsid w:val="00060B03"/>
    <w:rsid w:val="00061888"/>
    <w:rsid w:val="00063C38"/>
    <w:rsid w:val="00066AC2"/>
    <w:rsid w:val="00077A54"/>
    <w:rsid w:val="0008009F"/>
    <w:rsid w:val="00080602"/>
    <w:rsid w:val="00082324"/>
    <w:rsid w:val="00084EDB"/>
    <w:rsid w:val="000A14A2"/>
    <w:rsid w:val="000A25EE"/>
    <w:rsid w:val="000A51A0"/>
    <w:rsid w:val="000B0F45"/>
    <w:rsid w:val="000B12B1"/>
    <w:rsid w:val="000B32A4"/>
    <w:rsid w:val="000B40C4"/>
    <w:rsid w:val="000B66E2"/>
    <w:rsid w:val="000B721C"/>
    <w:rsid w:val="000C4BA5"/>
    <w:rsid w:val="000C6236"/>
    <w:rsid w:val="000C6483"/>
    <w:rsid w:val="000D1287"/>
    <w:rsid w:val="000D3CEB"/>
    <w:rsid w:val="000D5622"/>
    <w:rsid w:val="000D6E25"/>
    <w:rsid w:val="000E275A"/>
    <w:rsid w:val="000E3842"/>
    <w:rsid w:val="000E40A4"/>
    <w:rsid w:val="000F2D05"/>
    <w:rsid w:val="000F66F6"/>
    <w:rsid w:val="0010096C"/>
    <w:rsid w:val="001012B5"/>
    <w:rsid w:val="00102A84"/>
    <w:rsid w:val="001032CF"/>
    <w:rsid w:val="00111AC6"/>
    <w:rsid w:val="00111D1A"/>
    <w:rsid w:val="0011253C"/>
    <w:rsid w:val="00114767"/>
    <w:rsid w:val="00115503"/>
    <w:rsid w:val="0011615A"/>
    <w:rsid w:val="00116BA6"/>
    <w:rsid w:val="00127811"/>
    <w:rsid w:val="00127980"/>
    <w:rsid w:val="001279A6"/>
    <w:rsid w:val="0013053D"/>
    <w:rsid w:val="0013076C"/>
    <w:rsid w:val="00133E82"/>
    <w:rsid w:val="00134097"/>
    <w:rsid w:val="00141931"/>
    <w:rsid w:val="0014468E"/>
    <w:rsid w:val="0014536C"/>
    <w:rsid w:val="0014693B"/>
    <w:rsid w:val="00150B18"/>
    <w:rsid w:val="0015416D"/>
    <w:rsid w:val="001543DD"/>
    <w:rsid w:val="00166926"/>
    <w:rsid w:val="0017118B"/>
    <w:rsid w:val="001748AC"/>
    <w:rsid w:val="00176816"/>
    <w:rsid w:val="00177990"/>
    <w:rsid w:val="0018280D"/>
    <w:rsid w:val="00187ED3"/>
    <w:rsid w:val="00194DBB"/>
    <w:rsid w:val="0019504A"/>
    <w:rsid w:val="001968B5"/>
    <w:rsid w:val="00197C01"/>
    <w:rsid w:val="001A21AE"/>
    <w:rsid w:val="001A3BA1"/>
    <w:rsid w:val="001B06D2"/>
    <w:rsid w:val="001B2246"/>
    <w:rsid w:val="001B434F"/>
    <w:rsid w:val="001B5AC9"/>
    <w:rsid w:val="001C09B5"/>
    <w:rsid w:val="001C2DDE"/>
    <w:rsid w:val="001C4F72"/>
    <w:rsid w:val="001D328E"/>
    <w:rsid w:val="001D4B1C"/>
    <w:rsid w:val="001D5D40"/>
    <w:rsid w:val="001D75C9"/>
    <w:rsid w:val="001E17AB"/>
    <w:rsid w:val="001E431B"/>
    <w:rsid w:val="001E557F"/>
    <w:rsid w:val="001E57EA"/>
    <w:rsid w:val="001E5B26"/>
    <w:rsid w:val="001E64C3"/>
    <w:rsid w:val="001E6D2C"/>
    <w:rsid w:val="001F194F"/>
    <w:rsid w:val="001F1C53"/>
    <w:rsid w:val="001F1CCB"/>
    <w:rsid w:val="001F5AA4"/>
    <w:rsid w:val="001F73E0"/>
    <w:rsid w:val="001F7C2C"/>
    <w:rsid w:val="00201029"/>
    <w:rsid w:val="0020230B"/>
    <w:rsid w:val="00202AA4"/>
    <w:rsid w:val="002042C2"/>
    <w:rsid w:val="002062FE"/>
    <w:rsid w:val="0021044B"/>
    <w:rsid w:val="002138EF"/>
    <w:rsid w:val="0021578B"/>
    <w:rsid w:val="002257F0"/>
    <w:rsid w:val="00226191"/>
    <w:rsid w:val="00226E72"/>
    <w:rsid w:val="00232B26"/>
    <w:rsid w:val="002374AA"/>
    <w:rsid w:val="00242FDC"/>
    <w:rsid w:val="002527CF"/>
    <w:rsid w:val="00252C8E"/>
    <w:rsid w:val="00254CE1"/>
    <w:rsid w:val="0025602A"/>
    <w:rsid w:val="00257718"/>
    <w:rsid w:val="00260A61"/>
    <w:rsid w:val="00260DB6"/>
    <w:rsid w:val="00261DB4"/>
    <w:rsid w:val="002635A7"/>
    <w:rsid w:val="00263D7D"/>
    <w:rsid w:val="00266BB6"/>
    <w:rsid w:val="00267CC0"/>
    <w:rsid w:val="00267FCF"/>
    <w:rsid w:val="00270712"/>
    <w:rsid w:val="002739EB"/>
    <w:rsid w:val="0027469B"/>
    <w:rsid w:val="0027564A"/>
    <w:rsid w:val="00291EE3"/>
    <w:rsid w:val="00293663"/>
    <w:rsid w:val="00293780"/>
    <w:rsid w:val="00293FE9"/>
    <w:rsid w:val="00297021"/>
    <w:rsid w:val="00297F4C"/>
    <w:rsid w:val="002A224D"/>
    <w:rsid w:val="002A2382"/>
    <w:rsid w:val="002A2E62"/>
    <w:rsid w:val="002A6438"/>
    <w:rsid w:val="002A6C80"/>
    <w:rsid w:val="002A730B"/>
    <w:rsid w:val="002B4A2E"/>
    <w:rsid w:val="002B6D41"/>
    <w:rsid w:val="002C1A26"/>
    <w:rsid w:val="002C278C"/>
    <w:rsid w:val="002C60B2"/>
    <w:rsid w:val="002C6AF7"/>
    <w:rsid w:val="002C7146"/>
    <w:rsid w:val="002D61DE"/>
    <w:rsid w:val="002E0D00"/>
    <w:rsid w:val="002E1CF3"/>
    <w:rsid w:val="002E269B"/>
    <w:rsid w:val="002E409B"/>
    <w:rsid w:val="002E4E89"/>
    <w:rsid w:val="002E4EBD"/>
    <w:rsid w:val="002E5AAB"/>
    <w:rsid w:val="002E75A9"/>
    <w:rsid w:val="002F0A6F"/>
    <w:rsid w:val="002F1657"/>
    <w:rsid w:val="002F1D9A"/>
    <w:rsid w:val="002F5B79"/>
    <w:rsid w:val="00300867"/>
    <w:rsid w:val="00301A49"/>
    <w:rsid w:val="00304B51"/>
    <w:rsid w:val="00305365"/>
    <w:rsid w:val="00313CE8"/>
    <w:rsid w:val="003240BB"/>
    <w:rsid w:val="003356A9"/>
    <w:rsid w:val="00340C82"/>
    <w:rsid w:val="00340EBF"/>
    <w:rsid w:val="00341D6F"/>
    <w:rsid w:val="00343C1D"/>
    <w:rsid w:val="003452B9"/>
    <w:rsid w:val="00346389"/>
    <w:rsid w:val="0034694F"/>
    <w:rsid w:val="00351599"/>
    <w:rsid w:val="003516C4"/>
    <w:rsid w:val="00352255"/>
    <w:rsid w:val="00352256"/>
    <w:rsid w:val="003529F5"/>
    <w:rsid w:val="00353357"/>
    <w:rsid w:val="00353E5C"/>
    <w:rsid w:val="00355AD4"/>
    <w:rsid w:val="00361786"/>
    <w:rsid w:val="003675C1"/>
    <w:rsid w:val="00367847"/>
    <w:rsid w:val="00380047"/>
    <w:rsid w:val="00381B14"/>
    <w:rsid w:val="003828E5"/>
    <w:rsid w:val="003834CA"/>
    <w:rsid w:val="00390A10"/>
    <w:rsid w:val="003A1ED5"/>
    <w:rsid w:val="003A2A11"/>
    <w:rsid w:val="003A30AB"/>
    <w:rsid w:val="003A55A8"/>
    <w:rsid w:val="003A7EB1"/>
    <w:rsid w:val="003C232E"/>
    <w:rsid w:val="003D292E"/>
    <w:rsid w:val="003D4EB6"/>
    <w:rsid w:val="003D5B44"/>
    <w:rsid w:val="003D7612"/>
    <w:rsid w:val="003D7CC9"/>
    <w:rsid w:val="003F3669"/>
    <w:rsid w:val="003F399D"/>
    <w:rsid w:val="003F43C9"/>
    <w:rsid w:val="003F6F5F"/>
    <w:rsid w:val="00403452"/>
    <w:rsid w:val="00404D48"/>
    <w:rsid w:val="004065F4"/>
    <w:rsid w:val="00406B12"/>
    <w:rsid w:val="00410BB3"/>
    <w:rsid w:val="004156D8"/>
    <w:rsid w:val="004163E9"/>
    <w:rsid w:val="00422DDC"/>
    <w:rsid w:val="00423C32"/>
    <w:rsid w:val="00424DC9"/>
    <w:rsid w:val="00430216"/>
    <w:rsid w:val="00430941"/>
    <w:rsid w:val="00436652"/>
    <w:rsid w:val="004416C6"/>
    <w:rsid w:val="00443CB0"/>
    <w:rsid w:val="004441CB"/>
    <w:rsid w:val="00446C28"/>
    <w:rsid w:val="00446CDA"/>
    <w:rsid w:val="00452146"/>
    <w:rsid w:val="00453196"/>
    <w:rsid w:val="00455E25"/>
    <w:rsid w:val="00456790"/>
    <w:rsid w:val="004635D6"/>
    <w:rsid w:val="00464370"/>
    <w:rsid w:val="00466AF7"/>
    <w:rsid w:val="00471B76"/>
    <w:rsid w:val="00471FEA"/>
    <w:rsid w:val="00473120"/>
    <w:rsid w:val="004754F9"/>
    <w:rsid w:val="0047641F"/>
    <w:rsid w:val="00480BB3"/>
    <w:rsid w:val="0048314D"/>
    <w:rsid w:val="00484ECE"/>
    <w:rsid w:val="0048772F"/>
    <w:rsid w:val="00490681"/>
    <w:rsid w:val="00491CD1"/>
    <w:rsid w:val="0049580D"/>
    <w:rsid w:val="004959A4"/>
    <w:rsid w:val="004A33DA"/>
    <w:rsid w:val="004A447A"/>
    <w:rsid w:val="004A4C94"/>
    <w:rsid w:val="004A5178"/>
    <w:rsid w:val="004A6170"/>
    <w:rsid w:val="004A6FE7"/>
    <w:rsid w:val="004A74D1"/>
    <w:rsid w:val="004B096B"/>
    <w:rsid w:val="004B0FD9"/>
    <w:rsid w:val="004B43EE"/>
    <w:rsid w:val="004C14BA"/>
    <w:rsid w:val="004C1698"/>
    <w:rsid w:val="004C42D7"/>
    <w:rsid w:val="004D44B4"/>
    <w:rsid w:val="004D69E0"/>
    <w:rsid w:val="004E2102"/>
    <w:rsid w:val="004E3500"/>
    <w:rsid w:val="004E4215"/>
    <w:rsid w:val="004E7038"/>
    <w:rsid w:val="004E73E7"/>
    <w:rsid w:val="004E7ADE"/>
    <w:rsid w:val="004F0A50"/>
    <w:rsid w:val="004F0E64"/>
    <w:rsid w:val="004F0EF4"/>
    <w:rsid w:val="004F2B29"/>
    <w:rsid w:val="004F2F74"/>
    <w:rsid w:val="004F32B4"/>
    <w:rsid w:val="004F47E5"/>
    <w:rsid w:val="004F69DC"/>
    <w:rsid w:val="00501BA1"/>
    <w:rsid w:val="00510117"/>
    <w:rsid w:val="0051275B"/>
    <w:rsid w:val="0051555D"/>
    <w:rsid w:val="00520150"/>
    <w:rsid w:val="0052028E"/>
    <w:rsid w:val="00522791"/>
    <w:rsid w:val="00534909"/>
    <w:rsid w:val="00535D6B"/>
    <w:rsid w:val="00543500"/>
    <w:rsid w:val="005456CE"/>
    <w:rsid w:val="005527F9"/>
    <w:rsid w:val="005558C6"/>
    <w:rsid w:val="005579EB"/>
    <w:rsid w:val="00571556"/>
    <w:rsid w:val="00572EAF"/>
    <w:rsid w:val="00575D53"/>
    <w:rsid w:val="005765F1"/>
    <w:rsid w:val="0058011F"/>
    <w:rsid w:val="00580563"/>
    <w:rsid w:val="00584FAB"/>
    <w:rsid w:val="00591310"/>
    <w:rsid w:val="005A0D93"/>
    <w:rsid w:val="005A2FEC"/>
    <w:rsid w:val="005A40E3"/>
    <w:rsid w:val="005A4688"/>
    <w:rsid w:val="005A5419"/>
    <w:rsid w:val="005A629C"/>
    <w:rsid w:val="005A64AE"/>
    <w:rsid w:val="005B01B9"/>
    <w:rsid w:val="005B11AC"/>
    <w:rsid w:val="005B29F1"/>
    <w:rsid w:val="005B6EC7"/>
    <w:rsid w:val="005C254F"/>
    <w:rsid w:val="005C5CBF"/>
    <w:rsid w:val="005D1B8E"/>
    <w:rsid w:val="005D433E"/>
    <w:rsid w:val="005D5043"/>
    <w:rsid w:val="005D7787"/>
    <w:rsid w:val="005E1F53"/>
    <w:rsid w:val="005E28F8"/>
    <w:rsid w:val="005E4A11"/>
    <w:rsid w:val="005E5864"/>
    <w:rsid w:val="005F002F"/>
    <w:rsid w:val="005F2675"/>
    <w:rsid w:val="005F35FC"/>
    <w:rsid w:val="005F4727"/>
    <w:rsid w:val="005F58E6"/>
    <w:rsid w:val="005F6EBC"/>
    <w:rsid w:val="00600115"/>
    <w:rsid w:val="00601BC1"/>
    <w:rsid w:val="00601C42"/>
    <w:rsid w:val="00606B36"/>
    <w:rsid w:val="00606B7C"/>
    <w:rsid w:val="006079D8"/>
    <w:rsid w:val="00612018"/>
    <w:rsid w:val="00617520"/>
    <w:rsid w:val="00617DAB"/>
    <w:rsid w:val="00620D2A"/>
    <w:rsid w:val="0062129E"/>
    <w:rsid w:val="006213DD"/>
    <w:rsid w:val="00630843"/>
    <w:rsid w:val="00630894"/>
    <w:rsid w:val="006326F9"/>
    <w:rsid w:val="00632A3E"/>
    <w:rsid w:val="00636837"/>
    <w:rsid w:val="00645E18"/>
    <w:rsid w:val="006513C9"/>
    <w:rsid w:val="00654FDB"/>
    <w:rsid w:val="006552E5"/>
    <w:rsid w:val="006558B2"/>
    <w:rsid w:val="00665448"/>
    <w:rsid w:val="00670124"/>
    <w:rsid w:val="006707E8"/>
    <w:rsid w:val="006724F0"/>
    <w:rsid w:val="00672B4C"/>
    <w:rsid w:val="0067363D"/>
    <w:rsid w:val="0067688E"/>
    <w:rsid w:val="00677F51"/>
    <w:rsid w:val="006801AE"/>
    <w:rsid w:val="006810FD"/>
    <w:rsid w:val="00682655"/>
    <w:rsid w:val="00685BA3"/>
    <w:rsid w:val="00687570"/>
    <w:rsid w:val="00690E53"/>
    <w:rsid w:val="006A2BFB"/>
    <w:rsid w:val="006A779A"/>
    <w:rsid w:val="006A7D75"/>
    <w:rsid w:val="006B0127"/>
    <w:rsid w:val="006B1022"/>
    <w:rsid w:val="006B1BE6"/>
    <w:rsid w:val="006B27A0"/>
    <w:rsid w:val="006B4AB8"/>
    <w:rsid w:val="006C267D"/>
    <w:rsid w:val="006C4068"/>
    <w:rsid w:val="006C7D06"/>
    <w:rsid w:val="006D0DAE"/>
    <w:rsid w:val="006D1F4E"/>
    <w:rsid w:val="006D26F7"/>
    <w:rsid w:val="006D283C"/>
    <w:rsid w:val="006D493E"/>
    <w:rsid w:val="006E305B"/>
    <w:rsid w:val="006E44D2"/>
    <w:rsid w:val="006E58F4"/>
    <w:rsid w:val="006E5F1D"/>
    <w:rsid w:val="006E6A8C"/>
    <w:rsid w:val="006E6C0F"/>
    <w:rsid w:val="006F34A6"/>
    <w:rsid w:val="006F4E0C"/>
    <w:rsid w:val="006F70CA"/>
    <w:rsid w:val="006F7370"/>
    <w:rsid w:val="007009B0"/>
    <w:rsid w:val="00702594"/>
    <w:rsid w:val="007031E4"/>
    <w:rsid w:val="0070611D"/>
    <w:rsid w:val="007108FE"/>
    <w:rsid w:val="0071104D"/>
    <w:rsid w:val="00715E12"/>
    <w:rsid w:val="007217A9"/>
    <w:rsid w:val="007229F6"/>
    <w:rsid w:val="00727F58"/>
    <w:rsid w:val="007317F5"/>
    <w:rsid w:val="00732E27"/>
    <w:rsid w:val="00733002"/>
    <w:rsid w:val="00733C1C"/>
    <w:rsid w:val="00736971"/>
    <w:rsid w:val="007451C3"/>
    <w:rsid w:val="0074632E"/>
    <w:rsid w:val="00746D26"/>
    <w:rsid w:val="007471F1"/>
    <w:rsid w:val="0075094A"/>
    <w:rsid w:val="0075329D"/>
    <w:rsid w:val="00753E94"/>
    <w:rsid w:val="00755524"/>
    <w:rsid w:val="0076215D"/>
    <w:rsid w:val="007626F3"/>
    <w:rsid w:val="00762D45"/>
    <w:rsid w:val="007644A3"/>
    <w:rsid w:val="00765066"/>
    <w:rsid w:val="00767077"/>
    <w:rsid w:val="00771467"/>
    <w:rsid w:val="00771502"/>
    <w:rsid w:val="00771B6A"/>
    <w:rsid w:val="00777DDC"/>
    <w:rsid w:val="00781DF8"/>
    <w:rsid w:val="00782D76"/>
    <w:rsid w:val="00783BC8"/>
    <w:rsid w:val="0078555C"/>
    <w:rsid w:val="00785A50"/>
    <w:rsid w:val="00787F0E"/>
    <w:rsid w:val="007905CC"/>
    <w:rsid w:val="00790670"/>
    <w:rsid w:val="00791E23"/>
    <w:rsid w:val="007952F8"/>
    <w:rsid w:val="007972B4"/>
    <w:rsid w:val="007A19F5"/>
    <w:rsid w:val="007A5357"/>
    <w:rsid w:val="007B05AC"/>
    <w:rsid w:val="007C348A"/>
    <w:rsid w:val="007C3B08"/>
    <w:rsid w:val="007C5443"/>
    <w:rsid w:val="007C7EAD"/>
    <w:rsid w:val="007D0320"/>
    <w:rsid w:val="007D091A"/>
    <w:rsid w:val="007D5D00"/>
    <w:rsid w:val="007D72D2"/>
    <w:rsid w:val="007E0D20"/>
    <w:rsid w:val="007F12F6"/>
    <w:rsid w:val="007F6125"/>
    <w:rsid w:val="007F75B6"/>
    <w:rsid w:val="0080362F"/>
    <w:rsid w:val="008067E4"/>
    <w:rsid w:val="00807694"/>
    <w:rsid w:val="00811361"/>
    <w:rsid w:val="00812CD8"/>
    <w:rsid w:val="008152D6"/>
    <w:rsid w:val="008159F0"/>
    <w:rsid w:val="008206DA"/>
    <w:rsid w:val="0082135E"/>
    <w:rsid w:val="00822FA5"/>
    <w:rsid w:val="008246D1"/>
    <w:rsid w:val="008248C9"/>
    <w:rsid w:val="0082736D"/>
    <w:rsid w:val="0083246E"/>
    <w:rsid w:val="00833742"/>
    <w:rsid w:val="00840719"/>
    <w:rsid w:val="008410C4"/>
    <w:rsid w:val="00841575"/>
    <w:rsid w:val="00841EDD"/>
    <w:rsid w:val="00843078"/>
    <w:rsid w:val="00843F6B"/>
    <w:rsid w:val="00845679"/>
    <w:rsid w:val="00847BC8"/>
    <w:rsid w:val="008506C4"/>
    <w:rsid w:val="00854473"/>
    <w:rsid w:val="00855439"/>
    <w:rsid w:val="00856054"/>
    <w:rsid w:val="00861808"/>
    <w:rsid w:val="00861F53"/>
    <w:rsid w:val="00861F8E"/>
    <w:rsid w:val="00863097"/>
    <w:rsid w:val="00865592"/>
    <w:rsid w:val="008704C0"/>
    <w:rsid w:val="00872283"/>
    <w:rsid w:val="008758C2"/>
    <w:rsid w:val="00877637"/>
    <w:rsid w:val="0087773D"/>
    <w:rsid w:val="0088189A"/>
    <w:rsid w:val="0088584A"/>
    <w:rsid w:val="008859BD"/>
    <w:rsid w:val="008938FE"/>
    <w:rsid w:val="00895F4C"/>
    <w:rsid w:val="00895FE8"/>
    <w:rsid w:val="008A34DC"/>
    <w:rsid w:val="008A4F86"/>
    <w:rsid w:val="008A7050"/>
    <w:rsid w:val="008A745E"/>
    <w:rsid w:val="008B2F8E"/>
    <w:rsid w:val="008C61FA"/>
    <w:rsid w:val="008D052D"/>
    <w:rsid w:val="008D272B"/>
    <w:rsid w:val="008D400E"/>
    <w:rsid w:val="008D5C79"/>
    <w:rsid w:val="008D61F9"/>
    <w:rsid w:val="008D6E4E"/>
    <w:rsid w:val="008E1D86"/>
    <w:rsid w:val="008E22D9"/>
    <w:rsid w:val="008E2A71"/>
    <w:rsid w:val="008E4488"/>
    <w:rsid w:val="008E4F0D"/>
    <w:rsid w:val="008E60B1"/>
    <w:rsid w:val="008F0E3F"/>
    <w:rsid w:val="008F240F"/>
    <w:rsid w:val="008F6D7B"/>
    <w:rsid w:val="008F755C"/>
    <w:rsid w:val="00901859"/>
    <w:rsid w:val="009021B2"/>
    <w:rsid w:val="00903BE7"/>
    <w:rsid w:val="00905008"/>
    <w:rsid w:val="009052B0"/>
    <w:rsid w:val="009054E1"/>
    <w:rsid w:val="0090564F"/>
    <w:rsid w:val="00907028"/>
    <w:rsid w:val="0091295A"/>
    <w:rsid w:val="0091371B"/>
    <w:rsid w:val="009148A7"/>
    <w:rsid w:val="00915364"/>
    <w:rsid w:val="009213F5"/>
    <w:rsid w:val="009232CB"/>
    <w:rsid w:val="009249BE"/>
    <w:rsid w:val="009279F5"/>
    <w:rsid w:val="00927A5A"/>
    <w:rsid w:val="00931E48"/>
    <w:rsid w:val="00935942"/>
    <w:rsid w:val="00935DC5"/>
    <w:rsid w:val="0093725F"/>
    <w:rsid w:val="009424DE"/>
    <w:rsid w:val="00944E73"/>
    <w:rsid w:val="00952036"/>
    <w:rsid w:val="0095289E"/>
    <w:rsid w:val="00952BE8"/>
    <w:rsid w:val="00952EC0"/>
    <w:rsid w:val="009544E4"/>
    <w:rsid w:val="00960233"/>
    <w:rsid w:val="009611B2"/>
    <w:rsid w:val="00961773"/>
    <w:rsid w:val="00961EDA"/>
    <w:rsid w:val="0096363C"/>
    <w:rsid w:val="009641E6"/>
    <w:rsid w:val="00964745"/>
    <w:rsid w:val="00973C03"/>
    <w:rsid w:val="00975F86"/>
    <w:rsid w:val="009762CB"/>
    <w:rsid w:val="0097725B"/>
    <w:rsid w:val="00983E29"/>
    <w:rsid w:val="009846A0"/>
    <w:rsid w:val="00986717"/>
    <w:rsid w:val="00987150"/>
    <w:rsid w:val="00987B85"/>
    <w:rsid w:val="00991299"/>
    <w:rsid w:val="00991EFC"/>
    <w:rsid w:val="0099259A"/>
    <w:rsid w:val="009925C2"/>
    <w:rsid w:val="00992B34"/>
    <w:rsid w:val="00997646"/>
    <w:rsid w:val="00997E1E"/>
    <w:rsid w:val="009A2100"/>
    <w:rsid w:val="009A43BC"/>
    <w:rsid w:val="009B5BA9"/>
    <w:rsid w:val="009C6C0C"/>
    <w:rsid w:val="009D484B"/>
    <w:rsid w:val="009D4FFD"/>
    <w:rsid w:val="009D78D8"/>
    <w:rsid w:val="009E2FB3"/>
    <w:rsid w:val="009E4BAD"/>
    <w:rsid w:val="009E5CFC"/>
    <w:rsid w:val="009F0287"/>
    <w:rsid w:val="009F5EA4"/>
    <w:rsid w:val="009F6681"/>
    <w:rsid w:val="009F6F1D"/>
    <w:rsid w:val="009F7357"/>
    <w:rsid w:val="00A03CF1"/>
    <w:rsid w:val="00A05A59"/>
    <w:rsid w:val="00A1044A"/>
    <w:rsid w:val="00A15411"/>
    <w:rsid w:val="00A16C47"/>
    <w:rsid w:val="00A175F1"/>
    <w:rsid w:val="00A2535F"/>
    <w:rsid w:val="00A3157C"/>
    <w:rsid w:val="00A325CC"/>
    <w:rsid w:val="00A424D8"/>
    <w:rsid w:val="00A453E8"/>
    <w:rsid w:val="00A45F34"/>
    <w:rsid w:val="00A505B9"/>
    <w:rsid w:val="00A51247"/>
    <w:rsid w:val="00A51D90"/>
    <w:rsid w:val="00A54AC9"/>
    <w:rsid w:val="00A55756"/>
    <w:rsid w:val="00A55CCF"/>
    <w:rsid w:val="00A55F1F"/>
    <w:rsid w:val="00A560BB"/>
    <w:rsid w:val="00A57C86"/>
    <w:rsid w:val="00A6288A"/>
    <w:rsid w:val="00A62929"/>
    <w:rsid w:val="00A62E57"/>
    <w:rsid w:val="00A65D6B"/>
    <w:rsid w:val="00A6713C"/>
    <w:rsid w:val="00A71100"/>
    <w:rsid w:val="00A7195B"/>
    <w:rsid w:val="00A721CA"/>
    <w:rsid w:val="00A74D0A"/>
    <w:rsid w:val="00A81770"/>
    <w:rsid w:val="00A84144"/>
    <w:rsid w:val="00A84C3C"/>
    <w:rsid w:val="00A84ECA"/>
    <w:rsid w:val="00A85C1A"/>
    <w:rsid w:val="00A906FA"/>
    <w:rsid w:val="00A91E58"/>
    <w:rsid w:val="00A92A32"/>
    <w:rsid w:val="00A92E68"/>
    <w:rsid w:val="00A93F36"/>
    <w:rsid w:val="00AA5F6C"/>
    <w:rsid w:val="00AA7142"/>
    <w:rsid w:val="00AB41E4"/>
    <w:rsid w:val="00AB46F2"/>
    <w:rsid w:val="00AB6AF1"/>
    <w:rsid w:val="00AB7869"/>
    <w:rsid w:val="00AB7AF3"/>
    <w:rsid w:val="00AC2FC5"/>
    <w:rsid w:val="00AD0769"/>
    <w:rsid w:val="00AD1152"/>
    <w:rsid w:val="00AD1308"/>
    <w:rsid w:val="00AD1E56"/>
    <w:rsid w:val="00AE2330"/>
    <w:rsid w:val="00AF0BE4"/>
    <w:rsid w:val="00AF0F79"/>
    <w:rsid w:val="00AF1B5E"/>
    <w:rsid w:val="00AF31EA"/>
    <w:rsid w:val="00AF7DEE"/>
    <w:rsid w:val="00B01CC4"/>
    <w:rsid w:val="00B04429"/>
    <w:rsid w:val="00B05954"/>
    <w:rsid w:val="00B05D97"/>
    <w:rsid w:val="00B108A4"/>
    <w:rsid w:val="00B125B3"/>
    <w:rsid w:val="00B139EF"/>
    <w:rsid w:val="00B146BF"/>
    <w:rsid w:val="00B21743"/>
    <w:rsid w:val="00B2203C"/>
    <w:rsid w:val="00B26047"/>
    <w:rsid w:val="00B2732B"/>
    <w:rsid w:val="00B30B96"/>
    <w:rsid w:val="00B32203"/>
    <w:rsid w:val="00B32204"/>
    <w:rsid w:val="00B33997"/>
    <w:rsid w:val="00B36EFC"/>
    <w:rsid w:val="00B37369"/>
    <w:rsid w:val="00B37432"/>
    <w:rsid w:val="00B4143C"/>
    <w:rsid w:val="00B41E2C"/>
    <w:rsid w:val="00B45137"/>
    <w:rsid w:val="00B46A4E"/>
    <w:rsid w:val="00B46C72"/>
    <w:rsid w:val="00B50BF3"/>
    <w:rsid w:val="00B525A9"/>
    <w:rsid w:val="00B5493E"/>
    <w:rsid w:val="00B553F4"/>
    <w:rsid w:val="00B608B3"/>
    <w:rsid w:val="00B608C7"/>
    <w:rsid w:val="00B621F9"/>
    <w:rsid w:val="00B77040"/>
    <w:rsid w:val="00B77CD3"/>
    <w:rsid w:val="00B9406D"/>
    <w:rsid w:val="00B94C3C"/>
    <w:rsid w:val="00B94CF0"/>
    <w:rsid w:val="00B97BF1"/>
    <w:rsid w:val="00BA1D18"/>
    <w:rsid w:val="00BA5CCC"/>
    <w:rsid w:val="00BA5CF6"/>
    <w:rsid w:val="00BA69DF"/>
    <w:rsid w:val="00BB42CA"/>
    <w:rsid w:val="00BB42ED"/>
    <w:rsid w:val="00BB5181"/>
    <w:rsid w:val="00BB5281"/>
    <w:rsid w:val="00BB6569"/>
    <w:rsid w:val="00BC09ED"/>
    <w:rsid w:val="00BC2247"/>
    <w:rsid w:val="00BC4D01"/>
    <w:rsid w:val="00BD1073"/>
    <w:rsid w:val="00BD2763"/>
    <w:rsid w:val="00BD35F4"/>
    <w:rsid w:val="00BD614E"/>
    <w:rsid w:val="00BD7759"/>
    <w:rsid w:val="00BE043B"/>
    <w:rsid w:val="00BE1E6D"/>
    <w:rsid w:val="00BE4C4C"/>
    <w:rsid w:val="00BE54A9"/>
    <w:rsid w:val="00BE5740"/>
    <w:rsid w:val="00BE684E"/>
    <w:rsid w:val="00BF1030"/>
    <w:rsid w:val="00BF28CA"/>
    <w:rsid w:val="00BF5D2B"/>
    <w:rsid w:val="00BF600E"/>
    <w:rsid w:val="00C00857"/>
    <w:rsid w:val="00C01A3F"/>
    <w:rsid w:val="00C01B6E"/>
    <w:rsid w:val="00C03469"/>
    <w:rsid w:val="00C03CF9"/>
    <w:rsid w:val="00C0461C"/>
    <w:rsid w:val="00C04CA1"/>
    <w:rsid w:val="00C07E99"/>
    <w:rsid w:val="00C11C96"/>
    <w:rsid w:val="00C1604D"/>
    <w:rsid w:val="00C202F8"/>
    <w:rsid w:val="00C20FD5"/>
    <w:rsid w:val="00C23B55"/>
    <w:rsid w:val="00C250CB"/>
    <w:rsid w:val="00C27902"/>
    <w:rsid w:val="00C31C10"/>
    <w:rsid w:val="00C325F8"/>
    <w:rsid w:val="00C337E7"/>
    <w:rsid w:val="00C34FEA"/>
    <w:rsid w:val="00C35E13"/>
    <w:rsid w:val="00C44248"/>
    <w:rsid w:val="00C4502D"/>
    <w:rsid w:val="00C453B9"/>
    <w:rsid w:val="00C503EF"/>
    <w:rsid w:val="00C53FE7"/>
    <w:rsid w:val="00C561B5"/>
    <w:rsid w:val="00C56721"/>
    <w:rsid w:val="00C57FFB"/>
    <w:rsid w:val="00C636B8"/>
    <w:rsid w:val="00C64CA6"/>
    <w:rsid w:val="00C66313"/>
    <w:rsid w:val="00C70834"/>
    <w:rsid w:val="00C71177"/>
    <w:rsid w:val="00C732AF"/>
    <w:rsid w:val="00C75506"/>
    <w:rsid w:val="00C75F8E"/>
    <w:rsid w:val="00C801D0"/>
    <w:rsid w:val="00C8208B"/>
    <w:rsid w:val="00C84661"/>
    <w:rsid w:val="00C85CED"/>
    <w:rsid w:val="00C86462"/>
    <w:rsid w:val="00C90DAD"/>
    <w:rsid w:val="00C9112A"/>
    <w:rsid w:val="00C94048"/>
    <w:rsid w:val="00C94A63"/>
    <w:rsid w:val="00C97D34"/>
    <w:rsid w:val="00CA3574"/>
    <w:rsid w:val="00CA39D7"/>
    <w:rsid w:val="00CA7E0C"/>
    <w:rsid w:val="00CA7E74"/>
    <w:rsid w:val="00CB0E77"/>
    <w:rsid w:val="00CB1326"/>
    <w:rsid w:val="00CB337B"/>
    <w:rsid w:val="00CB3B0D"/>
    <w:rsid w:val="00CB5571"/>
    <w:rsid w:val="00CB5627"/>
    <w:rsid w:val="00CB7B29"/>
    <w:rsid w:val="00CC053F"/>
    <w:rsid w:val="00CC15CA"/>
    <w:rsid w:val="00CC5A43"/>
    <w:rsid w:val="00CD67CE"/>
    <w:rsid w:val="00CE152E"/>
    <w:rsid w:val="00CE2C7D"/>
    <w:rsid w:val="00CE3AA6"/>
    <w:rsid w:val="00CE5EA5"/>
    <w:rsid w:val="00CE74A2"/>
    <w:rsid w:val="00CF1782"/>
    <w:rsid w:val="00CF4968"/>
    <w:rsid w:val="00CF56C9"/>
    <w:rsid w:val="00D00DC2"/>
    <w:rsid w:val="00D01879"/>
    <w:rsid w:val="00D02572"/>
    <w:rsid w:val="00D028B1"/>
    <w:rsid w:val="00D03C5C"/>
    <w:rsid w:val="00D03D63"/>
    <w:rsid w:val="00D04AF1"/>
    <w:rsid w:val="00D0527F"/>
    <w:rsid w:val="00D0562F"/>
    <w:rsid w:val="00D143B0"/>
    <w:rsid w:val="00D1515E"/>
    <w:rsid w:val="00D17EB9"/>
    <w:rsid w:val="00D206C7"/>
    <w:rsid w:val="00D21D1E"/>
    <w:rsid w:val="00D229B2"/>
    <w:rsid w:val="00D23AE3"/>
    <w:rsid w:val="00D27057"/>
    <w:rsid w:val="00D334BE"/>
    <w:rsid w:val="00D337EA"/>
    <w:rsid w:val="00D40510"/>
    <w:rsid w:val="00D472AF"/>
    <w:rsid w:val="00D515D7"/>
    <w:rsid w:val="00D52BC5"/>
    <w:rsid w:val="00D60717"/>
    <w:rsid w:val="00D62114"/>
    <w:rsid w:val="00D64B10"/>
    <w:rsid w:val="00D64C5E"/>
    <w:rsid w:val="00D6686A"/>
    <w:rsid w:val="00D66EFB"/>
    <w:rsid w:val="00D7231A"/>
    <w:rsid w:val="00D7431A"/>
    <w:rsid w:val="00D74FAF"/>
    <w:rsid w:val="00D83C9E"/>
    <w:rsid w:val="00D84E4D"/>
    <w:rsid w:val="00D85DFF"/>
    <w:rsid w:val="00D87F67"/>
    <w:rsid w:val="00D91C7A"/>
    <w:rsid w:val="00D97345"/>
    <w:rsid w:val="00DA2CC4"/>
    <w:rsid w:val="00DA49CE"/>
    <w:rsid w:val="00DA52D1"/>
    <w:rsid w:val="00DA79EA"/>
    <w:rsid w:val="00DB3EEB"/>
    <w:rsid w:val="00DB4669"/>
    <w:rsid w:val="00DB5E7D"/>
    <w:rsid w:val="00DB64BD"/>
    <w:rsid w:val="00DB70FF"/>
    <w:rsid w:val="00DB76CD"/>
    <w:rsid w:val="00DC1B18"/>
    <w:rsid w:val="00DC1B7A"/>
    <w:rsid w:val="00DC5A84"/>
    <w:rsid w:val="00DD3BB6"/>
    <w:rsid w:val="00DD4956"/>
    <w:rsid w:val="00DD5896"/>
    <w:rsid w:val="00DE330D"/>
    <w:rsid w:val="00DE5CE9"/>
    <w:rsid w:val="00DF5F1D"/>
    <w:rsid w:val="00DF7026"/>
    <w:rsid w:val="00DF7D06"/>
    <w:rsid w:val="00E03476"/>
    <w:rsid w:val="00E04C06"/>
    <w:rsid w:val="00E05806"/>
    <w:rsid w:val="00E05FF3"/>
    <w:rsid w:val="00E142D8"/>
    <w:rsid w:val="00E146B9"/>
    <w:rsid w:val="00E1735C"/>
    <w:rsid w:val="00E17CC1"/>
    <w:rsid w:val="00E27163"/>
    <w:rsid w:val="00E274FA"/>
    <w:rsid w:val="00E278C4"/>
    <w:rsid w:val="00E27EE0"/>
    <w:rsid w:val="00E3072A"/>
    <w:rsid w:val="00E309D7"/>
    <w:rsid w:val="00E31641"/>
    <w:rsid w:val="00E323D4"/>
    <w:rsid w:val="00E34C4A"/>
    <w:rsid w:val="00E41B07"/>
    <w:rsid w:val="00E42E7F"/>
    <w:rsid w:val="00E43890"/>
    <w:rsid w:val="00E45C45"/>
    <w:rsid w:val="00E515F1"/>
    <w:rsid w:val="00E518B5"/>
    <w:rsid w:val="00E54727"/>
    <w:rsid w:val="00E6105E"/>
    <w:rsid w:val="00E62AF7"/>
    <w:rsid w:val="00E659A4"/>
    <w:rsid w:val="00E70355"/>
    <w:rsid w:val="00E755B8"/>
    <w:rsid w:val="00E80B03"/>
    <w:rsid w:val="00E83E3B"/>
    <w:rsid w:val="00E85181"/>
    <w:rsid w:val="00E86DCF"/>
    <w:rsid w:val="00E877C7"/>
    <w:rsid w:val="00E9494D"/>
    <w:rsid w:val="00E95380"/>
    <w:rsid w:val="00EA2B38"/>
    <w:rsid w:val="00EA3C10"/>
    <w:rsid w:val="00EB14C1"/>
    <w:rsid w:val="00EB2BFF"/>
    <w:rsid w:val="00EB33EC"/>
    <w:rsid w:val="00EB534F"/>
    <w:rsid w:val="00EC075C"/>
    <w:rsid w:val="00EC5851"/>
    <w:rsid w:val="00EC5A76"/>
    <w:rsid w:val="00EC65FE"/>
    <w:rsid w:val="00EC6E9F"/>
    <w:rsid w:val="00ED6C38"/>
    <w:rsid w:val="00ED737A"/>
    <w:rsid w:val="00EE2739"/>
    <w:rsid w:val="00EE5ED2"/>
    <w:rsid w:val="00EE6014"/>
    <w:rsid w:val="00EE7471"/>
    <w:rsid w:val="00EF0377"/>
    <w:rsid w:val="00EF1D7D"/>
    <w:rsid w:val="00EF2875"/>
    <w:rsid w:val="00F05E48"/>
    <w:rsid w:val="00F05FDE"/>
    <w:rsid w:val="00F06C93"/>
    <w:rsid w:val="00F12109"/>
    <w:rsid w:val="00F17F82"/>
    <w:rsid w:val="00F2287B"/>
    <w:rsid w:val="00F256DB"/>
    <w:rsid w:val="00F35419"/>
    <w:rsid w:val="00F373C3"/>
    <w:rsid w:val="00F379E5"/>
    <w:rsid w:val="00F402F9"/>
    <w:rsid w:val="00F43A4B"/>
    <w:rsid w:val="00F45CE9"/>
    <w:rsid w:val="00F46050"/>
    <w:rsid w:val="00F51056"/>
    <w:rsid w:val="00F52D0C"/>
    <w:rsid w:val="00F556C6"/>
    <w:rsid w:val="00F60FAF"/>
    <w:rsid w:val="00F627CD"/>
    <w:rsid w:val="00F63D06"/>
    <w:rsid w:val="00F70804"/>
    <w:rsid w:val="00F72C9E"/>
    <w:rsid w:val="00F75960"/>
    <w:rsid w:val="00F76EBB"/>
    <w:rsid w:val="00F833D4"/>
    <w:rsid w:val="00F95C60"/>
    <w:rsid w:val="00F95C62"/>
    <w:rsid w:val="00F97579"/>
    <w:rsid w:val="00FA2263"/>
    <w:rsid w:val="00FA293A"/>
    <w:rsid w:val="00FA47D4"/>
    <w:rsid w:val="00FA549F"/>
    <w:rsid w:val="00FA6BF1"/>
    <w:rsid w:val="00FB5E83"/>
    <w:rsid w:val="00FB7204"/>
    <w:rsid w:val="00FC5EF2"/>
    <w:rsid w:val="00FD0074"/>
    <w:rsid w:val="00FD4524"/>
    <w:rsid w:val="00FD5387"/>
    <w:rsid w:val="00FE28D8"/>
    <w:rsid w:val="00FE3AC4"/>
    <w:rsid w:val="00FE4ACE"/>
    <w:rsid w:val="00FF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55756"/>
    <w:pPr>
      <w:spacing w:after="200" w:line="276" w:lineRule="auto"/>
    </w:pPr>
  </w:style>
  <w:style w:type="paragraph" w:styleId="Heading1">
    <w:name w:val="heading 1"/>
    <w:basedOn w:val="Normal"/>
    <w:next w:val="Normal"/>
    <w:link w:val="Heading1Char"/>
    <w:autoRedefine/>
    <w:uiPriority w:val="9"/>
    <w:qFormat/>
    <w:rsid w:val="00A55756"/>
    <w:pPr>
      <w:keepNext/>
      <w:spacing w:after="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A55756"/>
    <w:pPr>
      <w:keepNext/>
      <w:spacing w:after="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AD1308"/>
    <w:pPr>
      <w:keepNext/>
      <w:spacing w:after="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A55756"/>
    <w:pPr>
      <w:keepNext/>
      <w:spacing w:before="240" w:after="60"/>
      <w:outlineLvl w:val="3"/>
    </w:pPr>
    <w:rPr>
      <w:rFonts w:eastAsia="Times New Roman"/>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737A"/>
    <w:pPr>
      <w:tabs>
        <w:tab w:val="center" w:pos="4320"/>
        <w:tab w:val="right" w:pos="8640"/>
      </w:tabs>
    </w:pPr>
  </w:style>
  <w:style w:type="paragraph" w:styleId="Footer">
    <w:name w:val="footer"/>
    <w:basedOn w:val="Normal"/>
    <w:rsid w:val="00ED737A"/>
    <w:pPr>
      <w:tabs>
        <w:tab w:val="center" w:pos="4320"/>
        <w:tab w:val="right" w:pos="8640"/>
      </w:tabs>
    </w:pPr>
  </w:style>
  <w:style w:type="table" w:styleId="TableGrid">
    <w:name w:val="Table Grid"/>
    <w:basedOn w:val="TableNormal"/>
    <w:rsid w:val="00580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DD"/>
    <w:rPr>
      <w:rFonts w:ascii="Tahoma" w:hAnsi="Tahoma" w:cs="Tahoma"/>
      <w:sz w:val="16"/>
      <w:szCs w:val="16"/>
    </w:rPr>
  </w:style>
  <w:style w:type="character" w:customStyle="1" w:styleId="BalloonTextChar">
    <w:name w:val="Balloon Text Char"/>
    <w:link w:val="BalloonText"/>
    <w:uiPriority w:val="99"/>
    <w:semiHidden/>
    <w:rsid w:val="001543DD"/>
    <w:rPr>
      <w:rFonts w:ascii="Tahoma" w:hAnsi="Tahoma" w:cs="Tahoma"/>
      <w:sz w:val="16"/>
      <w:szCs w:val="16"/>
    </w:rPr>
  </w:style>
  <w:style w:type="character" w:customStyle="1" w:styleId="Heading1Char">
    <w:name w:val="Heading 1 Char"/>
    <w:link w:val="Heading1"/>
    <w:uiPriority w:val="9"/>
    <w:rsid w:val="00A55756"/>
    <w:rPr>
      <w:rFonts w:eastAsia="Times New Roman"/>
      <w:b/>
      <w:bCs/>
      <w:kern w:val="32"/>
      <w:sz w:val="32"/>
      <w:szCs w:val="32"/>
    </w:rPr>
  </w:style>
  <w:style w:type="character" w:customStyle="1" w:styleId="Heading2Char">
    <w:name w:val="Heading 2 Char"/>
    <w:link w:val="Heading2"/>
    <w:uiPriority w:val="9"/>
    <w:rsid w:val="00A55756"/>
    <w:rPr>
      <w:rFonts w:eastAsia="Times New Roman"/>
      <w:b/>
      <w:bCs/>
      <w:iCs/>
      <w:sz w:val="26"/>
      <w:szCs w:val="28"/>
    </w:rPr>
  </w:style>
  <w:style w:type="character" w:customStyle="1" w:styleId="Heading3Char">
    <w:name w:val="Heading 3 Char"/>
    <w:link w:val="Heading3"/>
    <w:uiPriority w:val="9"/>
    <w:rsid w:val="00AD1308"/>
    <w:rPr>
      <w:rFonts w:eastAsia="Times New Roman"/>
      <w:b/>
      <w:bCs/>
      <w:sz w:val="24"/>
      <w:szCs w:val="26"/>
    </w:rPr>
  </w:style>
  <w:style w:type="character" w:customStyle="1" w:styleId="Heading4Char">
    <w:name w:val="Heading 4 Char"/>
    <w:link w:val="Heading4"/>
    <w:uiPriority w:val="9"/>
    <w:rsid w:val="00A55756"/>
    <w:rPr>
      <w:rFonts w:eastAsia="Times New Roman"/>
      <w:b/>
      <w:bCs/>
      <w:sz w:val="24"/>
      <w:szCs w:val="28"/>
    </w:rPr>
  </w:style>
  <w:style w:type="paragraph" w:styleId="NoSpacing">
    <w:name w:val="No Spacing"/>
    <w:autoRedefine/>
    <w:uiPriority w:val="1"/>
    <w:qFormat/>
    <w:rsid w:val="00A55756"/>
  </w:style>
  <w:style w:type="paragraph" w:styleId="ListParagraph">
    <w:name w:val="List Paragraph"/>
    <w:basedOn w:val="Normal"/>
    <w:uiPriority w:val="34"/>
    <w:rsid w:val="00AD13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55756"/>
    <w:pPr>
      <w:spacing w:after="200" w:line="276" w:lineRule="auto"/>
    </w:pPr>
  </w:style>
  <w:style w:type="paragraph" w:styleId="Heading1">
    <w:name w:val="heading 1"/>
    <w:basedOn w:val="Normal"/>
    <w:next w:val="Normal"/>
    <w:link w:val="Heading1Char"/>
    <w:autoRedefine/>
    <w:uiPriority w:val="9"/>
    <w:qFormat/>
    <w:rsid w:val="00A55756"/>
    <w:pPr>
      <w:keepNext/>
      <w:spacing w:after="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A55756"/>
    <w:pPr>
      <w:keepNext/>
      <w:spacing w:after="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AD1308"/>
    <w:pPr>
      <w:keepNext/>
      <w:spacing w:after="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A55756"/>
    <w:pPr>
      <w:keepNext/>
      <w:spacing w:before="240" w:after="60"/>
      <w:outlineLvl w:val="3"/>
    </w:pPr>
    <w:rPr>
      <w:rFonts w:eastAsia="Times New Roman"/>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737A"/>
    <w:pPr>
      <w:tabs>
        <w:tab w:val="center" w:pos="4320"/>
        <w:tab w:val="right" w:pos="8640"/>
      </w:tabs>
    </w:pPr>
  </w:style>
  <w:style w:type="paragraph" w:styleId="Footer">
    <w:name w:val="footer"/>
    <w:basedOn w:val="Normal"/>
    <w:rsid w:val="00ED737A"/>
    <w:pPr>
      <w:tabs>
        <w:tab w:val="center" w:pos="4320"/>
        <w:tab w:val="right" w:pos="8640"/>
      </w:tabs>
    </w:pPr>
  </w:style>
  <w:style w:type="table" w:styleId="TableGrid">
    <w:name w:val="Table Grid"/>
    <w:basedOn w:val="TableNormal"/>
    <w:rsid w:val="00580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DD"/>
    <w:rPr>
      <w:rFonts w:ascii="Tahoma" w:hAnsi="Tahoma" w:cs="Tahoma"/>
      <w:sz w:val="16"/>
      <w:szCs w:val="16"/>
    </w:rPr>
  </w:style>
  <w:style w:type="character" w:customStyle="1" w:styleId="BalloonTextChar">
    <w:name w:val="Balloon Text Char"/>
    <w:link w:val="BalloonText"/>
    <w:uiPriority w:val="99"/>
    <w:semiHidden/>
    <w:rsid w:val="001543DD"/>
    <w:rPr>
      <w:rFonts w:ascii="Tahoma" w:hAnsi="Tahoma" w:cs="Tahoma"/>
      <w:sz w:val="16"/>
      <w:szCs w:val="16"/>
    </w:rPr>
  </w:style>
  <w:style w:type="character" w:customStyle="1" w:styleId="Heading1Char">
    <w:name w:val="Heading 1 Char"/>
    <w:link w:val="Heading1"/>
    <w:uiPriority w:val="9"/>
    <w:rsid w:val="00A55756"/>
    <w:rPr>
      <w:rFonts w:eastAsia="Times New Roman"/>
      <w:b/>
      <w:bCs/>
      <w:kern w:val="32"/>
      <w:sz w:val="32"/>
      <w:szCs w:val="32"/>
    </w:rPr>
  </w:style>
  <w:style w:type="character" w:customStyle="1" w:styleId="Heading2Char">
    <w:name w:val="Heading 2 Char"/>
    <w:link w:val="Heading2"/>
    <w:uiPriority w:val="9"/>
    <w:rsid w:val="00A55756"/>
    <w:rPr>
      <w:rFonts w:eastAsia="Times New Roman"/>
      <w:b/>
      <w:bCs/>
      <w:iCs/>
      <w:sz w:val="26"/>
      <w:szCs w:val="28"/>
    </w:rPr>
  </w:style>
  <w:style w:type="character" w:customStyle="1" w:styleId="Heading3Char">
    <w:name w:val="Heading 3 Char"/>
    <w:link w:val="Heading3"/>
    <w:uiPriority w:val="9"/>
    <w:rsid w:val="00AD1308"/>
    <w:rPr>
      <w:rFonts w:eastAsia="Times New Roman"/>
      <w:b/>
      <w:bCs/>
      <w:sz w:val="24"/>
      <w:szCs w:val="26"/>
    </w:rPr>
  </w:style>
  <w:style w:type="character" w:customStyle="1" w:styleId="Heading4Char">
    <w:name w:val="Heading 4 Char"/>
    <w:link w:val="Heading4"/>
    <w:uiPriority w:val="9"/>
    <w:rsid w:val="00A55756"/>
    <w:rPr>
      <w:rFonts w:eastAsia="Times New Roman"/>
      <w:b/>
      <w:bCs/>
      <w:sz w:val="24"/>
      <w:szCs w:val="28"/>
    </w:rPr>
  </w:style>
  <w:style w:type="paragraph" w:styleId="NoSpacing">
    <w:name w:val="No Spacing"/>
    <w:autoRedefine/>
    <w:uiPriority w:val="1"/>
    <w:qFormat/>
    <w:rsid w:val="00A55756"/>
  </w:style>
  <w:style w:type="paragraph" w:styleId="ListParagraph">
    <w:name w:val="List Paragraph"/>
    <w:basedOn w:val="Normal"/>
    <w:uiPriority w:val="34"/>
    <w:rsid w:val="00AD1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5637</Words>
  <Characters>32132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Employment Standards Administration</Company>
  <LinksUpToDate>false</LinksUpToDate>
  <CharactersWithSpaces>37694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Department of Labor</dc:creator>
  <cp:lastModifiedBy>Giancola, Thomas A - WHD</cp:lastModifiedBy>
  <cp:revision>2</cp:revision>
  <cp:lastPrinted>2014-08-14T15:46:00Z</cp:lastPrinted>
  <dcterms:created xsi:type="dcterms:W3CDTF">2015-04-07T20:11:00Z</dcterms:created>
  <dcterms:modified xsi:type="dcterms:W3CDTF">2015-04-07T20:11:00Z</dcterms:modified>
</cp:coreProperties>
</file>