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499B2" w14:textId="39C36E06" w:rsidR="007426A7" w:rsidRDefault="007426A7">
      <w:bookmarkStart w:id="0" w:name="_GoBack"/>
      <w:r>
        <w:rPr>
          <w:noProof/>
        </w:rPr>
        <w:drawing>
          <wp:anchor distT="0" distB="0" distL="114300" distR="114300" simplePos="0" relativeHeight="251656704" behindDoc="0" locked="0" layoutInCell="1" allowOverlap="1" wp14:anchorId="14887784" wp14:editId="413BF8BF">
            <wp:simplePos x="0" y="0"/>
            <wp:positionH relativeFrom="column">
              <wp:posOffset>-922982</wp:posOffset>
            </wp:positionH>
            <wp:positionV relativeFrom="paragraph">
              <wp:posOffset>-895211</wp:posOffset>
            </wp:positionV>
            <wp:extent cx="7766661" cy="192838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6661" cy="1928388"/>
                    </a:xfrm>
                    <a:prstGeom prst="rect">
                      <a:avLst/>
                    </a:prstGeom>
                  </pic:spPr>
                </pic:pic>
              </a:graphicData>
            </a:graphic>
            <wp14:sizeRelH relativeFrom="page">
              <wp14:pctWidth>0</wp14:pctWidth>
            </wp14:sizeRelH>
            <wp14:sizeRelV relativeFrom="page">
              <wp14:pctHeight>0</wp14:pctHeight>
            </wp14:sizeRelV>
          </wp:anchor>
        </w:drawing>
      </w:r>
      <w:bookmarkEnd w:id="0"/>
    </w:p>
    <w:p w14:paraId="7C96A4DB" w14:textId="22E6A251" w:rsidR="007426A7" w:rsidRDefault="007426A7"/>
    <w:p w14:paraId="04EDC429" w14:textId="308B1E5B" w:rsidR="007426A7" w:rsidRDefault="007426A7"/>
    <w:p w14:paraId="64184B25" w14:textId="1307AC3A" w:rsidR="007426A7" w:rsidRDefault="007426A7"/>
    <w:p w14:paraId="2866E21F" w14:textId="0DFD89D2" w:rsidR="007426A7" w:rsidRDefault="007426A7"/>
    <w:p w14:paraId="529CE680" w14:textId="68439297" w:rsidR="007426A7" w:rsidRDefault="007426A7"/>
    <w:p w14:paraId="0000B843" w14:textId="3F924A7A" w:rsidR="007426A7" w:rsidRPr="005E308A" w:rsidRDefault="005E308A" w:rsidP="007426A7">
      <w:pPr>
        <w:tabs>
          <w:tab w:val="left" w:pos="8325"/>
        </w:tabs>
        <w:jc w:val="both"/>
        <w:rPr>
          <w:rFonts w:ascii="Montserrat" w:hAnsi="Montserrat"/>
          <w:sz w:val="22"/>
          <w:szCs w:val="22"/>
        </w:rPr>
      </w:pPr>
      <w:r w:rsidRPr="005E308A">
        <w:rPr>
          <w:rFonts w:ascii="Montserrat" w:hAnsi="Montserrat"/>
          <w:sz w:val="22"/>
          <w:szCs w:val="22"/>
        </w:rPr>
        <w:t>Follow us on Twitter: PCLOB_Gov</w:t>
      </w:r>
    </w:p>
    <w:p w14:paraId="6A4000B6" w14:textId="77777777" w:rsidR="005E308A" w:rsidRPr="00CF41FB" w:rsidRDefault="005E308A" w:rsidP="007426A7">
      <w:pPr>
        <w:tabs>
          <w:tab w:val="left" w:pos="8325"/>
        </w:tabs>
        <w:jc w:val="both"/>
        <w:rPr>
          <w:rFonts w:ascii="Montserrat" w:hAnsi="Montserrat"/>
          <w:b/>
          <w:bCs/>
          <w:i/>
          <w:iCs/>
        </w:rPr>
      </w:pPr>
    </w:p>
    <w:p w14:paraId="36A989D4" w14:textId="12727ED3" w:rsidR="007426A7" w:rsidRPr="005E308A" w:rsidRDefault="007426A7" w:rsidP="007426A7">
      <w:pPr>
        <w:tabs>
          <w:tab w:val="left" w:pos="8325"/>
        </w:tabs>
        <w:jc w:val="both"/>
        <w:rPr>
          <w:rFonts w:ascii="Montserrat" w:hAnsi="Montserrat"/>
          <w:b/>
          <w:color w:val="166A9C"/>
          <w:sz w:val="30"/>
          <w:szCs w:val="30"/>
        </w:rPr>
      </w:pPr>
      <w:r w:rsidRPr="007426A7">
        <w:rPr>
          <w:rFonts w:ascii="Montserrat" w:hAnsi="Montserrat"/>
          <w:bCs/>
          <w:i/>
          <w:iCs/>
          <w:color w:val="166A9C"/>
          <w:sz w:val="30"/>
          <w:szCs w:val="30"/>
        </w:rPr>
        <w:t>Background</w:t>
      </w:r>
      <w:r w:rsidR="00D459BB">
        <w:rPr>
          <w:rFonts w:ascii="Montserrat" w:hAnsi="Montserrat"/>
          <w:bCs/>
          <w:i/>
          <w:iCs/>
          <w:color w:val="166A9C"/>
          <w:sz w:val="30"/>
          <w:szCs w:val="30"/>
        </w:rPr>
        <w:t xml:space="preserve">  </w:t>
      </w:r>
    </w:p>
    <w:p w14:paraId="2119594B" w14:textId="77777777" w:rsidR="007426A7" w:rsidRPr="00CF41FB" w:rsidRDefault="007426A7" w:rsidP="007426A7">
      <w:pPr>
        <w:tabs>
          <w:tab w:val="left" w:pos="8325"/>
        </w:tabs>
        <w:jc w:val="both"/>
        <w:rPr>
          <w:rFonts w:ascii="Montserrat" w:hAnsi="Montserrat"/>
          <w:b/>
          <w:bCs/>
          <w:i/>
          <w:iCs/>
        </w:rPr>
      </w:pPr>
    </w:p>
    <w:p w14:paraId="64835A40" w14:textId="10ACB407" w:rsidR="007426A7" w:rsidRPr="00CF41FB" w:rsidRDefault="007426A7" w:rsidP="007426A7">
      <w:pPr>
        <w:tabs>
          <w:tab w:val="left" w:pos="8325"/>
        </w:tabs>
        <w:jc w:val="both"/>
        <w:rPr>
          <w:rFonts w:ascii="Montserrat" w:hAnsi="Montserrat"/>
          <w:sz w:val="22"/>
          <w:szCs w:val="22"/>
        </w:rPr>
      </w:pPr>
      <w:r w:rsidRPr="00CF41FB">
        <w:rPr>
          <w:rFonts w:ascii="Montserrat" w:hAnsi="Montserrat"/>
          <w:sz w:val="22"/>
          <w:szCs w:val="22"/>
        </w:rPr>
        <w:t>The Privacy and Civil Liberties Oversight Board</w:t>
      </w:r>
      <w:r w:rsidR="00EF161F">
        <w:rPr>
          <w:rFonts w:ascii="Montserrat" w:hAnsi="Montserrat"/>
          <w:sz w:val="22"/>
          <w:szCs w:val="22"/>
        </w:rPr>
        <w:t xml:space="preserve"> (Board)</w:t>
      </w:r>
      <w:r w:rsidRPr="00CF41FB">
        <w:rPr>
          <w:rFonts w:ascii="Montserrat" w:hAnsi="Montserrat"/>
          <w:sz w:val="22"/>
          <w:szCs w:val="22"/>
        </w:rPr>
        <w:t xml:space="preserve"> has issued its oversight report on the government’s operation of the call detail records (CDR) program under the USA Freedom Act.   The NSA suspended its use of th</w:t>
      </w:r>
      <w:r w:rsidR="001A3569">
        <w:rPr>
          <w:rFonts w:ascii="Montserrat" w:hAnsi="Montserrat"/>
          <w:sz w:val="22"/>
          <w:szCs w:val="22"/>
        </w:rPr>
        <w:t>is</w:t>
      </w:r>
      <w:r w:rsidRPr="00CF41FB">
        <w:rPr>
          <w:rFonts w:ascii="Montserrat" w:hAnsi="Montserrat"/>
          <w:sz w:val="22"/>
          <w:szCs w:val="22"/>
        </w:rPr>
        <w:t xml:space="preserve"> program in early 2019 “after balancing the program’s relative intelligence value, associated costs, and compliance and data-integrity concerns caused by the unique complexities of using these provider-generated business records for intelligence purposes.” After suspending the program</w:t>
      </w:r>
      <w:r w:rsidR="005E308A">
        <w:rPr>
          <w:rFonts w:ascii="Montserrat" w:hAnsi="Montserrat"/>
          <w:sz w:val="22"/>
          <w:szCs w:val="22"/>
        </w:rPr>
        <w:t xml:space="preserve">, </w:t>
      </w:r>
      <w:r w:rsidRPr="00CF41FB">
        <w:rPr>
          <w:rFonts w:ascii="Montserrat" w:hAnsi="Montserrat"/>
          <w:sz w:val="22"/>
          <w:szCs w:val="22"/>
        </w:rPr>
        <w:t xml:space="preserve">NSA ultimately deleted </w:t>
      </w:r>
      <w:r w:rsidR="008E10B9">
        <w:rPr>
          <w:rFonts w:ascii="Montserrat" w:hAnsi="Montserrat"/>
          <w:sz w:val="22"/>
          <w:szCs w:val="22"/>
        </w:rPr>
        <w:t>the</w:t>
      </w:r>
      <w:r w:rsidR="008E10B9" w:rsidRPr="00CF41FB">
        <w:rPr>
          <w:rFonts w:ascii="Montserrat" w:hAnsi="Montserrat"/>
          <w:sz w:val="22"/>
          <w:szCs w:val="22"/>
        </w:rPr>
        <w:t xml:space="preserve"> </w:t>
      </w:r>
      <w:r w:rsidRPr="00CF41FB">
        <w:rPr>
          <w:rFonts w:ascii="Montserrat" w:hAnsi="Montserrat"/>
          <w:sz w:val="22"/>
          <w:szCs w:val="22"/>
        </w:rPr>
        <w:t>CDRs collected under the Act</w:t>
      </w:r>
      <w:r w:rsidR="001A3569">
        <w:rPr>
          <w:rFonts w:ascii="Montserrat" w:hAnsi="Montserrat"/>
          <w:sz w:val="22"/>
          <w:szCs w:val="22"/>
        </w:rPr>
        <w:t>, with the exception of data referenced in disseminated Intelligence reports or used for mission-management purposes</w:t>
      </w:r>
      <w:r w:rsidR="00FB1DA6">
        <w:rPr>
          <w:rFonts w:ascii="Montserrat" w:hAnsi="Montserrat"/>
          <w:sz w:val="22"/>
          <w:szCs w:val="22"/>
        </w:rPr>
        <w:t>.</w:t>
      </w:r>
    </w:p>
    <w:p w14:paraId="1E2A3872" w14:textId="77777777" w:rsidR="007426A7" w:rsidRPr="00CF41FB" w:rsidRDefault="007426A7" w:rsidP="007426A7">
      <w:pPr>
        <w:tabs>
          <w:tab w:val="left" w:pos="8325"/>
        </w:tabs>
        <w:jc w:val="both"/>
        <w:rPr>
          <w:rFonts w:ascii="Montserrat" w:hAnsi="Montserrat"/>
          <w:sz w:val="22"/>
          <w:szCs w:val="22"/>
        </w:rPr>
      </w:pPr>
    </w:p>
    <w:p w14:paraId="54C4362B" w14:textId="42CF11CE" w:rsidR="007426A7" w:rsidRPr="00CF41FB" w:rsidRDefault="007426A7" w:rsidP="007426A7">
      <w:pPr>
        <w:tabs>
          <w:tab w:val="left" w:pos="8325"/>
        </w:tabs>
        <w:jc w:val="both"/>
        <w:rPr>
          <w:rFonts w:ascii="Montserrat" w:hAnsi="Montserrat"/>
          <w:sz w:val="22"/>
          <w:szCs w:val="22"/>
        </w:rPr>
      </w:pPr>
      <w:r w:rsidRPr="00CF41FB">
        <w:rPr>
          <w:rFonts w:ascii="Montserrat" w:hAnsi="Montserrat"/>
          <w:sz w:val="22"/>
          <w:szCs w:val="22"/>
        </w:rPr>
        <w:t xml:space="preserve">The Board completed this comprehensive review to provide transparency and clarity for the public.  The Board secured the declassification of several important, never previously disclosed facts about the program.  This additional information should enhance the public’s understanding of the government’s implementation of the </w:t>
      </w:r>
      <w:r w:rsidR="008E10B9">
        <w:rPr>
          <w:rFonts w:ascii="Montserrat" w:hAnsi="Montserrat"/>
          <w:sz w:val="22"/>
          <w:szCs w:val="22"/>
        </w:rPr>
        <w:t xml:space="preserve">CDR </w:t>
      </w:r>
      <w:r w:rsidRPr="00CF41FB">
        <w:rPr>
          <w:rFonts w:ascii="Montserrat" w:hAnsi="Montserrat"/>
          <w:sz w:val="22"/>
          <w:szCs w:val="22"/>
        </w:rPr>
        <w:t xml:space="preserve">program. </w:t>
      </w:r>
    </w:p>
    <w:p w14:paraId="065EF7C6" w14:textId="77777777" w:rsidR="007426A7" w:rsidRPr="00CF41FB" w:rsidRDefault="007426A7" w:rsidP="007426A7">
      <w:pPr>
        <w:tabs>
          <w:tab w:val="left" w:pos="8325"/>
        </w:tabs>
        <w:jc w:val="both"/>
        <w:rPr>
          <w:rFonts w:ascii="Montserrat" w:hAnsi="Montserrat"/>
          <w:sz w:val="22"/>
          <w:szCs w:val="22"/>
        </w:rPr>
      </w:pPr>
    </w:p>
    <w:p w14:paraId="04542CD7" w14:textId="41CF1328" w:rsidR="007426A7" w:rsidRPr="00CF41FB" w:rsidRDefault="007426A7" w:rsidP="007426A7">
      <w:pPr>
        <w:tabs>
          <w:tab w:val="left" w:pos="8325"/>
        </w:tabs>
        <w:jc w:val="both"/>
        <w:rPr>
          <w:rFonts w:ascii="Montserrat" w:hAnsi="Montserrat"/>
          <w:sz w:val="22"/>
          <w:szCs w:val="22"/>
        </w:rPr>
      </w:pPr>
      <w:r w:rsidRPr="00CF41FB">
        <w:rPr>
          <w:rFonts w:ascii="Montserrat" w:hAnsi="Montserrat"/>
          <w:sz w:val="22"/>
          <w:szCs w:val="22"/>
        </w:rPr>
        <w:t xml:space="preserve">The Board also </w:t>
      </w:r>
      <w:r w:rsidR="00594E0E">
        <w:rPr>
          <w:rFonts w:ascii="Montserrat" w:hAnsi="Montserrat"/>
          <w:sz w:val="22"/>
          <w:szCs w:val="22"/>
        </w:rPr>
        <w:t xml:space="preserve">has issued an unclassified version of the report to the public </w:t>
      </w:r>
      <w:r w:rsidRPr="00CF41FB">
        <w:rPr>
          <w:rFonts w:ascii="Montserrat" w:hAnsi="Montserrat"/>
          <w:sz w:val="22"/>
          <w:szCs w:val="22"/>
        </w:rPr>
        <w:t>and</w:t>
      </w:r>
      <w:r w:rsidR="001A3569">
        <w:rPr>
          <w:rFonts w:ascii="Montserrat" w:hAnsi="Montserrat"/>
          <w:sz w:val="22"/>
          <w:szCs w:val="22"/>
        </w:rPr>
        <w:t xml:space="preserve"> a</w:t>
      </w:r>
      <w:r w:rsidRPr="00CF41FB">
        <w:rPr>
          <w:rFonts w:ascii="Montserrat" w:hAnsi="Montserrat"/>
          <w:sz w:val="22"/>
          <w:szCs w:val="22"/>
        </w:rPr>
        <w:t xml:space="preserve"> classified version of this report to Congress to assist </w:t>
      </w:r>
      <w:r w:rsidR="008E10B9">
        <w:rPr>
          <w:rFonts w:ascii="Montserrat" w:hAnsi="Montserrat"/>
          <w:sz w:val="22"/>
          <w:szCs w:val="22"/>
        </w:rPr>
        <w:t>Members</w:t>
      </w:r>
      <w:r w:rsidR="008E10B9" w:rsidRPr="00CF41FB">
        <w:rPr>
          <w:rFonts w:ascii="Montserrat" w:hAnsi="Montserrat"/>
          <w:sz w:val="22"/>
          <w:szCs w:val="22"/>
        </w:rPr>
        <w:t xml:space="preserve"> </w:t>
      </w:r>
      <w:r w:rsidRPr="00CF41FB">
        <w:rPr>
          <w:rFonts w:ascii="Montserrat" w:hAnsi="Montserrat"/>
          <w:sz w:val="22"/>
          <w:szCs w:val="22"/>
        </w:rPr>
        <w:t xml:space="preserve">as they consider whether to extend the USA Freedom Act before the authority sunsets next month. The report provides a </w:t>
      </w:r>
      <w:r w:rsidR="00594E0E">
        <w:rPr>
          <w:rFonts w:ascii="Montserrat" w:hAnsi="Montserrat"/>
          <w:sz w:val="22"/>
          <w:szCs w:val="22"/>
        </w:rPr>
        <w:t>detailed</w:t>
      </w:r>
      <w:r w:rsidR="00594E0E" w:rsidRPr="00CF41FB">
        <w:rPr>
          <w:rFonts w:ascii="Montserrat" w:hAnsi="Montserrat"/>
          <w:sz w:val="22"/>
          <w:szCs w:val="22"/>
        </w:rPr>
        <w:t xml:space="preserve"> </w:t>
      </w:r>
      <w:r w:rsidRPr="00CF41FB">
        <w:rPr>
          <w:rFonts w:ascii="Montserrat" w:hAnsi="Montserrat"/>
          <w:sz w:val="22"/>
          <w:szCs w:val="22"/>
        </w:rPr>
        <w:t xml:space="preserve">understanding of the CDR program and the privacy and civil liberties </w:t>
      </w:r>
      <w:r w:rsidR="008E10B9">
        <w:rPr>
          <w:rFonts w:ascii="Montserrat" w:hAnsi="Montserrat"/>
          <w:sz w:val="22"/>
          <w:szCs w:val="22"/>
        </w:rPr>
        <w:t>risk</w:t>
      </w:r>
      <w:r w:rsidR="008E10B9" w:rsidRPr="00CF41FB">
        <w:rPr>
          <w:rFonts w:ascii="Montserrat" w:hAnsi="Montserrat"/>
          <w:sz w:val="22"/>
          <w:szCs w:val="22"/>
        </w:rPr>
        <w:t xml:space="preserve">s </w:t>
      </w:r>
      <w:r w:rsidR="008E10B9">
        <w:rPr>
          <w:rFonts w:ascii="Montserrat" w:hAnsi="Montserrat"/>
          <w:sz w:val="22"/>
          <w:szCs w:val="22"/>
        </w:rPr>
        <w:t>associat</w:t>
      </w:r>
      <w:r w:rsidR="008E10B9" w:rsidRPr="00CF41FB">
        <w:rPr>
          <w:rFonts w:ascii="Montserrat" w:hAnsi="Montserrat"/>
          <w:sz w:val="22"/>
          <w:szCs w:val="22"/>
        </w:rPr>
        <w:t xml:space="preserve">ed </w:t>
      </w:r>
      <w:r w:rsidRPr="00CF41FB">
        <w:rPr>
          <w:rFonts w:ascii="Montserrat" w:hAnsi="Montserrat"/>
          <w:sz w:val="22"/>
          <w:szCs w:val="22"/>
        </w:rPr>
        <w:t xml:space="preserve">with the program. </w:t>
      </w:r>
    </w:p>
    <w:p w14:paraId="2C48F9A4" w14:textId="77777777" w:rsidR="007426A7" w:rsidRPr="00CF41FB" w:rsidRDefault="007426A7" w:rsidP="007426A7">
      <w:pPr>
        <w:tabs>
          <w:tab w:val="left" w:pos="8325"/>
        </w:tabs>
        <w:jc w:val="both"/>
        <w:rPr>
          <w:rFonts w:ascii="Montserrat" w:hAnsi="Montserrat"/>
        </w:rPr>
      </w:pPr>
    </w:p>
    <w:p w14:paraId="069DD1A3" w14:textId="77777777" w:rsidR="007426A7" w:rsidRPr="007426A7" w:rsidRDefault="007426A7" w:rsidP="007426A7">
      <w:pPr>
        <w:tabs>
          <w:tab w:val="left" w:pos="8325"/>
        </w:tabs>
        <w:jc w:val="both"/>
        <w:rPr>
          <w:rFonts w:ascii="Montserrat" w:hAnsi="Montserrat"/>
          <w:bCs/>
          <w:i/>
          <w:iCs/>
          <w:color w:val="166A9C"/>
          <w:sz w:val="30"/>
          <w:szCs w:val="30"/>
        </w:rPr>
      </w:pPr>
      <w:r w:rsidRPr="007426A7">
        <w:rPr>
          <w:rFonts w:ascii="Montserrat" w:hAnsi="Montserrat"/>
          <w:bCs/>
          <w:i/>
          <w:iCs/>
          <w:color w:val="166A9C"/>
          <w:sz w:val="30"/>
          <w:szCs w:val="30"/>
        </w:rPr>
        <w:t>What was the Intelligence Value of the CDR Program?</w:t>
      </w:r>
    </w:p>
    <w:p w14:paraId="6F801182" w14:textId="77777777" w:rsidR="007426A7" w:rsidRPr="00CF41FB" w:rsidRDefault="007426A7" w:rsidP="007426A7">
      <w:pPr>
        <w:tabs>
          <w:tab w:val="left" w:pos="8325"/>
        </w:tabs>
        <w:jc w:val="both"/>
        <w:rPr>
          <w:rFonts w:ascii="Montserrat" w:hAnsi="Montserrat"/>
          <w:b/>
          <w:bCs/>
          <w:i/>
          <w:iCs/>
        </w:rPr>
      </w:pPr>
    </w:p>
    <w:p w14:paraId="1F2CAA61" w14:textId="77777777" w:rsidR="007426A7" w:rsidRPr="007426A7" w:rsidRDefault="007426A7" w:rsidP="007426A7">
      <w:pPr>
        <w:tabs>
          <w:tab w:val="left" w:pos="8325"/>
        </w:tabs>
        <w:jc w:val="both"/>
        <w:rPr>
          <w:rFonts w:ascii="Montserrat" w:hAnsi="Montserrat"/>
          <w:color w:val="595959" w:themeColor="text1" w:themeTint="A6"/>
        </w:rPr>
      </w:pPr>
      <w:r w:rsidRPr="007426A7">
        <w:rPr>
          <w:rFonts w:ascii="Montserrat" w:hAnsi="Montserrat"/>
          <w:color w:val="595959" w:themeColor="text1" w:themeTint="A6"/>
        </w:rPr>
        <w:t>Newly declassified facts are bolded:</w:t>
      </w:r>
    </w:p>
    <w:p w14:paraId="0F911259" w14:textId="77777777" w:rsidR="007426A7" w:rsidRPr="00CF41FB" w:rsidRDefault="007426A7" w:rsidP="007426A7">
      <w:pPr>
        <w:tabs>
          <w:tab w:val="left" w:pos="8325"/>
        </w:tabs>
        <w:jc w:val="both"/>
        <w:rPr>
          <w:rFonts w:ascii="Montserrat" w:hAnsi="Montserrat"/>
        </w:rPr>
      </w:pPr>
    </w:p>
    <w:p w14:paraId="4B79A245" w14:textId="6B6BC485" w:rsidR="007426A7" w:rsidRPr="007426A7" w:rsidRDefault="007426A7" w:rsidP="007426A7">
      <w:pPr>
        <w:pStyle w:val="ListParagraph"/>
        <w:numPr>
          <w:ilvl w:val="0"/>
          <w:numId w:val="2"/>
        </w:numPr>
        <w:tabs>
          <w:tab w:val="left" w:pos="8325"/>
        </w:tabs>
        <w:jc w:val="both"/>
        <w:rPr>
          <w:rFonts w:ascii="Montserrat" w:hAnsi="Montserrat"/>
          <w:sz w:val="22"/>
          <w:szCs w:val="22"/>
        </w:rPr>
      </w:pPr>
      <w:r w:rsidRPr="007426A7">
        <w:rPr>
          <w:rFonts w:ascii="Montserrat" w:hAnsi="Montserrat"/>
          <w:b/>
          <w:bCs/>
          <w:sz w:val="22"/>
          <w:szCs w:val="22"/>
        </w:rPr>
        <w:t xml:space="preserve">NSA acquired landline and wireless phone call records under the USA Freedom Act. NSA used the CDR program in response to a terrorist attack or a known terrorist threat. For example, NSA produced intelligence reports that were derived in whole or in part from the CDR program in its analysis of the 2016 Pulse nightclub shooting in Florida, and the Ohio machete attack that same year. </w:t>
      </w:r>
    </w:p>
    <w:p w14:paraId="145304EA" w14:textId="5B11AA74" w:rsidR="007426A7" w:rsidRPr="007426A7" w:rsidRDefault="007426A7" w:rsidP="007426A7">
      <w:pPr>
        <w:tabs>
          <w:tab w:val="left" w:pos="8325"/>
        </w:tabs>
        <w:jc w:val="both"/>
        <w:rPr>
          <w:rFonts w:ascii="Montserrat" w:hAnsi="Montserrat"/>
          <w:sz w:val="22"/>
          <w:szCs w:val="22"/>
        </w:rPr>
      </w:pPr>
    </w:p>
    <w:p w14:paraId="4FF0424C" w14:textId="086AEBEA" w:rsidR="007426A7" w:rsidRPr="007426A7" w:rsidRDefault="007426A7" w:rsidP="007426A7">
      <w:pPr>
        <w:pStyle w:val="ListParagraph"/>
        <w:numPr>
          <w:ilvl w:val="0"/>
          <w:numId w:val="2"/>
        </w:numPr>
        <w:tabs>
          <w:tab w:val="left" w:pos="8325"/>
        </w:tabs>
        <w:jc w:val="both"/>
        <w:rPr>
          <w:rFonts w:ascii="Montserrat" w:hAnsi="Montserrat"/>
          <w:b/>
          <w:bCs/>
          <w:i/>
          <w:iCs/>
          <w:sz w:val="22"/>
          <w:szCs w:val="22"/>
        </w:rPr>
      </w:pPr>
      <w:r w:rsidRPr="007426A7">
        <w:rPr>
          <w:rFonts w:ascii="Montserrat" w:hAnsi="Montserrat"/>
          <w:sz w:val="22"/>
          <w:szCs w:val="22"/>
        </w:rPr>
        <w:t xml:space="preserve">The USA Freedom Act CDR program cost the government approximately </w:t>
      </w:r>
      <w:r w:rsidRPr="007426A7">
        <w:rPr>
          <w:rFonts w:ascii="Montserrat" w:hAnsi="Montserrat"/>
          <w:b/>
          <w:bCs/>
          <w:sz w:val="22"/>
          <w:szCs w:val="22"/>
        </w:rPr>
        <w:t>$100 million</w:t>
      </w:r>
      <w:r w:rsidRPr="007426A7">
        <w:rPr>
          <w:rFonts w:ascii="Montserrat" w:hAnsi="Montserrat"/>
          <w:sz w:val="22"/>
          <w:szCs w:val="22"/>
        </w:rPr>
        <w:t xml:space="preserve">. Under the program, NSA produced </w:t>
      </w:r>
      <w:r w:rsidRPr="007426A7">
        <w:rPr>
          <w:rFonts w:ascii="Montserrat" w:hAnsi="Montserrat"/>
          <w:b/>
          <w:bCs/>
          <w:sz w:val="22"/>
          <w:szCs w:val="22"/>
        </w:rPr>
        <w:t>15 intelligence reports</w:t>
      </w:r>
      <w:r w:rsidRPr="007426A7">
        <w:rPr>
          <w:rFonts w:ascii="Montserrat" w:hAnsi="Montserrat"/>
          <w:sz w:val="22"/>
          <w:szCs w:val="22"/>
        </w:rPr>
        <w:t xml:space="preserve">. </w:t>
      </w:r>
    </w:p>
    <w:p w14:paraId="4F2C4DC7" w14:textId="63AF6689" w:rsidR="007426A7" w:rsidRPr="007426A7" w:rsidRDefault="007426A7" w:rsidP="007426A7">
      <w:pPr>
        <w:tabs>
          <w:tab w:val="left" w:pos="8325"/>
        </w:tabs>
        <w:jc w:val="both"/>
        <w:rPr>
          <w:rFonts w:ascii="Montserrat" w:hAnsi="Montserrat"/>
          <w:b/>
          <w:bCs/>
          <w:i/>
          <w:iCs/>
          <w:sz w:val="22"/>
          <w:szCs w:val="22"/>
        </w:rPr>
      </w:pPr>
    </w:p>
    <w:p w14:paraId="71B0A1E8" w14:textId="2EB2B44D" w:rsidR="007426A7" w:rsidRPr="007426A7" w:rsidRDefault="007426A7" w:rsidP="007426A7">
      <w:pPr>
        <w:pStyle w:val="ListParagraph"/>
        <w:numPr>
          <w:ilvl w:val="0"/>
          <w:numId w:val="2"/>
        </w:numPr>
        <w:tabs>
          <w:tab w:val="left" w:pos="8325"/>
        </w:tabs>
        <w:jc w:val="both"/>
        <w:rPr>
          <w:rFonts w:ascii="Montserrat" w:hAnsi="Montserrat"/>
          <w:b/>
          <w:bCs/>
          <w:i/>
          <w:iCs/>
          <w:sz w:val="22"/>
          <w:szCs w:val="22"/>
        </w:rPr>
      </w:pPr>
      <w:r w:rsidRPr="007426A7">
        <w:rPr>
          <w:rFonts w:ascii="Montserrat" w:hAnsi="Montserrat"/>
          <w:b/>
          <w:bCs/>
          <w:sz w:val="22"/>
          <w:szCs w:val="22"/>
        </w:rPr>
        <w:t xml:space="preserve">Of the 15 reports citing USA Freedom Act CDRs, the FBI received unique information from two of the intelligence reports. </w:t>
      </w:r>
    </w:p>
    <w:p w14:paraId="3EBFDF40" w14:textId="77777777" w:rsidR="007426A7" w:rsidRDefault="007426A7" w:rsidP="007426A7">
      <w:pPr>
        <w:tabs>
          <w:tab w:val="left" w:pos="8325"/>
        </w:tabs>
        <w:jc w:val="both"/>
        <w:rPr>
          <w:rFonts w:ascii="Montserrat" w:hAnsi="Montserrat"/>
          <w:bCs/>
          <w:i/>
          <w:iCs/>
          <w:color w:val="166A9C"/>
          <w:sz w:val="30"/>
          <w:szCs w:val="30"/>
        </w:rPr>
      </w:pPr>
    </w:p>
    <w:p w14:paraId="1C1A0F19" w14:textId="77777777" w:rsidR="005E308A" w:rsidRDefault="005E308A" w:rsidP="007426A7">
      <w:pPr>
        <w:tabs>
          <w:tab w:val="left" w:pos="8325"/>
        </w:tabs>
        <w:jc w:val="both"/>
        <w:rPr>
          <w:rFonts w:ascii="Montserrat" w:hAnsi="Montserrat"/>
          <w:bCs/>
          <w:i/>
          <w:iCs/>
          <w:color w:val="166A9C"/>
          <w:sz w:val="30"/>
          <w:szCs w:val="30"/>
        </w:rPr>
      </w:pPr>
    </w:p>
    <w:p w14:paraId="3A7E0A7B" w14:textId="34683084" w:rsidR="007426A7" w:rsidRPr="007426A7" w:rsidRDefault="007426A7" w:rsidP="007426A7">
      <w:pPr>
        <w:tabs>
          <w:tab w:val="left" w:pos="8325"/>
        </w:tabs>
        <w:jc w:val="both"/>
        <w:rPr>
          <w:rFonts w:ascii="Montserrat" w:hAnsi="Montserrat"/>
          <w:bCs/>
          <w:i/>
          <w:iCs/>
          <w:color w:val="166A9C"/>
          <w:sz w:val="30"/>
          <w:szCs w:val="30"/>
        </w:rPr>
      </w:pPr>
      <w:r w:rsidRPr="007426A7">
        <w:rPr>
          <w:rFonts w:ascii="Montserrat" w:hAnsi="Montserrat"/>
          <w:bCs/>
          <w:i/>
          <w:iCs/>
          <w:color w:val="166A9C"/>
          <w:sz w:val="30"/>
          <w:szCs w:val="30"/>
        </w:rPr>
        <w:lastRenderedPageBreak/>
        <w:t>What do we Know About the Compliance Issues NSA Faced?</w:t>
      </w:r>
    </w:p>
    <w:p w14:paraId="1064E0B6" w14:textId="75967FD1" w:rsidR="007426A7" w:rsidRPr="007426A7" w:rsidRDefault="007426A7" w:rsidP="007426A7">
      <w:pPr>
        <w:tabs>
          <w:tab w:val="left" w:pos="8325"/>
        </w:tabs>
        <w:jc w:val="both"/>
        <w:rPr>
          <w:rFonts w:ascii="Montserrat" w:hAnsi="Montserrat"/>
          <w:b/>
          <w:bCs/>
          <w:i/>
          <w:iCs/>
          <w:sz w:val="22"/>
          <w:szCs w:val="22"/>
        </w:rPr>
      </w:pPr>
    </w:p>
    <w:p w14:paraId="090D594C" w14:textId="7B324BDA" w:rsidR="007426A7" w:rsidRPr="007426A7" w:rsidRDefault="007426A7" w:rsidP="007426A7">
      <w:pPr>
        <w:pStyle w:val="ListParagraph"/>
        <w:numPr>
          <w:ilvl w:val="0"/>
          <w:numId w:val="3"/>
        </w:numPr>
        <w:tabs>
          <w:tab w:val="left" w:pos="8325"/>
        </w:tabs>
        <w:jc w:val="both"/>
        <w:rPr>
          <w:rFonts w:ascii="Montserrat" w:hAnsi="Montserrat"/>
          <w:b/>
          <w:bCs/>
          <w:i/>
          <w:iCs/>
          <w:sz w:val="22"/>
          <w:szCs w:val="22"/>
        </w:rPr>
      </w:pPr>
      <w:r w:rsidRPr="007426A7">
        <w:rPr>
          <w:rFonts w:ascii="Montserrat" w:hAnsi="Montserrat"/>
          <w:sz w:val="22"/>
          <w:szCs w:val="22"/>
        </w:rPr>
        <w:t>The program experienced a series of compliance incidents and data-integrity programs</w:t>
      </w:r>
      <w:r w:rsidR="008E10B9">
        <w:rPr>
          <w:rFonts w:ascii="Montserrat" w:hAnsi="Montserrat"/>
          <w:sz w:val="22"/>
          <w:szCs w:val="22"/>
        </w:rPr>
        <w:t xml:space="preserve"> that</w:t>
      </w:r>
      <w:r w:rsidRPr="007426A7">
        <w:rPr>
          <w:rFonts w:ascii="Montserrat" w:hAnsi="Montserrat"/>
          <w:sz w:val="22"/>
          <w:szCs w:val="22"/>
        </w:rPr>
        <w:t xml:space="preserve"> led NSA to issue about a dozen notices to the FISA court since 2016. The Board reviewed each of these notices.</w:t>
      </w:r>
    </w:p>
    <w:p w14:paraId="60276E68" w14:textId="7CF3BA78" w:rsidR="007426A7" w:rsidRPr="007426A7" w:rsidRDefault="007426A7" w:rsidP="007426A7">
      <w:pPr>
        <w:tabs>
          <w:tab w:val="left" w:pos="8325"/>
        </w:tabs>
        <w:jc w:val="both"/>
        <w:rPr>
          <w:rFonts w:ascii="Montserrat" w:hAnsi="Montserrat"/>
          <w:b/>
          <w:bCs/>
          <w:i/>
          <w:iCs/>
          <w:sz w:val="22"/>
          <w:szCs w:val="22"/>
        </w:rPr>
      </w:pPr>
    </w:p>
    <w:p w14:paraId="63C375A7" w14:textId="76EA685C" w:rsidR="007426A7" w:rsidRPr="007426A7" w:rsidRDefault="007426A7" w:rsidP="007426A7">
      <w:pPr>
        <w:pStyle w:val="ListParagraph"/>
        <w:numPr>
          <w:ilvl w:val="0"/>
          <w:numId w:val="3"/>
        </w:numPr>
        <w:tabs>
          <w:tab w:val="left" w:pos="8325"/>
        </w:tabs>
        <w:jc w:val="both"/>
        <w:rPr>
          <w:rFonts w:ascii="Montserrat" w:hAnsi="Montserrat"/>
          <w:b/>
          <w:bCs/>
          <w:i/>
          <w:iCs/>
          <w:sz w:val="22"/>
          <w:szCs w:val="22"/>
        </w:rPr>
      </w:pPr>
      <w:r w:rsidRPr="007426A7">
        <w:rPr>
          <w:rFonts w:ascii="Montserrat" w:hAnsi="Montserrat"/>
          <w:sz w:val="22"/>
          <w:szCs w:val="22"/>
        </w:rPr>
        <w:t>While the Board secured declassification of many facts related to compliance issues NSA faced, some of those facts remain classified.</w:t>
      </w:r>
      <w:r w:rsidR="00594E0E">
        <w:rPr>
          <w:rFonts w:ascii="Montserrat" w:hAnsi="Montserrat"/>
          <w:sz w:val="22"/>
          <w:szCs w:val="22"/>
        </w:rPr>
        <w:t xml:space="preserve">  These classified facts have been transmitted to Congress. </w:t>
      </w:r>
    </w:p>
    <w:p w14:paraId="683A7B18" w14:textId="2522096D" w:rsidR="007426A7" w:rsidRPr="005703C9" w:rsidRDefault="007426A7" w:rsidP="005703C9">
      <w:pPr>
        <w:jc w:val="both"/>
        <w:rPr>
          <w:rFonts w:ascii="Montserrat" w:hAnsi="Montserrat"/>
          <w:b/>
          <w:bCs/>
          <w:i/>
          <w:iCs/>
          <w:sz w:val="22"/>
          <w:szCs w:val="22"/>
        </w:rPr>
      </w:pPr>
    </w:p>
    <w:p w14:paraId="26914779" w14:textId="19434A79" w:rsidR="007426A7" w:rsidRPr="007426A7" w:rsidRDefault="007426A7" w:rsidP="007426A7">
      <w:pPr>
        <w:pStyle w:val="ListParagraph"/>
        <w:numPr>
          <w:ilvl w:val="0"/>
          <w:numId w:val="3"/>
        </w:numPr>
        <w:tabs>
          <w:tab w:val="left" w:pos="8325"/>
        </w:tabs>
        <w:jc w:val="both"/>
        <w:rPr>
          <w:rFonts w:ascii="Montserrat" w:hAnsi="Montserrat"/>
          <w:b/>
          <w:bCs/>
          <w:i/>
          <w:iCs/>
          <w:sz w:val="22"/>
          <w:szCs w:val="22"/>
        </w:rPr>
      </w:pPr>
      <w:r w:rsidRPr="007426A7">
        <w:rPr>
          <w:rFonts w:ascii="Montserrat" w:hAnsi="Montserrat"/>
          <w:sz w:val="22"/>
          <w:szCs w:val="22"/>
        </w:rPr>
        <w:t xml:space="preserve">NSA took steps to remedy </w:t>
      </w:r>
      <w:r w:rsidR="00844256">
        <w:rPr>
          <w:rFonts w:ascii="Montserrat" w:hAnsi="Montserrat"/>
          <w:sz w:val="22"/>
          <w:szCs w:val="22"/>
        </w:rPr>
        <w:t>its</w:t>
      </w:r>
      <w:r w:rsidR="00844256" w:rsidRPr="007426A7">
        <w:rPr>
          <w:rFonts w:ascii="Montserrat" w:hAnsi="Montserrat"/>
          <w:sz w:val="22"/>
          <w:szCs w:val="22"/>
        </w:rPr>
        <w:t xml:space="preserve"> </w:t>
      </w:r>
      <w:r w:rsidRPr="007426A7">
        <w:rPr>
          <w:rFonts w:ascii="Montserrat" w:hAnsi="Montserrat"/>
          <w:sz w:val="22"/>
          <w:szCs w:val="22"/>
        </w:rPr>
        <w:t>compliance incident</w:t>
      </w:r>
      <w:r w:rsidR="00844256">
        <w:rPr>
          <w:rFonts w:ascii="Montserrat" w:hAnsi="Montserrat"/>
          <w:sz w:val="22"/>
          <w:szCs w:val="22"/>
        </w:rPr>
        <w:t>s</w:t>
      </w:r>
      <w:r w:rsidRPr="007426A7">
        <w:rPr>
          <w:rFonts w:ascii="Montserrat" w:hAnsi="Montserrat"/>
          <w:sz w:val="22"/>
          <w:szCs w:val="22"/>
        </w:rPr>
        <w:t>, including notifying appropriate oversight entities, imposing additional limits on data requests, and deleting erroneously obtained data.</w:t>
      </w:r>
    </w:p>
    <w:p w14:paraId="2E6FBB2F" w14:textId="3FDEE93B" w:rsidR="007426A7" w:rsidRPr="007426A7" w:rsidRDefault="007426A7" w:rsidP="007426A7">
      <w:pPr>
        <w:pStyle w:val="ListParagraph"/>
        <w:jc w:val="both"/>
        <w:rPr>
          <w:rFonts w:ascii="Montserrat" w:hAnsi="Montserrat"/>
          <w:b/>
          <w:bCs/>
          <w:i/>
          <w:iCs/>
          <w:sz w:val="22"/>
          <w:szCs w:val="22"/>
        </w:rPr>
      </w:pPr>
    </w:p>
    <w:p w14:paraId="0F6CC5D4" w14:textId="0246B450" w:rsidR="007426A7" w:rsidRPr="007426A7" w:rsidRDefault="007426A7" w:rsidP="007426A7">
      <w:pPr>
        <w:pStyle w:val="ListParagraph"/>
        <w:numPr>
          <w:ilvl w:val="0"/>
          <w:numId w:val="3"/>
        </w:numPr>
        <w:tabs>
          <w:tab w:val="left" w:pos="8325"/>
        </w:tabs>
        <w:jc w:val="both"/>
        <w:rPr>
          <w:rFonts w:ascii="Montserrat" w:hAnsi="Montserrat"/>
          <w:b/>
          <w:bCs/>
          <w:i/>
          <w:iCs/>
          <w:sz w:val="22"/>
          <w:szCs w:val="22"/>
        </w:rPr>
      </w:pPr>
      <w:r w:rsidRPr="007426A7">
        <w:rPr>
          <w:rFonts w:ascii="Montserrat" w:hAnsi="Montserrat"/>
          <w:sz w:val="22"/>
          <w:szCs w:val="22"/>
        </w:rPr>
        <w:t>Based on a review of the data, the Board determined that the compliance incidents were inadvertent, not willful.</w:t>
      </w:r>
    </w:p>
    <w:p w14:paraId="5AEE21FE" w14:textId="14A6DDDE" w:rsidR="007426A7" w:rsidRPr="007426A7" w:rsidRDefault="007426A7" w:rsidP="007426A7">
      <w:pPr>
        <w:pStyle w:val="ListParagraph"/>
        <w:jc w:val="both"/>
        <w:rPr>
          <w:rFonts w:ascii="Montserrat" w:hAnsi="Montserrat"/>
          <w:b/>
          <w:bCs/>
          <w:i/>
          <w:iCs/>
          <w:sz w:val="22"/>
          <w:szCs w:val="22"/>
        </w:rPr>
      </w:pPr>
    </w:p>
    <w:p w14:paraId="7C9AEE27" w14:textId="44ECB1E6" w:rsidR="007426A7" w:rsidRPr="007426A7" w:rsidRDefault="007426A7" w:rsidP="007426A7">
      <w:pPr>
        <w:tabs>
          <w:tab w:val="left" w:pos="8325"/>
        </w:tabs>
        <w:jc w:val="both"/>
        <w:rPr>
          <w:rFonts w:ascii="Montserrat" w:hAnsi="Montserrat"/>
          <w:bCs/>
          <w:i/>
          <w:iCs/>
          <w:color w:val="166A9C"/>
          <w:sz w:val="30"/>
          <w:szCs w:val="30"/>
        </w:rPr>
      </w:pPr>
      <w:r w:rsidRPr="007426A7">
        <w:rPr>
          <w:rFonts w:ascii="Montserrat" w:hAnsi="Montserrat"/>
          <w:bCs/>
          <w:i/>
          <w:iCs/>
          <w:color w:val="166A9C"/>
          <w:sz w:val="30"/>
          <w:szCs w:val="30"/>
        </w:rPr>
        <w:t xml:space="preserve">What are the </w:t>
      </w:r>
      <w:r w:rsidR="00EF161F">
        <w:rPr>
          <w:rFonts w:ascii="Montserrat" w:hAnsi="Montserrat"/>
          <w:bCs/>
          <w:i/>
          <w:iCs/>
          <w:color w:val="166A9C"/>
          <w:sz w:val="30"/>
          <w:szCs w:val="30"/>
        </w:rPr>
        <w:t>Board's</w:t>
      </w:r>
      <w:r w:rsidR="00844256">
        <w:rPr>
          <w:rFonts w:ascii="Montserrat" w:hAnsi="Montserrat"/>
          <w:bCs/>
          <w:i/>
          <w:iCs/>
          <w:color w:val="166A9C"/>
          <w:sz w:val="30"/>
          <w:szCs w:val="30"/>
        </w:rPr>
        <w:t xml:space="preserve"> Key</w:t>
      </w:r>
      <w:r w:rsidR="00EF161F">
        <w:rPr>
          <w:rFonts w:ascii="Montserrat" w:hAnsi="Montserrat"/>
          <w:bCs/>
          <w:i/>
          <w:iCs/>
          <w:color w:val="166A9C"/>
          <w:sz w:val="30"/>
          <w:szCs w:val="30"/>
        </w:rPr>
        <w:t xml:space="preserve"> </w:t>
      </w:r>
      <w:r w:rsidRPr="007426A7">
        <w:rPr>
          <w:rFonts w:ascii="Montserrat" w:hAnsi="Montserrat"/>
          <w:bCs/>
          <w:i/>
          <w:iCs/>
          <w:color w:val="166A9C"/>
          <w:sz w:val="30"/>
          <w:szCs w:val="30"/>
        </w:rPr>
        <w:t>Findings?</w:t>
      </w:r>
    </w:p>
    <w:p w14:paraId="5EAF490C" w14:textId="14224ACF" w:rsidR="007426A7" w:rsidRPr="007426A7" w:rsidRDefault="007426A7" w:rsidP="007426A7">
      <w:pPr>
        <w:tabs>
          <w:tab w:val="left" w:pos="8325"/>
        </w:tabs>
        <w:jc w:val="both"/>
        <w:rPr>
          <w:rFonts w:ascii="Montserrat" w:hAnsi="Montserrat"/>
          <w:b/>
          <w:bCs/>
          <w:i/>
          <w:iCs/>
          <w:sz w:val="22"/>
          <w:szCs w:val="22"/>
        </w:rPr>
      </w:pPr>
    </w:p>
    <w:p w14:paraId="05924D5F" w14:textId="4771976D" w:rsidR="007426A7" w:rsidRPr="005703C9" w:rsidRDefault="007426A7" w:rsidP="007426A7">
      <w:pPr>
        <w:pStyle w:val="ListParagraph"/>
        <w:numPr>
          <w:ilvl w:val="0"/>
          <w:numId w:val="1"/>
        </w:numPr>
        <w:tabs>
          <w:tab w:val="left" w:pos="8325"/>
        </w:tabs>
        <w:jc w:val="both"/>
        <w:rPr>
          <w:rFonts w:ascii="Montserrat" w:hAnsi="Montserrat"/>
          <w:sz w:val="22"/>
          <w:szCs w:val="22"/>
        </w:rPr>
      </w:pPr>
      <w:r w:rsidRPr="005703C9">
        <w:rPr>
          <w:rFonts w:ascii="Montserrat" w:hAnsi="Montserrat"/>
          <w:sz w:val="22"/>
          <w:szCs w:val="22"/>
        </w:rPr>
        <w:t>The Board did not issue recommendations in this report.  Board Member</w:t>
      </w:r>
      <w:r w:rsidR="00BD6F4B" w:rsidRPr="005703C9">
        <w:rPr>
          <w:rFonts w:ascii="Montserrat" w:hAnsi="Montserrat"/>
          <w:sz w:val="22"/>
          <w:szCs w:val="22"/>
        </w:rPr>
        <w:t>s</w:t>
      </w:r>
      <w:r w:rsidRPr="005703C9">
        <w:rPr>
          <w:rFonts w:ascii="Montserrat" w:hAnsi="Montserrat"/>
          <w:sz w:val="22"/>
          <w:szCs w:val="22"/>
        </w:rPr>
        <w:t xml:space="preserve">, however, wrote separately addressing the issues raised by the facts </w:t>
      </w:r>
      <w:r w:rsidR="00BD6F4B" w:rsidRPr="005703C9">
        <w:rPr>
          <w:rFonts w:ascii="Montserrat" w:hAnsi="Montserrat"/>
          <w:sz w:val="22"/>
          <w:szCs w:val="22"/>
        </w:rPr>
        <w:t xml:space="preserve">related to </w:t>
      </w:r>
      <w:r w:rsidRPr="005703C9">
        <w:rPr>
          <w:rFonts w:ascii="Montserrat" w:hAnsi="Montserrat"/>
          <w:sz w:val="22"/>
          <w:szCs w:val="22"/>
        </w:rPr>
        <w:t>the implementation of this authority.</w:t>
      </w:r>
    </w:p>
    <w:p w14:paraId="58AEDA3A" w14:textId="1782C509" w:rsidR="007426A7" w:rsidRPr="005703C9" w:rsidRDefault="007426A7" w:rsidP="007426A7">
      <w:pPr>
        <w:tabs>
          <w:tab w:val="left" w:pos="8325"/>
        </w:tabs>
        <w:jc w:val="both"/>
        <w:rPr>
          <w:rFonts w:ascii="Montserrat" w:hAnsi="Montserrat"/>
          <w:sz w:val="22"/>
          <w:szCs w:val="22"/>
        </w:rPr>
      </w:pPr>
    </w:p>
    <w:p w14:paraId="46F6BD0F" w14:textId="35CEC585" w:rsidR="007426A7" w:rsidRPr="005703C9" w:rsidRDefault="007426A7" w:rsidP="007426A7">
      <w:pPr>
        <w:pStyle w:val="ListParagraph"/>
        <w:numPr>
          <w:ilvl w:val="0"/>
          <w:numId w:val="1"/>
        </w:numPr>
        <w:tabs>
          <w:tab w:val="left" w:pos="8325"/>
        </w:tabs>
        <w:jc w:val="both"/>
        <w:rPr>
          <w:rFonts w:ascii="Montserrat" w:hAnsi="Montserrat"/>
          <w:sz w:val="22"/>
          <w:szCs w:val="22"/>
        </w:rPr>
      </w:pPr>
      <w:r w:rsidRPr="005703C9">
        <w:rPr>
          <w:rFonts w:ascii="Montserrat" w:hAnsi="Montserrat"/>
          <w:sz w:val="22"/>
          <w:szCs w:val="22"/>
        </w:rPr>
        <w:t>The Board found that the CDR program was constitutional under settled Supreme Court precedent.</w:t>
      </w:r>
      <w:r w:rsidR="00A23B9C" w:rsidRPr="005703C9">
        <w:rPr>
          <w:rFonts w:ascii="Montserrat" w:hAnsi="Montserrat"/>
          <w:sz w:val="22"/>
          <w:szCs w:val="22"/>
        </w:rPr>
        <w:t xml:space="preserve"> The Board also found that NSA’s collection of two hops of CDR data on an ongoing basis was statutorily authorized.</w:t>
      </w:r>
    </w:p>
    <w:p w14:paraId="02BFC810" w14:textId="56CCA649" w:rsidR="007426A7" w:rsidRPr="007426A7" w:rsidRDefault="007426A7" w:rsidP="007426A7">
      <w:pPr>
        <w:pStyle w:val="ListParagraph"/>
        <w:jc w:val="both"/>
        <w:rPr>
          <w:rFonts w:ascii="Montserrat" w:hAnsi="Montserrat"/>
          <w:sz w:val="22"/>
          <w:szCs w:val="22"/>
        </w:rPr>
      </w:pPr>
    </w:p>
    <w:p w14:paraId="126AB89A" w14:textId="0E67FA95" w:rsidR="007426A7" w:rsidRPr="007426A7" w:rsidRDefault="007426A7" w:rsidP="007426A7">
      <w:pPr>
        <w:pStyle w:val="ListParagraph"/>
        <w:numPr>
          <w:ilvl w:val="0"/>
          <w:numId w:val="1"/>
        </w:numPr>
        <w:tabs>
          <w:tab w:val="left" w:pos="8325"/>
        </w:tabs>
        <w:jc w:val="both"/>
        <w:rPr>
          <w:rFonts w:ascii="Montserrat" w:hAnsi="Montserrat"/>
          <w:sz w:val="22"/>
          <w:szCs w:val="22"/>
        </w:rPr>
      </w:pPr>
      <w:r w:rsidRPr="007426A7">
        <w:rPr>
          <w:rFonts w:ascii="Montserrat" w:hAnsi="Montserrat"/>
          <w:sz w:val="22"/>
          <w:szCs w:val="22"/>
        </w:rPr>
        <w:t xml:space="preserve">Based on their </w:t>
      </w:r>
      <w:r w:rsidR="00EF161F">
        <w:rPr>
          <w:rFonts w:ascii="Montserrat" w:hAnsi="Montserrat"/>
          <w:sz w:val="22"/>
          <w:szCs w:val="22"/>
        </w:rPr>
        <w:t xml:space="preserve">separate </w:t>
      </w:r>
      <w:r w:rsidRPr="007426A7">
        <w:rPr>
          <w:rFonts w:ascii="Montserrat" w:hAnsi="Montserrat"/>
          <w:sz w:val="22"/>
          <w:szCs w:val="22"/>
        </w:rPr>
        <w:t>statements, Board Members concur with NSA’s decision last year to halt the collection of CDRs.</w:t>
      </w:r>
    </w:p>
    <w:p w14:paraId="23389490" w14:textId="280C6E3B" w:rsidR="007426A7" w:rsidRPr="007426A7" w:rsidRDefault="007426A7" w:rsidP="007426A7">
      <w:pPr>
        <w:pStyle w:val="ListParagraph"/>
        <w:jc w:val="both"/>
        <w:rPr>
          <w:rFonts w:ascii="Montserrat" w:hAnsi="Montserrat"/>
          <w:sz w:val="22"/>
          <w:szCs w:val="22"/>
        </w:rPr>
      </w:pPr>
    </w:p>
    <w:p w14:paraId="4CA80DA9" w14:textId="00E684E0" w:rsidR="007426A7" w:rsidRPr="007426A7" w:rsidRDefault="007426A7" w:rsidP="007426A7">
      <w:pPr>
        <w:pStyle w:val="ListParagraph"/>
        <w:numPr>
          <w:ilvl w:val="0"/>
          <w:numId w:val="1"/>
        </w:numPr>
        <w:tabs>
          <w:tab w:val="left" w:pos="8325"/>
        </w:tabs>
        <w:jc w:val="both"/>
        <w:rPr>
          <w:rFonts w:ascii="Montserrat" w:hAnsi="Montserrat"/>
          <w:sz w:val="22"/>
          <w:szCs w:val="22"/>
        </w:rPr>
      </w:pPr>
      <w:r w:rsidRPr="007426A7">
        <w:rPr>
          <w:rFonts w:ascii="Montserrat" w:hAnsi="Montserrat"/>
          <w:sz w:val="22"/>
          <w:szCs w:val="22"/>
        </w:rPr>
        <w:t>The Board found no abuse of the program, nor did it find any instance in which government officials intentionally sought records that they knew were statutorily prohibited.</w:t>
      </w:r>
    </w:p>
    <w:p w14:paraId="6620F2D2" w14:textId="0F9AF82E" w:rsidR="007426A7" w:rsidRPr="007426A7" w:rsidRDefault="007426A7" w:rsidP="007426A7">
      <w:pPr>
        <w:pStyle w:val="ListParagraph"/>
        <w:jc w:val="both"/>
        <w:rPr>
          <w:rFonts w:ascii="Montserrat" w:hAnsi="Montserrat"/>
          <w:sz w:val="22"/>
          <w:szCs w:val="22"/>
        </w:rPr>
      </w:pPr>
    </w:p>
    <w:p w14:paraId="41AE9CDF" w14:textId="77777777" w:rsidR="00A23B9C" w:rsidRDefault="007426A7" w:rsidP="007426A7">
      <w:pPr>
        <w:pStyle w:val="ListParagraph"/>
        <w:numPr>
          <w:ilvl w:val="0"/>
          <w:numId w:val="1"/>
        </w:numPr>
        <w:tabs>
          <w:tab w:val="left" w:pos="8325"/>
        </w:tabs>
        <w:jc w:val="both"/>
        <w:rPr>
          <w:rFonts w:ascii="Montserrat" w:hAnsi="Montserrat"/>
          <w:sz w:val="22"/>
          <w:szCs w:val="22"/>
        </w:rPr>
      </w:pPr>
      <w:r w:rsidRPr="007426A7">
        <w:rPr>
          <w:rFonts w:ascii="Montserrat" w:hAnsi="Montserrat"/>
          <w:sz w:val="22"/>
          <w:szCs w:val="22"/>
        </w:rPr>
        <w:t>The Board found no evidence that NSA received any of the statutorily prohibited categories of information, such as name, address, financial information, cell-site location, or global positioning system information from providers during the program’s operations.</w:t>
      </w:r>
    </w:p>
    <w:p w14:paraId="62C4F1AC" w14:textId="77777777" w:rsidR="00A23B9C" w:rsidRPr="005703C9" w:rsidRDefault="00A23B9C" w:rsidP="005703C9">
      <w:pPr>
        <w:pStyle w:val="ListParagraph"/>
        <w:rPr>
          <w:rFonts w:ascii="Montserrat" w:hAnsi="Montserrat"/>
          <w:sz w:val="22"/>
          <w:szCs w:val="22"/>
        </w:rPr>
      </w:pPr>
    </w:p>
    <w:p w14:paraId="191047BF" w14:textId="587C5EB3" w:rsidR="007426A7" w:rsidRPr="007426A7" w:rsidRDefault="00A23B9C" w:rsidP="007426A7">
      <w:pPr>
        <w:pStyle w:val="ListParagraph"/>
        <w:numPr>
          <w:ilvl w:val="0"/>
          <w:numId w:val="1"/>
        </w:numPr>
        <w:tabs>
          <w:tab w:val="left" w:pos="8325"/>
        </w:tabs>
        <w:jc w:val="both"/>
        <w:rPr>
          <w:rFonts w:ascii="Montserrat" w:hAnsi="Montserrat"/>
          <w:sz w:val="22"/>
          <w:szCs w:val="22"/>
        </w:rPr>
      </w:pPr>
      <w:r>
        <w:rPr>
          <w:rFonts w:ascii="Montserrat" w:hAnsi="Montserrat"/>
          <w:sz w:val="22"/>
          <w:szCs w:val="22"/>
        </w:rPr>
        <w:t>Chairman Klein wrote a separate statement containing his additional views.  Board Members Felten and LeBlanc wrote a separate statement containing their additional views and disagreeing with the Board</w:t>
      </w:r>
      <w:r w:rsidR="004F731A" w:rsidRPr="00FC0EAD">
        <w:rPr>
          <w:rFonts w:ascii="Montserrat" w:hAnsi="Montserrat"/>
          <w:sz w:val="22"/>
          <w:szCs w:val="22"/>
        </w:rPr>
        <w:t>’</w:t>
      </w:r>
      <w:r>
        <w:rPr>
          <w:rFonts w:ascii="Montserrat" w:hAnsi="Montserrat"/>
          <w:sz w:val="22"/>
          <w:szCs w:val="22"/>
        </w:rPr>
        <w:t>s constitutional analysis.  Board Members Bamzai and Nitze wrote a separate statement containing their additional views.</w:t>
      </w:r>
    </w:p>
    <w:p w14:paraId="46393CD6" w14:textId="68CD8652" w:rsidR="007426A7" w:rsidRDefault="007426A7" w:rsidP="007426A7">
      <w:pPr>
        <w:tabs>
          <w:tab w:val="left" w:pos="8325"/>
        </w:tabs>
        <w:jc w:val="both"/>
        <w:rPr>
          <w:rFonts w:ascii="Montserrat" w:hAnsi="Montserrat"/>
          <w:sz w:val="22"/>
          <w:szCs w:val="22"/>
        </w:rPr>
      </w:pPr>
    </w:p>
    <w:p w14:paraId="35EB07ED" w14:textId="77777777" w:rsidR="007426A7" w:rsidRDefault="007426A7" w:rsidP="007426A7">
      <w:pPr>
        <w:tabs>
          <w:tab w:val="left" w:pos="8325"/>
        </w:tabs>
        <w:jc w:val="both"/>
        <w:rPr>
          <w:rFonts w:ascii="Montserrat" w:hAnsi="Montserrat"/>
          <w:sz w:val="22"/>
          <w:szCs w:val="22"/>
        </w:rPr>
      </w:pPr>
    </w:p>
    <w:p w14:paraId="1C26DB5F" w14:textId="1BC623E4" w:rsidR="007426A7" w:rsidRPr="007426A7" w:rsidRDefault="007426A7" w:rsidP="007426A7">
      <w:pPr>
        <w:tabs>
          <w:tab w:val="left" w:pos="8325"/>
        </w:tabs>
        <w:jc w:val="both"/>
        <w:rPr>
          <w:rFonts w:ascii="Montserrat" w:hAnsi="Montserrat"/>
          <w:sz w:val="22"/>
          <w:szCs w:val="22"/>
        </w:rPr>
      </w:pPr>
    </w:p>
    <w:p w14:paraId="12E45E0F" w14:textId="16E25BC8" w:rsidR="007426A7" w:rsidRPr="007426A7" w:rsidRDefault="007426A7" w:rsidP="007426A7">
      <w:pPr>
        <w:tabs>
          <w:tab w:val="left" w:pos="8325"/>
        </w:tabs>
        <w:jc w:val="both"/>
        <w:rPr>
          <w:rFonts w:ascii="Montserrat" w:hAnsi="Montserrat"/>
          <w:sz w:val="22"/>
          <w:szCs w:val="22"/>
        </w:rPr>
      </w:pPr>
    </w:p>
    <w:sectPr w:rsidR="007426A7" w:rsidRPr="007426A7" w:rsidSect="00DE5D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3ACB" w14:textId="77777777" w:rsidR="0044032B" w:rsidRDefault="0044032B" w:rsidP="00A76953">
      <w:r>
        <w:separator/>
      </w:r>
    </w:p>
  </w:endnote>
  <w:endnote w:type="continuationSeparator" w:id="0">
    <w:p w14:paraId="19C0985E" w14:textId="77777777" w:rsidR="0044032B" w:rsidRDefault="0044032B" w:rsidP="00A7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4D"/>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B44C" w14:textId="77777777" w:rsidR="00A76953" w:rsidRDefault="00A76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44F6" w14:textId="77777777" w:rsidR="00A76953" w:rsidRDefault="00A76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74CCC" w14:textId="77777777" w:rsidR="00A76953" w:rsidRDefault="00A76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BEE7C" w14:textId="77777777" w:rsidR="0044032B" w:rsidRDefault="0044032B" w:rsidP="00A76953">
      <w:r>
        <w:separator/>
      </w:r>
    </w:p>
  </w:footnote>
  <w:footnote w:type="continuationSeparator" w:id="0">
    <w:p w14:paraId="6D581E5D" w14:textId="77777777" w:rsidR="0044032B" w:rsidRDefault="0044032B" w:rsidP="00A7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13665" w14:textId="77777777" w:rsidR="00A76953" w:rsidRDefault="00A76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A78D" w14:textId="77777777" w:rsidR="00A76953" w:rsidRDefault="00A769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0147" w14:textId="77777777" w:rsidR="00A76953" w:rsidRDefault="00A76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AE6"/>
    <w:multiLevelType w:val="hybridMultilevel"/>
    <w:tmpl w:val="8C229E4E"/>
    <w:lvl w:ilvl="0" w:tplc="A260C13A">
      <w:start w:val="1"/>
      <w:numFmt w:val="bullet"/>
      <w:lvlText w:val=""/>
      <w:lvlJc w:val="left"/>
      <w:pPr>
        <w:ind w:left="720" w:hanging="360"/>
      </w:pPr>
      <w:rPr>
        <w:rFonts w:ascii="Symbol" w:hAnsi="Symbol" w:hint="default"/>
        <w:color w:val="166A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7B4"/>
    <w:multiLevelType w:val="hybridMultilevel"/>
    <w:tmpl w:val="4CD049CA"/>
    <w:lvl w:ilvl="0" w:tplc="1B0CDE42">
      <w:start w:val="1"/>
      <w:numFmt w:val="bullet"/>
      <w:lvlText w:val=""/>
      <w:lvlJc w:val="left"/>
      <w:pPr>
        <w:ind w:left="720" w:hanging="360"/>
      </w:pPr>
      <w:rPr>
        <w:rFonts w:ascii="Symbol" w:hAnsi="Symbol" w:hint="default"/>
        <w:color w:val="166A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06929"/>
    <w:multiLevelType w:val="hybridMultilevel"/>
    <w:tmpl w:val="C59A3584"/>
    <w:lvl w:ilvl="0" w:tplc="6E228022">
      <w:start w:val="1"/>
      <w:numFmt w:val="bullet"/>
      <w:lvlText w:val=""/>
      <w:lvlJc w:val="left"/>
      <w:pPr>
        <w:ind w:left="720" w:hanging="360"/>
      </w:pPr>
      <w:rPr>
        <w:rFonts w:ascii="Symbol" w:hAnsi="Symbol" w:hint="default"/>
        <w:color w:val="166A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A7"/>
    <w:rsid w:val="0016724C"/>
    <w:rsid w:val="001A3569"/>
    <w:rsid w:val="001B0F2E"/>
    <w:rsid w:val="002B19E1"/>
    <w:rsid w:val="002E5497"/>
    <w:rsid w:val="00346A13"/>
    <w:rsid w:val="003707FF"/>
    <w:rsid w:val="003A7795"/>
    <w:rsid w:val="0044032B"/>
    <w:rsid w:val="00462D2D"/>
    <w:rsid w:val="004F731A"/>
    <w:rsid w:val="005703C9"/>
    <w:rsid w:val="00594E0E"/>
    <w:rsid w:val="005E308A"/>
    <w:rsid w:val="00603A7E"/>
    <w:rsid w:val="006B2CC0"/>
    <w:rsid w:val="007426A7"/>
    <w:rsid w:val="007A3B9E"/>
    <w:rsid w:val="007C6565"/>
    <w:rsid w:val="00844256"/>
    <w:rsid w:val="008E10B9"/>
    <w:rsid w:val="00A23B9C"/>
    <w:rsid w:val="00A76953"/>
    <w:rsid w:val="00B71D9C"/>
    <w:rsid w:val="00B7222C"/>
    <w:rsid w:val="00BD6F4B"/>
    <w:rsid w:val="00C1147F"/>
    <w:rsid w:val="00D459BB"/>
    <w:rsid w:val="00DE5DF4"/>
    <w:rsid w:val="00E37838"/>
    <w:rsid w:val="00E46B36"/>
    <w:rsid w:val="00EF161F"/>
    <w:rsid w:val="00FA6BA6"/>
    <w:rsid w:val="00FB1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EB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6A7"/>
    <w:rPr>
      <w:color w:val="0000FF"/>
      <w:u w:val="single"/>
    </w:rPr>
  </w:style>
  <w:style w:type="paragraph" w:styleId="ListParagraph">
    <w:name w:val="List Paragraph"/>
    <w:basedOn w:val="Normal"/>
    <w:uiPriority w:val="34"/>
    <w:qFormat/>
    <w:rsid w:val="007426A7"/>
    <w:pPr>
      <w:ind w:left="720"/>
      <w:contextualSpacing/>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E10B9"/>
    <w:rPr>
      <w:sz w:val="16"/>
      <w:szCs w:val="16"/>
    </w:rPr>
  </w:style>
  <w:style w:type="paragraph" w:styleId="CommentText">
    <w:name w:val="annotation text"/>
    <w:basedOn w:val="Normal"/>
    <w:link w:val="CommentTextChar"/>
    <w:uiPriority w:val="99"/>
    <w:semiHidden/>
    <w:unhideWhenUsed/>
    <w:rsid w:val="008E10B9"/>
    <w:rPr>
      <w:sz w:val="20"/>
      <w:szCs w:val="20"/>
    </w:rPr>
  </w:style>
  <w:style w:type="character" w:customStyle="1" w:styleId="CommentTextChar">
    <w:name w:val="Comment Text Char"/>
    <w:basedOn w:val="DefaultParagraphFont"/>
    <w:link w:val="CommentText"/>
    <w:uiPriority w:val="99"/>
    <w:semiHidden/>
    <w:rsid w:val="008E10B9"/>
    <w:rPr>
      <w:sz w:val="20"/>
      <w:szCs w:val="20"/>
    </w:rPr>
  </w:style>
  <w:style w:type="paragraph" w:styleId="CommentSubject">
    <w:name w:val="annotation subject"/>
    <w:basedOn w:val="CommentText"/>
    <w:next w:val="CommentText"/>
    <w:link w:val="CommentSubjectChar"/>
    <w:uiPriority w:val="99"/>
    <w:semiHidden/>
    <w:unhideWhenUsed/>
    <w:rsid w:val="008E10B9"/>
    <w:rPr>
      <w:b/>
      <w:bCs/>
    </w:rPr>
  </w:style>
  <w:style w:type="character" w:customStyle="1" w:styleId="CommentSubjectChar">
    <w:name w:val="Comment Subject Char"/>
    <w:basedOn w:val="CommentTextChar"/>
    <w:link w:val="CommentSubject"/>
    <w:uiPriority w:val="99"/>
    <w:semiHidden/>
    <w:rsid w:val="008E10B9"/>
    <w:rPr>
      <w:b/>
      <w:bCs/>
      <w:sz w:val="20"/>
      <w:szCs w:val="20"/>
    </w:rPr>
  </w:style>
  <w:style w:type="paragraph" w:styleId="BalloonText">
    <w:name w:val="Balloon Text"/>
    <w:basedOn w:val="Normal"/>
    <w:link w:val="BalloonTextChar"/>
    <w:uiPriority w:val="99"/>
    <w:semiHidden/>
    <w:unhideWhenUsed/>
    <w:rsid w:val="008E10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0B9"/>
    <w:rPr>
      <w:rFonts w:ascii="Segoe UI" w:hAnsi="Segoe UI" w:cs="Segoe UI"/>
      <w:sz w:val="18"/>
      <w:szCs w:val="18"/>
    </w:rPr>
  </w:style>
  <w:style w:type="paragraph" w:styleId="BodyText">
    <w:name w:val="Body Text"/>
    <w:basedOn w:val="Normal"/>
    <w:link w:val="BodyTextChar"/>
    <w:uiPriority w:val="99"/>
    <w:semiHidden/>
    <w:unhideWhenUsed/>
    <w:rsid w:val="008E10B9"/>
    <w:pPr>
      <w:spacing w:after="120"/>
    </w:pPr>
  </w:style>
  <w:style w:type="character" w:customStyle="1" w:styleId="BodyTextChar">
    <w:name w:val="Body Text Char"/>
    <w:basedOn w:val="DefaultParagraphFont"/>
    <w:link w:val="BodyText"/>
    <w:uiPriority w:val="99"/>
    <w:semiHidden/>
    <w:rsid w:val="008E10B9"/>
  </w:style>
  <w:style w:type="paragraph" w:styleId="Header">
    <w:name w:val="header"/>
    <w:basedOn w:val="Normal"/>
    <w:link w:val="HeaderChar"/>
    <w:uiPriority w:val="99"/>
    <w:unhideWhenUsed/>
    <w:rsid w:val="00A76953"/>
    <w:pPr>
      <w:tabs>
        <w:tab w:val="center" w:pos="4680"/>
        <w:tab w:val="right" w:pos="9360"/>
      </w:tabs>
    </w:pPr>
  </w:style>
  <w:style w:type="character" w:customStyle="1" w:styleId="HeaderChar">
    <w:name w:val="Header Char"/>
    <w:basedOn w:val="DefaultParagraphFont"/>
    <w:link w:val="Header"/>
    <w:uiPriority w:val="99"/>
    <w:rsid w:val="00A76953"/>
  </w:style>
  <w:style w:type="paragraph" w:styleId="Footer">
    <w:name w:val="footer"/>
    <w:basedOn w:val="Normal"/>
    <w:link w:val="FooterChar"/>
    <w:uiPriority w:val="99"/>
    <w:unhideWhenUsed/>
    <w:rsid w:val="00A76953"/>
    <w:pPr>
      <w:tabs>
        <w:tab w:val="center" w:pos="4680"/>
        <w:tab w:val="right" w:pos="9360"/>
      </w:tabs>
    </w:pPr>
  </w:style>
  <w:style w:type="character" w:customStyle="1" w:styleId="FooterChar">
    <w:name w:val="Footer Char"/>
    <w:basedOn w:val="DefaultParagraphFont"/>
    <w:link w:val="Footer"/>
    <w:uiPriority w:val="99"/>
    <w:rsid w:val="00A76953"/>
  </w:style>
  <w:style w:type="paragraph" w:styleId="Revision">
    <w:name w:val="Revision"/>
    <w:hidden/>
    <w:uiPriority w:val="99"/>
    <w:semiHidden/>
    <w:rsid w:val="001B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2020-02-26T16:24:00Z</dcterms:created>
  <dcterms:modified xsi:type="dcterms:W3CDTF">2020-02-26T16:24:00Z</dcterms:modified>
</cp:coreProperties>
</file>