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Helvetica Neue" w:cs="Helvetica Neue" w:eastAsia="Helvetica Neue" w:hAnsi="Helvetica Neue"/>
          <w:b w:val="1"/>
        </w:rPr>
      </w:pPr>
      <w:bookmarkStart w:colFirst="0" w:colLast="0" w:name="_pi7ka8m6o9my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Build flexibility and reuse into your procurement language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If your goal is more flexible systems that are easier to update, consider embedding API-driven development into your procurement language.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These Sample System Requirements and sample Quality Assessment Surveillance Plan (QASP) elements may help you guide vendor teams towards flexible and reusable software development.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i w:val="1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Consider embedding API-oriented criteria like these into every phase of the process, from the initial RFP, to evaluation and eventual post-award surveillance.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40" w:lineRule="auto"/>
        <w:rPr>
          <w:rFonts w:ascii="Helvetica Neue" w:cs="Helvetica Neue" w:eastAsia="Helvetica Neue" w:hAnsi="Helvetica Neue"/>
          <w:b w:val="1"/>
        </w:rPr>
      </w:pPr>
      <w:bookmarkStart w:colFirst="0" w:colLast="0" w:name="_ubcvzvqua3ji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Sample Requirement 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 System must: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Incorporate an application programming interface (API) strategy to promote system flexibility and interoperability.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 API strategy should specify: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How APIs will connect major system components internally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What public or private APIs the system will support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Initial users of public or private APIs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Potential future users of public or private APIs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4292e"/>
          <w:sz w:val="24"/>
          <w:szCs w:val="24"/>
          <w:rtl w:val="0"/>
        </w:rPr>
        <w:t xml:space="preserve">The API strategy should be iterative and updated based on changing requirements and user needs. 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Helvetica Neue" w:cs="Helvetica Neue" w:eastAsia="Helvetica Neue" w:hAnsi="Helvetica Neue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lineRule="auto"/>
        <w:rPr>
          <w:rFonts w:ascii="Helvetica Neue" w:cs="Helvetica Neue" w:eastAsia="Helvetica Neue" w:hAnsi="Helvetica Neue"/>
          <w:b w:val="1"/>
        </w:rPr>
      </w:pPr>
      <w:bookmarkStart w:colFirst="0" w:colLast="0" w:name="_dob4d3980b0k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Sample Quality Assessment Surveillance Plan (QASP) element </w:t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340"/>
        <w:gridCol w:w="2265"/>
        <w:gridCol w:w="2760"/>
        <w:tblGridChange w:id="0">
          <w:tblGrid>
            <w:gridCol w:w="1995"/>
            <w:gridCol w:w="2340"/>
            <w:gridCol w:w="2265"/>
            <w:gridCol w:w="2760"/>
          </w:tblGrid>
        </w:tblGridChange>
      </w:tblGrid>
      <w:tr>
        <w:trPr>
          <w:trHeight w:val="14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jc w:val="center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jc w:val="center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Performance Standard(s)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jc w:val="center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Acceptable Quality Level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jc w:val="center"/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4292e"/>
                <w:sz w:val="24"/>
                <w:szCs w:val="24"/>
                <w:rtl w:val="0"/>
              </w:rPr>
              <w:t xml:space="preserve">Method of Assessment</w:t>
            </w:r>
          </w:p>
        </w:tc>
      </w:tr>
      <w:tr>
        <w:trPr>
          <w:trHeight w:val="5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API-driven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Any public or private APIs developed as part of the project will be well-documented and semantically versioned.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All API endpoints, parameters, defaults, and outputs documented and updated at the end of every applicable sprint.</w:t>
            </w:r>
          </w:p>
          <w:p w:rsidR="00000000" w:rsidDel="00000000" w:rsidP="00000000" w:rsidRDefault="00000000" w:rsidRPr="00000000" w14:paraId="0000001C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Semantic versioning will be kept up to date at the end of every applicable sprint.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24"/>
                <w:szCs w:val="24"/>
                <w:rtl w:val="0"/>
              </w:rPr>
              <w:t xml:space="preserve">Combination of manual review and automated testing, if available.</w:t>
            </w:r>
          </w:p>
        </w:tc>
      </w:tr>
    </w:tbl>
    <w:p w:rsidR="00000000" w:rsidDel="00000000" w:rsidP="00000000" w:rsidRDefault="00000000" w:rsidRPr="00000000" w14:paraId="0000001F">
      <w:pPr>
        <w:spacing w:after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