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after="0" w:before="0" w:line="276" w:lineRule="auto"/>
        <w:rPr>
          <w:rFonts w:ascii="Helvetica Neue" w:cs="Helvetica Neue" w:eastAsia="Helvetica Neue" w:hAnsi="Helvetica Neue"/>
          <w:i w:val="1"/>
          <w:color w:val="666666"/>
          <w:sz w:val="28"/>
          <w:szCs w:val="28"/>
        </w:rPr>
      </w:pPr>
      <w:r w:rsidDel="00000000" w:rsidR="00000000" w:rsidRPr="00000000">
        <w:rPr>
          <w:sz w:val="2"/>
          <w:szCs w:val="2"/>
          <w:rtl w:val="0"/>
        </w:rPr>
        <w:t xml:space="preserve">f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28"/>
          <w:szCs w:val="28"/>
          <w:rtl w:val="0"/>
        </w:rPr>
        <w:t xml:space="preserve">List of Deliverab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28"/>
          <w:szCs w:val="28"/>
          <w:rtl w:val="0"/>
        </w:rPr>
        <w:t xml:space="preserve">les with Quality Assurance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28"/>
          <w:szCs w:val="28"/>
          <w:rtl w:val="0"/>
        </w:rPr>
        <w:t xml:space="preserve">Surveillance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4292e"/>
          <w:sz w:val="28"/>
          <w:szCs w:val="28"/>
          <w:rtl w:val="0"/>
        </w:rPr>
        <w:t xml:space="preserve"> Plan (QASP)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The government uses the QASP to monitor the quality of a vendor’s deliverables and performance. This helps the government measure vendor performance and ensure it reaches required levels as specified in the contract. The QASP provides the government with a proactive way to identify and avoid deficient performance. </w:t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 following chart</w:t>
      </w: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 sets forth the performance standards; quality levels the code and documentation provided by the Contractor must meet; and the methods [the agency] will use to assess the standard and quality levels of that code and documentation.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Tested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Code delivered under the order must have substantial automated test code coverage.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Minimum of 90% of code covered by automated tests. All areas of code are meaningfully tested.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Combination of manual review and execution of the automated tests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Properly Styled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[Link to an agency-specific coding style guide, like some of the appropriate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4"/>
                  <w:szCs w:val="24"/>
                  <w:u w:val="single"/>
                  <w:rtl w:val="0"/>
                </w:rPr>
                <w:t xml:space="preserve">TTS Engineering Practices Guides]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0 linting errors and 0 warnings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Combination of manual review and automated testing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Accessible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 User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1"/>
              <w:spacing w:after="0" w:line="331.2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Web Content Accessibility Guidelines (WCAG) 2.1 AA 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standards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GSA 18F Accessibility Guide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, and </w:t>
            </w: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4"/>
                  <w:szCs w:val="24"/>
                  <w:u w:val="single"/>
                  <w:rtl w:val="0"/>
                </w:rPr>
                <w:t xml:space="preserve">Digital.gov Accessibility Guide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line="331.2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 errors reported using an automated scanner and 0 errors reported in manual testing. Required agency-specific documentation of the accessibility status is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Combination of automated and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manual testing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 with tools equivalent to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Accessibility Insights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 and/or the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DHS Trusted Tester process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Deployed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Code must successfully build and deploy into staging and production environments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Deployment from version control of a successful build should be automated using industry standard tooling. In this project, we expect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[Government must select one of the following scenarios]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[  ] To be able to trigger builds manually.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[  ] For builds to trigger automatically from version control (e.g. on merge).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[  ] Build and deployment to a non-production (staging) environment.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[  ] Build and deployment to a production environment.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1"/>
              <w:spacing w:after="0" w:line="331.2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[  ] Automatic rollback to the most recent working version with no downtime following an unsuccessful deployment.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spacing w:after="0" w:line="331.2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Combination of manual review and automated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24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Summary of user stories completed every sprint. All dependencies are listed and the licenses are documented.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24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All dependencies are listed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Major functionality in the software/source code is 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documented.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Individual methods are documented inline in a format that permits the use of tools such as JSDoc. System diagram is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331.2" w:lineRule="auto"/>
              <w:ind w:left="0" w:firstLine="0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Relevant security controls are documented and kept up to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Combination of manual review and automated testing, if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Manual review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Secure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Code is free of known static and runtime vulnerabilities 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Code submitted must be free of medium- and high-level static and dynamic security vulnerabilities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Tests free of medium- and high-level vulnerabilities from a static testing SaaS (such as Snyk or npm audit), from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dynamic testing tools like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OWASP ZAP (with documentation explaining any false positives), and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 ongoing code review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 informed by OWASP or similar standards.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Usability testing and other user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research methods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must be conducted at regular intervals throughout the development process and not just at the beginning or end of the process.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 The following resources should be referenced: </w:t>
            </w: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4"/>
                  <w:szCs w:val="24"/>
                  <w:u w:val="single"/>
                  <w:rtl w:val="0"/>
                </w:rPr>
                <w:t xml:space="preserve">18F UX Guide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4"/>
                  <w:szCs w:val="24"/>
                  <w:u w:val="single"/>
                  <w:rtl w:val="0"/>
                </w:rPr>
                <w:t xml:space="preserve">Informed Consent Guide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, and </w:t>
            </w:r>
            <w:hyperlink r:id="rId1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4"/>
                  <w:szCs w:val="24"/>
                  <w:u w:val="single"/>
                  <w:rtl w:val="0"/>
                </w:rPr>
                <w:t xml:space="preserve">Usability Test Heuristics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Research plans and artifacts from usability testing and/or other research methods with end users are available at the end of every applicable sprint, in accordance with the vendor’s research plan.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Acceptable documentation for this standard can be found </w:t>
            </w:r>
            <w:hyperlink r:id="rId1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[Agency] will manually evaluate the artifacts based on a research plan provided by the vendor at the end of the second sprint and every applicable sprint thereafter.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1"/>
              <w:spacing w:after="240" w:line="276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Accepted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spacing w:after="200" w:line="276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At the beginning of each sprint, the Product Owner and development team will collaborate to 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define a set of user stories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grounded in user research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to be completed during the sprint. Acceptance criteria for each story will also be defined. The development team will deliver code and functionality to satisfy these user stories.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1"/>
              <w:spacing w:after="0" w:line="331.2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Code is continuously available in a version-controlled [repository] that is owned by the Agency 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and in the public domain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spacing w:after="0" w:line="276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Delivered code meets the acceptance criteria for each user story. Incomplete stories will be assessed and considered for inclusion in the next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spacing w:after="0" w:line="276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Manual review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spacing w:after="240" w:line="331.2" w:lineRule="auto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API-driven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 Architecture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Any public or private APIs developed as part of the project will be well-documented and semantically versioned.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All API endpoints, parameters, defaults, and outputs documented and updated at the end of every applicable sprint.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Semantic versioning will be kept up to date at the end of every applicable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Method of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Combination of manual review and automated testing, if available.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widowControl w:val="1"/>
        <w:spacing w:after="240" w:line="276" w:lineRule="auto"/>
        <w:rPr>
          <w:rFonts w:ascii="Helvetica Neue" w:cs="Helvetica Neue" w:eastAsia="Helvetica Neue" w:hAnsi="Helvetica Neue"/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ourier" w:cs="Courier" w:eastAsia="Courier" w:hAnsi="Courier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Accessibility Guild is working on incorporating Accessibility for Teams into the 18F guide. Until then, we can add </w:t>
      </w:r>
      <w:hyperlink r:id="rId1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https://accessibility.digital.gov/</w:t>
        </w:r>
      </w:hyperlink>
      <w:r w:rsidDel="00000000" w:rsidR="00000000" w:rsidRPr="00000000">
        <w:rPr>
          <w:sz w:val="20"/>
          <w:szCs w:val="20"/>
          <w:rtl w:val="0"/>
        </w:rPr>
        <w:t xml:space="preserve"> dated 10/22/2020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Verify which environment(s) the vendor will be responsible for deploying code. Some agencies only allow vendors to deploy to non-production environments.</w:t>
      </w:r>
    </w:p>
  </w:footnote>
  <w:footnote w:id="1"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Consider adding to the RFQ that users with disabilities be included in user research.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dhs.gov/trusted-tester" TargetMode="External"/><Relationship Id="rId22" Type="http://schemas.openxmlformats.org/officeDocument/2006/relationships/footer" Target="footer3.xml"/><Relationship Id="rId10" Type="http://schemas.openxmlformats.org/officeDocument/2006/relationships/hyperlink" Target="https://accessibilityinsights.io/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ux-guide.18f.gov/research/" TargetMode="External"/><Relationship Id="rId12" Type="http://schemas.openxmlformats.org/officeDocument/2006/relationships/hyperlink" Target="https://methods.18f.go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ccessibility.digital.gov/" TargetMode="External"/><Relationship Id="rId15" Type="http://schemas.openxmlformats.org/officeDocument/2006/relationships/hyperlink" Target="https://docs.google.com/document/d/1qfGp3H1pdOlNbMYuJNQGyBIkpOcQErduDAl0adv1X-w/edit#heading=h.y2rdboc1uj3o" TargetMode="External"/><Relationship Id="rId14" Type="http://schemas.openxmlformats.org/officeDocument/2006/relationships/hyperlink" Target="https://ux-guide.18f.gov/research/do/#getting-informed-consent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18F/ux-guide/blob/master/_pages/resources/research-plan.md" TargetMode="External"/><Relationship Id="rId5" Type="http://schemas.openxmlformats.org/officeDocument/2006/relationships/numbering" Target="numbering.xml"/><Relationship Id="rId19" Type="http://schemas.openxmlformats.org/officeDocument/2006/relationships/header" Target="header3.xml"/><Relationship Id="rId6" Type="http://schemas.openxmlformats.org/officeDocument/2006/relationships/styles" Target="styles.xml"/><Relationship Id="rId18" Type="http://schemas.openxmlformats.org/officeDocument/2006/relationships/header" Target="header2.xml"/><Relationship Id="rId7" Type="http://schemas.openxmlformats.org/officeDocument/2006/relationships/hyperlink" Target="https://engineering.18f.gov/" TargetMode="External"/><Relationship Id="rId8" Type="http://schemas.openxmlformats.org/officeDocument/2006/relationships/hyperlink" Target="https://accessibility.18f.g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ccessibility.digital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