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DOCAUTH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PAST PERFORMANCE QUESTIONNAIRE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By: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Contract #: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 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 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Reference’s Role in Relation to the Contract (PM/CO/End-User, etc):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Question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 would you rate the quality of the products/services provided by the contractor?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Narrative: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How would you rate the timeliness of the products/services provided by the contractor?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Narrative: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How would you rate the contractor’s ability to effectively manage, coordinate, and integrate concurrent tasks?</w:t>
              <w:br w:type="textWrapping"/>
              <w:br w:type="textWrapping"/>
              <w:t xml:space="preserve">Supporting Narrative: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How would you rate the level of creativity demonstrated by the contractor in providing the products/services?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Narrative: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How would you rate your overall satisfaction with the products/services provided by the contractor?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Supporting Narrative: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Additional Comments: 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Please email the completed form the Al Muñoz at alberto.munoz@gsa.gov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