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Title"/>
        <w:ind w:left="0" w:firstLine="0"/>
        <w:rPr>
          <w:sz w:val="62"/>
          <w:szCs w:val="62"/>
        </w:rPr>
      </w:pPr>
      <w:bookmarkStart w:colFirst="0" w:colLast="0" w:name="_3bqxmaavdfts" w:id="0"/>
      <w:bookmarkEnd w:id="0"/>
      <w:r w:rsidDel="00000000" w:rsidR="00000000" w:rsidRPr="00000000">
        <w:rPr>
          <w:sz w:val="62"/>
          <w:szCs w:val="62"/>
          <w:rtl w:val="0"/>
        </w:rPr>
        <w:t xml:space="preserve">Notes: Broadband application examples</w:t>
      </w:r>
    </w:p>
    <w:p w:rsidR="00000000" w:rsidDel="00000000" w:rsidP="00000000" w:rsidRDefault="00000000" w:rsidRPr="00000000" w14:paraId="00000002">
      <w:pPr>
        <w:rPr>
          <w:highlight w:val="yellow"/>
        </w:rPr>
      </w:pPr>
      <w:r w:rsidDel="00000000" w:rsidR="00000000" w:rsidRPr="00000000">
        <w:rPr>
          <w:rtl w:val="0"/>
        </w:rPr>
      </w:r>
    </w:p>
    <w:p w:rsidR="00000000" w:rsidDel="00000000" w:rsidP="00000000" w:rsidRDefault="00000000" w:rsidRPr="00000000" w14:paraId="00000003">
      <w:pPr>
        <w:rPr>
          <w:highlight w:val="yellow"/>
        </w:rPr>
      </w:pPr>
      <w:r w:rsidDel="00000000" w:rsidR="00000000" w:rsidRPr="00000000">
        <w:rPr>
          <w:highlight w:val="yellow"/>
          <w:rtl w:val="0"/>
        </w:rPr>
        <w:t xml:space="preserve">Things USFS wants from permit-seekers</w:t>
      </w:r>
    </w:p>
    <w:p w:rsidR="00000000" w:rsidDel="00000000" w:rsidP="00000000" w:rsidRDefault="00000000" w:rsidRPr="00000000" w14:paraId="00000004">
      <w:pPr>
        <w:rPr>
          <w:highlight w:val="green"/>
        </w:rPr>
      </w:pPr>
      <w:r w:rsidDel="00000000" w:rsidR="00000000" w:rsidRPr="00000000">
        <w:rPr>
          <w:highlight w:val="green"/>
          <w:rtl w:val="0"/>
        </w:rPr>
        <w:t xml:space="preserve">Things USFS offers to permit-seekers</w:t>
      </w:r>
    </w:p>
    <w:p w:rsidR="00000000" w:rsidDel="00000000" w:rsidP="00000000" w:rsidRDefault="00000000" w:rsidRPr="00000000" w14:paraId="00000005">
      <w:pPr>
        <w:rPr>
          <w:highlight w:val="magenta"/>
        </w:rPr>
      </w:pPr>
      <w:r w:rsidDel="00000000" w:rsidR="00000000" w:rsidRPr="00000000">
        <w:rPr>
          <w:highlight w:val="magenta"/>
          <w:rtl w:val="0"/>
        </w:rPr>
        <w:t xml:space="preserve">Problems causing back-and-forth</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hyperlink r:id="rId7">
        <w:r w:rsidDel="00000000" w:rsidR="00000000" w:rsidRPr="00000000">
          <w:rPr>
            <w:b w:val="1"/>
            <w:color w:val="1155cc"/>
            <w:u w:val="single"/>
            <w:rtl w:val="0"/>
          </w:rPr>
          <w:t xml:space="preserve">EXAMPLE 1: </w:t>
        </w:r>
      </w:hyperlink>
      <w:hyperlink r:id="rId8">
        <w:r w:rsidDel="00000000" w:rsidR="00000000" w:rsidRPr="00000000">
          <w:rPr>
            <w:color w:val="1155cc"/>
            <w:u w:val="single"/>
            <w:rtl w:val="0"/>
          </w:rPr>
          <w:t xml:space="preserve">Entrust Solutions Group – on behalf of Spectrum</w:t>
        </w:r>
      </w:hyperlink>
      <w:r w:rsidDel="00000000" w:rsidR="00000000" w:rsidRPr="00000000">
        <w:rPr>
          <w:rtl w:val="0"/>
        </w:rPr>
        <w:t xml:space="preserve"> – “a lot of back and forth”</w:t>
      </w:r>
      <w:r w:rsidDel="00000000" w:rsidR="00000000" w:rsidRPr="00000000">
        <w:rPr>
          <w:rtl w:val="0"/>
        </w:rPr>
      </w:r>
    </w:p>
    <w:p w:rsidR="00000000" w:rsidDel="00000000" w:rsidP="00000000" w:rsidRDefault="00000000" w:rsidRPr="00000000" w14:paraId="00000008">
      <w:pPr>
        <w:numPr>
          <w:ilvl w:val="0"/>
          <w:numId w:val="5"/>
        </w:numPr>
        <w:spacing w:after="0" w:afterAutospacing="0"/>
        <w:ind w:left="720" w:hanging="360"/>
        <w:rPr>
          <w:u w:val="none"/>
        </w:rPr>
      </w:pPr>
      <w:r w:rsidDel="00000000" w:rsidR="00000000" w:rsidRPr="00000000">
        <w:rPr>
          <w:rtl w:val="0"/>
        </w:rPr>
        <w:t xml:space="preserve">[Contractor initiates contact via the broadband form on behalf of client proponent]</w:t>
      </w:r>
    </w:p>
    <w:p w:rsidR="00000000" w:rsidDel="00000000" w:rsidP="00000000" w:rsidRDefault="00000000" w:rsidRPr="00000000" w14:paraId="00000009">
      <w:pPr>
        <w:numPr>
          <w:ilvl w:val="0"/>
          <w:numId w:val="5"/>
        </w:numPr>
        <w:spacing w:after="0" w:afterAutospacing="0" w:before="0" w:beforeAutospacing="0"/>
        <w:ind w:left="720" w:hanging="360"/>
        <w:rPr>
          <w:u w:val="none"/>
        </w:rPr>
      </w:pPr>
      <w:r w:rsidDel="00000000" w:rsidR="00000000" w:rsidRPr="00000000">
        <w:rPr>
          <w:rtl w:val="0"/>
        </w:rPr>
        <w:t xml:space="preserve">July 11 – USFS asks for: </w:t>
      </w:r>
    </w:p>
    <w:p w:rsidR="00000000" w:rsidDel="00000000" w:rsidP="00000000" w:rsidRDefault="00000000" w:rsidRPr="00000000" w14:paraId="0000000A">
      <w:pPr>
        <w:numPr>
          <w:ilvl w:val="1"/>
          <w:numId w:val="5"/>
        </w:numPr>
        <w:spacing w:after="0" w:afterAutospacing="0" w:before="0" w:beforeAutospacing="0"/>
        <w:ind w:left="1440" w:hanging="360"/>
        <w:rPr>
          <w:highlight w:val="yellow"/>
        </w:rPr>
      </w:pPr>
      <w:r w:rsidDel="00000000" w:rsidR="00000000" w:rsidRPr="00000000">
        <w:rPr>
          <w:highlight w:val="yellow"/>
          <w:rtl w:val="0"/>
        </w:rPr>
        <w:t xml:space="preserve">SF-299</w:t>
      </w:r>
    </w:p>
    <w:p w:rsidR="00000000" w:rsidDel="00000000" w:rsidP="00000000" w:rsidRDefault="00000000" w:rsidRPr="00000000" w14:paraId="0000000B">
      <w:pPr>
        <w:numPr>
          <w:ilvl w:val="1"/>
          <w:numId w:val="5"/>
        </w:numPr>
        <w:spacing w:after="0" w:afterAutospacing="0" w:before="0" w:beforeAutospacing="0"/>
        <w:ind w:left="1440" w:hanging="360"/>
        <w:rPr>
          <w:highlight w:val="yellow"/>
        </w:rPr>
      </w:pPr>
      <w:r w:rsidDel="00000000" w:rsidR="00000000" w:rsidRPr="00000000">
        <w:rPr>
          <w:highlight w:val="yellow"/>
          <w:rtl w:val="0"/>
        </w:rPr>
        <w:t xml:space="preserve">Plan of development (POD)</w:t>
      </w:r>
    </w:p>
    <w:p w:rsidR="00000000" w:rsidDel="00000000" w:rsidP="00000000" w:rsidRDefault="00000000" w:rsidRPr="00000000" w14:paraId="0000000C">
      <w:pPr>
        <w:numPr>
          <w:ilvl w:val="1"/>
          <w:numId w:val="5"/>
        </w:numPr>
        <w:spacing w:after="0" w:afterAutospacing="0" w:before="0" w:beforeAutospacing="0"/>
        <w:ind w:left="1440" w:hanging="360"/>
        <w:rPr>
          <w:highlight w:val="yellow"/>
        </w:rPr>
      </w:pPr>
      <w:r w:rsidDel="00000000" w:rsidR="00000000" w:rsidRPr="00000000">
        <w:rPr>
          <w:highlight w:val="yellow"/>
          <w:rtl w:val="0"/>
        </w:rPr>
        <w:t xml:space="preserve">Map(s) of proposal</w:t>
      </w:r>
    </w:p>
    <w:p w:rsidR="00000000" w:rsidDel="00000000" w:rsidP="00000000" w:rsidRDefault="00000000" w:rsidRPr="00000000" w14:paraId="0000000D">
      <w:pPr>
        <w:numPr>
          <w:ilvl w:val="1"/>
          <w:numId w:val="2"/>
        </w:numPr>
        <w:spacing w:after="0" w:afterAutospacing="0" w:before="0" w:beforeAutospacing="0"/>
        <w:ind w:left="2160" w:hanging="360"/>
        <w:rPr>
          <w:u w:val="none"/>
        </w:rPr>
      </w:pPr>
      <w:r w:rsidDel="00000000" w:rsidR="00000000" w:rsidRPr="00000000">
        <w:rPr>
          <w:rtl w:val="0"/>
        </w:rPr>
        <w:t xml:space="preserve">Notes that “Acceptable formats for </w:t>
      </w:r>
      <w:r w:rsidDel="00000000" w:rsidR="00000000" w:rsidRPr="00000000">
        <w:rPr>
          <w:highlight w:val="yellow"/>
          <w:rtl w:val="0"/>
        </w:rPr>
        <w:t xml:space="preserve">GIS data</w:t>
      </w:r>
      <w:r w:rsidDel="00000000" w:rsidR="00000000" w:rsidRPr="00000000">
        <w:rPr>
          <w:rtl w:val="0"/>
        </w:rPr>
        <w:t xml:space="preserve"> are: ESRI file, shapefiles, published feature layer in AGO”</w:t>
      </w:r>
    </w:p>
    <w:p w:rsidR="00000000" w:rsidDel="00000000" w:rsidP="00000000" w:rsidRDefault="00000000" w:rsidRPr="00000000" w14:paraId="0000000E">
      <w:pPr>
        <w:numPr>
          <w:ilvl w:val="0"/>
          <w:numId w:val="1"/>
        </w:numPr>
        <w:spacing w:after="0" w:afterAutospacing="0" w:before="0" w:beforeAutospacing="0"/>
        <w:ind w:left="720" w:hanging="360"/>
        <w:rPr>
          <w:u w:val="none"/>
        </w:rPr>
      </w:pPr>
      <w:r w:rsidDel="00000000" w:rsidR="00000000" w:rsidRPr="00000000">
        <w:rPr>
          <w:rtl w:val="0"/>
        </w:rPr>
        <w:t xml:space="preserve">July 12 – Contractor says files are</w:t>
      </w:r>
      <w:r w:rsidDel="00000000" w:rsidR="00000000" w:rsidRPr="00000000">
        <w:rPr>
          <w:highlight w:val="magenta"/>
          <w:rtl w:val="0"/>
        </w:rPr>
        <w:t xml:space="preserve"> too big to deliver via email</w:t>
      </w:r>
    </w:p>
    <w:p w:rsidR="00000000" w:rsidDel="00000000" w:rsidP="00000000" w:rsidRDefault="00000000" w:rsidRPr="00000000" w14:paraId="0000000F">
      <w:pPr>
        <w:numPr>
          <w:ilvl w:val="0"/>
          <w:numId w:val="1"/>
        </w:numPr>
        <w:spacing w:after="0" w:afterAutospacing="0" w:before="0" w:beforeAutospacing="0"/>
        <w:ind w:left="720" w:hanging="360"/>
        <w:rPr>
          <w:u w:val="none"/>
        </w:rPr>
      </w:pPr>
      <w:r w:rsidDel="00000000" w:rsidR="00000000" w:rsidRPr="00000000">
        <w:rPr>
          <w:rtl w:val="0"/>
        </w:rPr>
        <w:t xml:space="preserve">July 12 – USFS asks contractor to send files in multiple emails</w:t>
      </w:r>
    </w:p>
    <w:p w:rsidR="00000000" w:rsidDel="00000000" w:rsidP="00000000" w:rsidRDefault="00000000" w:rsidRPr="00000000" w14:paraId="00000010">
      <w:pPr>
        <w:numPr>
          <w:ilvl w:val="0"/>
          <w:numId w:val="1"/>
        </w:numPr>
        <w:spacing w:after="0" w:afterAutospacing="0" w:before="0" w:beforeAutospacing="0"/>
        <w:ind w:left="720" w:hanging="360"/>
        <w:rPr>
          <w:u w:val="none"/>
        </w:rPr>
      </w:pPr>
      <w:r w:rsidDel="00000000" w:rsidR="00000000" w:rsidRPr="00000000">
        <w:rPr>
          <w:rtl w:val="0"/>
        </w:rPr>
        <w:t xml:space="preserve">July 12 – Contractor offers link to OneDrive folder</w:t>
      </w:r>
    </w:p>
    <w:p w:rsidR="00000000" w:rsidDel="00000000" w:rsidP="00000000" w:rsidRDefault="00000000" w:rsidRPr="00000000" w14:paraId="00000011">
      <w:pPr>
        <w:numPr>
          <w:ilvl w:val="0"/>
          <w:numId w:val="1"/>
        </w:numPr>
        <w:spacing w:after="0" w:afterAutospacing="0" w:before="0" w:beforeAutospacing="0"/>
        <w:ind w:left="720" w:hanging="360"/>
        <w:rPr>
          <w:u w:val="none"/>
        </w:rPr>
      </w:pPr>
      <w:r w:rsidDel="00000000" w:rsidR="00000000" w:rsidRPr="00000000">
        <w:rPr>
          <w:rtl w:val="0"/>
        </w:rPr>
        <w:t xml:space="preserve">July 12 – USFS agrees to try this</w:t>
      </w:r>
    </w:p>
    <w:p w:rsidR="00000000" w:rsidDel="00000000" w:rsidP="00000000" w:rsidRDefault="00000000" w:rsidRPr="00000000" w14:paraId="00000012">
      <w:pPr>
        <w:numPr>
          <w:ilvl w:val="0"/>
          <w:numId w:val="1"/>
        </w:numPr>
        <w:spacing w:after="0" w:afterAutospacing="0" w:before="0" w:beforeAutospacing="0"/>
        <w:ind w:left="720" w:hanging="360"/>
        <w:rPr>
          <w:u w:val="none"/>
        </w:rPr>
      </w:pPr>
      <w:r w:rsidDel="00000000" w:rsidR="00000000" w:rsidRPr="00000000">
        <w:rPr>
          <w:rtl w:val="0"/>
        </w:rPr>
        <w:t xml:space="preserve">July 12 – Contractor sends link to OneDrive folder and a list of “all PIDs associated with this submission” (possibly “permit ID”, internal to the proponent’s company)</w:t>
      </w:r>
    </w:p>
    <w:p w:rsidR="00000000" w:rsidDel="00000000" w:rsidP="00000000" w:rsidRDefault="00000000" w:rsidRPr="00000000" w14:paraId="00000013">
      <w:pPr>
        <w:numPr>
          <w:ilvl w:val="0"/>
          <w:numId w:val="1"/>
        </w:numPr>
        <w:spacing w:after="0" w:afterAutospacing="0" w:before="0" w:beforeAutospacing="0"/>
        <w:ind w:left="720" w:hanging="360"/>
        <w:rPr>
          <w:u w:val="none"/>
        </w:rPr>
      </w:pPr>
      <w:r w:rsidDel="00000000" w:rsidR="00000000" w:rsidRPr="00000000">
        <w:rPr>
          <w:rtl w:val="0"/>
        </w:rPr>
        <w:t xml:space="preserve">July 15 – USFS acknowledges receipt.</w:t>
      </w:r>
    </w:p>
    <w:p w:rsidR="00000000" w:rsidDel="00000000" w:rsidP="00000000" w:rsidRDefault="00000000" w:rsidRPr="00000000" w14:paraId="00000014">
      <w:pPr>
        <w:numPr>
          <w:ilvl w:val="0"/>
          <w:numId w:val="1"/>
        </w:numPr>
        <w:spacing w:after="0" w:afterAutospacing="0" w:before="0" w:beforeAutospacing="0"/>
        <w:ind w:left="720" w:hanging="360"/>
        <w:rPr>
          <w:u w:val="none"/>
        </w:rPr>
      </w:pPr>
      <w:r w:rsidDel="00000000" w:rsidR="00000000" w:rsidRPr="00000000">
        <w:rPr>
          <w:rtl w:val="0"/>
        </w:rPr>
        <w:t xml:space="preserve">August 7 – USFS broadband PM assigned to case follows up to ask why GIS files include generic Forest Service maps, and </w:t>
      </w:r>
      <w:r w:rsidDel="00000000" w:rsidR="00000000" w:rsidRPr="00000000">
        <w:rPr>
          <w:highlight w:val="magenta"/>
          <w:rtl w:val="0"/>
        </w:rPr>
        <w:t xml:space="preserve">which file represents the actual proposal</w:t>
      </w:r>
      <w:r w:rsidDel="00000000" w:rsidR="00000000" w:rsidRPr="00000000">
        <w:rPr>
          <w:rtl w:val="0"/>
        </w:rPr>
        <w:t xml:space="preserve">.</w:t>
      </w:r>
    </w:p>
    <w:p w:rsidR="00000000" w:rsidDel="00000000" w:rsidP="00000000" w:rsidRDefault="00000000" w:rsidRPr="00000000" w14:paraId="00000015">
      <w:pPr>
        <w:numPr>
          <w:ilvl w:val="0"/>
          <w:numId w:val="1"/>
        </w:numPr>
        <w:spacing w:after="0" w:afterAutospacing="0" w:before="0" w:beforeAutospacing="0"/>
        <w:ind w:left="720" w:hanging="360"/>
        <w:rPr>
          <w:u w:val="none"/>
        </w:rPr>
      </w:pPr>
      <w:r w:rsidDel="00000000" w:rsidR="00000000" w:rsidRPr="00000000">
        <w:rPr>
          <w:rtl w:val="0"/>
        </w:rPr>
        <w:t xml:space="preserve">August 7 – Contractor says “we were asked to include the FS layers in our submittal” and re-attaches the project shape file specifically.</w:t>
      </w:r>
    </w:p>
    <w:p w:rsidR="00000000" w:rsidDel="00000000" w:rsidP="00000000" w:rsidRDefault="00000000" w:rsidRPr="00000000" w14:paraId="00000016">
      <w:pPr>
        <w:numPr>
          <w:ilvl w:val="0"/>
          <w:numId w:val="1"/>
        </w:numPr>
        <w:spacing w:after="0" w:afterAutospacing="0" w:before="0" w:beforeAutospacing="0"/>
        <w:ind w:left="720" w:hanging="360"/>
        <w:rPr>
          <w:u w:val="none"/>
        </w:rPr>
      </w:pPr>
      <w:r w:rsidDel="00000000" w:rsidR="00000000" w:rsidRPr="00000000">
        <w:rPr>
          <w:rtl w:val="0"/>
        </w:rPr>
        <w:t xml:space="preserve">August 7 – USFS project manager acknowledges receipt. </w:t>
      </w:r>
    </w:p>
    <w:p w:rsidR="00000000" w:rsidDel="00000000" w:rsidP="00000000" w:rsidRDefault="00000000" w:rsidRPr="00000000" w14:paraId="00000017">
      <w:pPr>
        <w:numPr>
          <w:ilvl w:val="0"/>
          <w:numId w:val="1"/>
        </w:numPr>
        <w:spacing w:after="0" w:afterAutospacing="0" w:before="0" w:beforeAutospacing="0"/>
        <w:ind w:left="720" w:hanging="360"/>
        <w:rPr>
          <w:u w:val="none"/>
        </w:rPr>
      </w:pPr>
      <w:r w:rsidDel="00000000" w:rsidR="00000000" w:rsidRPr="00000000">
        <w:rPr>
          <w:rtl w:val="0"/>
        </w:rPr>
        <w:t xml:space="preserve">August 8 – USFS follows up with “</w:t>
      </w:r>
      <w:r w:rsidDel="00000000" w:rsidR="00000000" w:rsidRPr="00000000">
        <w:rPr>
          <w:highlight w:val="magenta"/>
          <w:rtl w:val="0"/>
        </w:rPr>
        <w:t xml:space="preserve">deficiencies in the proposal</w:t>
      </w:r>
      <w:r w:rsidDel="00000000" w:rsidR="00000000" w:rsidRPr="00000000">
        <w:rPr>
          <w:rtl w:val="0"/>
        </w:rPr>
        <w:t xml:space="preserve">” that the contractor must address to proceed.</w:t>
      </w:r>
    </w:p>
    <w:p w:rsidR="00000000" w:rsidDel="00000000" w:rsidP="00000000" w:rsidRDefault="00000000" w:rsidRPr="00000000" w14:paraId="00000018">
      <w:pPr>
        <w:numPr>
          <w:ilvl w:val="1"/>
          <w:numId w:val="1"/>
        </w:numPr>
        <w:spacing w:after="0" w:afterAutospacing="0" w:before="0" w:beforeAutospacing="0"/>
        <w:ind w:left="1440" w:hanging="360"/>
        <w:rPr>
          <w:u w:val="none"/>
        </w:rPr>
      </w:pPr>
      <w:r w:rsidDel="00000000" w:rsidR="00000000" w:rsidRPr="00000000">
        <w:rPr>
          <w:rtl w:val="0"/>
        </w:rPr>
        <w:t xml:space="preserve">Comments on SF-299</w:t>
      </w:r>
    </w:p>
    <w:p w:rsidR="00000000" w:rsidDel="00000000" w:rsidP="00000000" w:rsidRDefault="00000000" w:rsidRPr="00000000" w14:paraId="00000019">
      <w:pPr>
        <w:numPr>
          <w:ilvl w:val="1"/>
          <w:numId w:val="1"/>
        </w:numPr>
        <w:spacing w:after="0" w:afterAutospacing="0" w:before="0" w:beforeAutospacing="0"/>
        <w:ind w:left="1440" w:hanging="360"/>
        <w:rPr>
          <w:u w:val="none"/>
        </w:rPr>
      </w:pPr>
      <w:r w:rsidDel="00000000" w:rsidR="00000000" w:rsidRPr="00000000">
        <w:rPr>
          <w:rtl w:val="0"/>
        </w:rPr>
        <w:t xml:space="preserve">Comments on POD</w:t>
      </w:r>
    </w:p>
    <w:p w:rsidR="00000000" w:rsidDel="00000000" w:rsidP="00000000" w:rsidRDefault="00000000" w:rsidRPr="00000000" w14:paraId="0000001A">
      <w:pPr>
        <w:numPr>
          <w:ilvl w:val="1"/>
          <w:numId w:val="1"/>
        </w:numPr>
        <w:spacing w:after="0" w:afterAutospacing="0" w:before="0" w:beforeAutospacing="0"/>
        <w:ind w:left="1440" w:hanging="360"/>
        <w:rPr>
          <w:u w:val="none"/>
        </w:rPr>
      </w:pPr>
      <w:r w:rsidDel="00000000" w:rsidR="00000000" w:rsidRPr="00000000">
        <w:rPr>
          <w:highlight w:val="yellow"/>
          <w:rtl w:val="0"/>
        </w:rPr>
        <w:t xml:space="preserve">Letter of good standing</w:t>
      </w:r>
      <w:r w:rsidDel="00000000" w:rsidR="00000000" w:rsidRPr="00000000">
        <w:rPr>
          <w:rtl w:val="0"/>
        </w:rPr>
        <w:t xml:space="preserve"> (or equivalent) from TX Secretary of State</w:t>
      </w:r>
    </w:p>
    <w:p w:rsidR="00000000" w:rsidDel="00000000" w:rsidP="00000000" w:rsidRDefault="00000000" w:rsidRPr="00000000" w14:paraId="0000001B">
      <w:pPr>
        <w:numPr>
          <w:ilvl w:val="1"/>
          <w:numId w:val="1"/>
        </w:numPr>
        <w:spacing w:after="0" w:afterAutospacing="0" w:before="0" w:beforeAutospacing="0"/>
        <w:ind w:left="1440" w:hanging="360"/>
        <w:rPr>
          <w:u w:val="none"/>
        </w:rPr>
      </w:pPr>
      <w:r w:rsidDel="00000000" w:rsidR="00000000" w:rsidRPr="00000000">
        <w:rPr>
          <w:highlight w:val="yellow"/>
          <w:rtl w:val="0"/>
        </w:rPr>
        <w:t xml:space="preserve">Certificate of Liability</w:t>
      </w:r>
      <w:r w:rsidDel="00000000" w:rsidR="00000000" w:rsidRPr="00000000">
        <w:rPr>
          <w:rtl w:val="0"/>
        </w:rPr>
        <w:t xml:space="preserve"> “must list the United States as an additional insured” – USFS says it can deal with that later.</w:t>
      </w:r>
    </w:p>
    <w:p w:rsidR="00000000" w:rsidDel="00000000" w:rsidP="00000000" w:rsidRDefault="00000000" w:rsidRPr="00000000" w14:paraId="0000001C">
      <w:pPr>
        <w:numPr>
          <w:ilvl w:val="0"/>
          <w:numId w:val="1"/>
        </w:numPr>
        <w:spacing w:after="0" w:afterAutospacing="0" w:before="0" w:beforeAutospacing="0"/>
        <w:ind w:left="720" w:hanging="360"/>
        <w:rPr>
          <w:u w:val="none"/>
        </w:rPr>
      </w:pPr>
      <w:r w:rsidDel="00000000" w:rsidR="00000000" w:rsidRPr="00000000">
        <w:rPr>
          <w:rtl w:val="0"/>
        </w:rPr>
        <w:t xml:space="preserve">August 8 – USFS adds clarifying comments.</w:t>
      </w:r>
    </w:p>
    <w:p w:rsidR="00000000" w:rsidDel="00000000" w:rsidP="00000000" w:rsidRDefault="00000000" w:rsidRPr="00000000" w14:paraId="0000001D">
      <w:pPr>
        <w:numPr>
          <w:ilvl w:val="1"/>
          <w:numId w:val="1"/>
        </w:numPr>
        <w:spacing w:after="0" w:afterAutospacing="0" w:before="0" w:beforeAutospacing="0"/>
        <w:ind w:left="1440" w:hanging="360"/>
        <w:rPr>
          <w:u w:val="none"/>
        </w:rPr>
      </w:pPr>
      <w:r w:rsidDel="00000000" w:rsidR="00000000" w:rsidRPr="00000000">
        <w:rPr>
          <w:rtl w:val="0"/>
        </w:rPr>
        <w:t xml:space="preserve">Only proponent can sign SF-299 #1</w:t>
      </w:r>
    </w:p>
    <w:p w:rsidR="00000000" w:rsidDel="00000000" w:rsidP="00000000" w:rsidRDefault="00000000" w:rsidRPr="00000000" w14:paraId="0000001E">
      <w:pPr>
        <w:numPr>
          <w:ilvl w:val="1"/>
          <w:numId w:val="1"/>
        </w:numPr>
        <w:spacing w:after="0" w:afterAutospacing="0" w:before="0" w:beforeAutospacing="0"/>
        <w:ind w:left="1440" w:hanging="360"/>
        <w:rPr>
          <w:u w:val="none"/>
        </w:rPr>
      </w:pPr>
      <w:r w:rsidDel="00000000" w:rsidR="00000000" w:rsidRPr="00000000">
        <w:rPr>
          <w:rtl w:val="0"/>
        </w:rPr>
        <w:t xml:space="preserve">Proponent must submit documentation to establish authorized agent</w:t>
      </w:r>
    </w:p>
    <w:p w:rsidR="00000000" w:rsidDel="00000000" w:rsidP="00000000" w:rsidRDefault="00000000" w:rsidRPr="00000000" w14:paraId="0000001F">
      <w:pPr>
        <w:numPr>
          <w:ilvl w:val="0"/>
          <w:numId w:val="1"/>
        </w:numPr>
        <w:spacing w:after="0" w:afterAutospacing="0" w:before="0" w:beforeAutospacing="0"/>
        <w:ind w:left="720" w:hanging="360"/>
        <w:rPr>
          <w:u w:val="none"/>
        </w:rPr>
      </w:pPr>
      <w:r w:rsidDel="00000000" w:rsidR="00000000" w:rsidRPr="00000000">
        <w:rPr>
          <w:rtl w:val="0"/>
        </w:rPr>
        <w:t xml:space="preserve">August 8 – Contractor acknowledges receipt</w:t>
      </w:r>
    </w:p>
    <w:p w:rsidR="00000000" w:rsidDel="00000000" w:rsidP="00000000" w:rsidRDefault="00000000" w:rsidRPr="00000000" w14:paraId="00000020">
      <w:pPr>
        <w:numPr>
          <w:ilvl w:val="0"/>
          <w:numId w:val="1"/>
        </w:numPr>
        <w:spacing w:after="0" w:afterAutospacing="0" w:before="0" w:beforeAutospacing="0"/>
        <w:ind w:left="720" w:hanging="360"/>
        <w:rPr>
          <w:u w:val="none"/>
        </w:rPr>
      </w:pPr>
      <w:r w:rsidDel="00000000" w:rsidR="00000000" w:rsidRPr="00000000">
        <w:rPr>
          <w:rtl w:val="0"/>
        </w:rPr>
        <w:t xml:space="preserve">August 13 – Contractor follows up with questions about USFS comments.</w:t>
      </w:r>
    </w:p>
    <w:p w:rsidR="00000000" w:rsidDel="00000000" w:rsidP="00000000" w:rsidRDefault="00000000" w:rsidRPr="00000000" w14:paraId="00000021">
      <w:pPr>
        <w:numPr>
          <w:ilvl w:val="1"/>
          <w:numId w:val="1"/>
        </w:numPr>
        <w:spacing w:after="0" w:afterAutospacing="0" w:before="0" w:beforeAutospacing="0"/>
        <w:ind w:left="1440" w:hanging="360"/>
        <w:rPr>
          <w:u w:val="none"/>
        </w:rPr>
      </w:pPr>
      <w:r w:rsidDel="00000000" w:rsidR="00000000" w:rsidRPr="00000000">
        <w:rPr>
          <w:rtl w:val="0"/>
        </w:rPr>
        <w:t xml:space="preserve">Address for listing the United States as additional insured</w:t>
      </w:r>
    </w:p>
    <w:p w:rsidR="00000000" w:rsidDel="00000000" w:rsidP="00000000" w:rsidRDefault="00000000" w:rsidRPr="00000000" w14:paraId="00000022">
      <w:pPr>
        <w:numPr>
          <w:ilvl w:val="1"/>
          <w:numId w:val="1"/>
        </w:numPr>
        <w:spacing w:after="0" w:afterAutospacing="0" w:before="0" w:beforeAutospacing="0"/>
        <w:ind w:left="1440" w:hanging="360"/>
        <w:rPr>
          <w:u w:val="none"/>
        </w:rPr>
      </w:pPr>
      <w:r w:rsidDel="00000000" w:rsidR="00000000" w:rsidRPr="00000000">
        <w:rPr>
          <w:rtl w:val="0"/>
        </w:rPr>
        <w:t xml:space="preserve">What documentation can be provided to </w:t>
      </w:r>
      <w:r w:rsidDel="00000000" w:rsidR="00000000" w:rsidRPr="00000000">
        <w:rPr>
          <w:highlight w:val="yellow"/>
          <w:rtl w:val="0"/>
        </w:rPr>
        <w:t xml:space="preserve">show financial capability</w:t>
      </w:r>
      <w:r w:rsidDel="00000000" w:rsidR="00000000" w:rsidRPr="00000000">
        <w:rPr>
          <w:rtl w:val="0"/>
        </w:rPr>
        <w:t xml:space="preserve"> (#12)</w:t>
      </w:r>
    </w:p>
    <w:p w:rsidR="00000000" w:rsidDel="00000000" w:rsidP="00000000" w:rsidRDefault="00000000" w:rsidRPr="00000000" w14:paraId="00000023">
      <w:pPr>
        <w:numPr>
          <w:ilvl w:val="1"/>
          <w:numId w:val="1"/>
        </w:numPr>
        <w:spacing w:after="0" w:afterAutospacing="0" w:before="0" w:beforeAutospacing="0"/>
        <w:ind w:left="1440" w:hanging="360"/>
        <w:rPr>
          <w:u w:val="none"/>
        </w:rPr>
      </w:pPr>
      <w:r w:rsidDel="00000000" w:rsidR="00000000" w:rsidRPr="00000000">
        <w:rPr>
          <w:rtl w:val="0"/>
        </w:rPr>
        <w:t xml:space="preserve">Examples of </w:t>
      </w:r>
      <w:r w:rsidDel="00000000" w:rsidR="00000000" w:rsidRPr="00000000">
        <w:rPr>
          <w:highlight w:val="yellow"/>
          <w:rtl w:val="0"/>
        </w:rPr>
        <w:t xml:space="preserve">description of alternatives</w:t>
      </w:r>
      <w:r w:rsidDel="00000000" w:rsidR="00000000" w:rsidRPr="00000000">
        <w:rPr>
          <w:rtl w:val="0"/>
        </w:rPr>
        <w:t xml:space="preserve"> considered (#13)</w:t>
      </w:r>
    </w:p>
    <w:p w:rsidR="00000000" w:rsidDel="00000000" w:rsidP="00000000" w:rsidRDefault="00000000" w:rsidRPr="00000000" w14:paraId="00000024">
      <w:pPr>
        <w:numPr>
          <w:ilvl w:val="0"/>
          <w:numId w:val="1"/>
        </w:numPr>
        <w:spacing w:after="0" w:afterAutospacing="0" w:before="0" w:beforeAutospacing="0"/>
        <w:ind w:left="720" w:hanging="360"/>
        <w:rPr>
          <w:u w:val="none"/>
        </w:rPr>
      </w:pPr>
      <w:r w:rsidDel="00000000" w:rsidR="00000000" w:rsidRPr="00000000">
        <w:rPr>
          <w:rtl w:val="0"/>
        </w:rPr>
        <w:t xml:space="preserve">August 14 – USFS responds to questions.</w:t>
      </w:r>
    </w:p>
    <w:p w:rsidR="00000000" w:rsidDel="00000000" w:rsidP="00000000" w:rsidRDefault="00000000" w:rsidRPr="00000000" w14:paraId="00000025">
      <w:pPr>
        <w:numPr>
          <w:ilvl w:val="1"/>
          <w:numId w:val="1"/>
        </w:numPr>
        <w:spacing w:after="0" w:afterAutospacing="0" w:before="0" w:beforeAutospacing="0"/>
        <w:ind w:left="1440" w:hanging="360"/>
        <w:rPr>
          <w:u w:val="none"/>
        </w:rPr>
      </w:pPr>
      <w:r w:rsidDel="00000000" w:rsidR="00000000" w:rsidRPr="00000000">
        <w:rPr>
          <w:rtl w:val="0"/>
        </w:rPr>
        <w:t xml:space="preserve">Re: United States and insurance – says US doesn’t need to be an (insurance) certificate holder, </w:t>
      </w:r>
    </w:p>
    <w:p w:rsidR="00000000" w:rsidDel="00000000" w:rsidP="00000000" w:rsidRDefault="00000000" w:rsidRPr="00000000" w14:paraId="00000026">
      <w:pPr>
        <w:numPr>
          <w:ilvl w:val="1"/>
          <w:numId w:val="1"/>
        </w:numPr>
        <w:spacing w:after="0" w:afterAutospacing="0" w:before="0" w:beforeAutospacing="0"/>
        <w:ind w:left="1440" w:hanging="360"/>
        <w:rPr>
          <w:u w:val="none"/>
        </w:rPr>
      </w:pPr>
      <w:r w:rsidDel="00000000" w:rsidR="00000000" w:rsidRPr="00000000">
        <w:rPr>
          <w:rtl w:val="0"/>
        </w:rPr>
        <w:t xml:space="preserve">Re: #12 – Suggests “including examples of how much fiber optic line the proponent has constructed … statements like this support that the entity has the capability to do what they are proposing to do”</w:t>
      </w:r>
    </w:p>
    <w:p w:rsidR="00000000" w:rsidDel="00000000" w:rsidP="00000000" w:rsidRDefault="00000000" w:rsidRPr="00000000" w14:paraId="00000027">
      <w:pPr>
        <w:numPr>
          <w:ilvl w:val="1"/>
          <w:numId w:val="1"/>
        </w:numPr>
        <w:spacing w:after="0" w:afterAutospacing="0" w:before="0" w:beforeAutospacing="0"/>
        <w:ind w:left="1440" w:hanging="360"/>
        <w:rPr>
          <w:u w:val="none"/>
        </w:rPr>
      </w:pPr>
      <w:r w:rsidDel="00000000" w:rsidR="00000000" w:rsidRPr="00000000">
        <w:rPr>
          <w:rtl w:val="0"/>
        </w:rPr>
        <w:t xml:space="preserve">Re: #13 – Says USFS can’t provide examples because other proposals are proprietary. “The intention of 13 is to understand why it was necessary to authorize an action on Federal lands, and what other options were considered.” Points to form’s instructions for #13.</w:t>
      </w:r>
    </w:p>
    <w:p w:rsidR="00000000" w:rsidDel="00000000" w:rsidP="00000000" w:rsidRDefault="00000000" w:rsidRPr="00000000" w14:paraId="00000028">
      <w:pPr>
        <w:numPr>
          <w:ilvl w:val="1"/>
          <w:numId w:val="1"/>
        </w:numPr>
        <w:spacing w:after="0" w:afterAutospacing="0" w:before="0" w:beforeAutospacing="0"/>
        <w:ind w:left="1440" w:hanging="360"/>
        <w:rPr>
          <w:u w:val="none"/>
        </w:rPr>
      </w:pPr>
      <w:r w:rsidDel="00000000" w:rsidR="00000000" w:rsidRPr="00000000">
        <w:rPr>
          <w:rtl w:val="0"/>
        </w:rPr>
        <w:t xml:space="preserve">Offers to talk through questions on a call.</w:t>
      </w:r>
    </w:p>
    <w:p w:rsidR="00000000" w:rsidDel="00000000" w:rsidP="00000000" w:rsidRDefault="00000000" w:rsidRPr="00000000" w14:paraId="00000029">
      <w:pPr>
        <w:numPr>
          <w:ilvl w:val="0"/>
          <w:numId w:val="1"/>
        </w:numPr>
        <w:spacing w:after="0" w:afterAutospacing="0" w:before="0" w:beforeAutospacing="0"/>
        <w:ind w:left="720" w:hanging="360"/>
        <w:rPr>
          <w:u w:val="none"/>
        </w:rPr>
      </w:pPr>
      <w:r w:rsidDel="00000000" w:rsidR="00000000" w:rsidRPr="00000000">
        <w:rPr>
          <w:rtl w:val="0"/>
        </w:rPr>
        <w:t xml:space="preserve">August 19 – Contractor sends:</w:t>
      </w:r>
    </w:p>
    <w:p w:rsidR="00000000" w:rsidDel="00000000" w:rsidP="00000000" w:rsidRDefault="00000000" w:rsidRPr="00000000" w14:paraId="0000002A">
      <w:pPr>
        <w:numPr>
          <w:ilvl w:val="1"/>
          <w:numId w:val="1"/>
        </w:numPr>
        <w:spacing w:after="0" w:afterAutospacing="0" w:before="0" w:beforeAutospacing="0"/>
        <w:ind w:left="1440" w:hanging="360"/>
        <w:rPr>
          <w:highlight w:val="yellow"/>
        </w:rPr>
      </w:pPr>
      <w:r w:rsidDel="00000000" w:rsidR="00000000" w:rsidRPr="00000000">
        <w:rPr>
          <w:highlight w:val="yellow"/>
          <w:rtl w:val="0"/>
        </w:rPr>
        <w:t xml:space="preserve">Authorized Agent letter</w:t>
      </w:r>
    </w:p>
    <w:p w:rsidR="00000000" w:rsidDel="00000000" w:rsidP="00000000" w:rsidRDefault="00000000" w:rsidRPr="00000000" w14:paraId="0000002B">
      <w:pPr>
        <w:numPr>
          <w:ilvl w:val="1"/>
          <w:numId w:val="1"/>
        </w:numPr>
        <w:spacing w:after="0" w:afterAutospacing="0" w:before="0" w:beforeAutospacing="0"/>
        <w:ind w:left="1440" w:hanging="360"/>
        <w:rPr>
          <w:u w:val="none"/>
        </w:rPr>
      </w:pPr>
      <w:r w:rsidDel="00000000" w:rsidR="00000000" w:rsidRPr="00000000">
        <w:rPr>
          <w:rtl w:val="0"/>
        </w:rPr>
        <w:t xml:space="preserve">Updated SF-299 – asks for review before asking for proponent to sign it</w:t>
      </w:r>
    </w:p>
    <w:p w:rsidR="00000000" w:rsidDel="00000000" w:rsidP="00000000" w:rsidRDefault="00000000" w:rsidRPr="00000000" w14:paraId="0000002C">
      <w:pPr>
        <w:numPr>
          <w:ilvl w:val="1"/>
          <w:numId w:val="1"/>
        </w:numPr>
        <w:spacing w:before="0" w:beforeAutospacing="0"/>
        <w:ind w:left="1440" w:hanging="360"/>
        <w:rPr>
          <w:u w:val="none"/>
        </w:rPr>
      </w:pPr>
      <w:r w:rsidDel="00000000" w:rsidR="00000000" w:rsidRPr="00000000">
        <w:rPr>
          <w:rtl w:val="0"/>
        </w:rPr>
        <w:t xml:space="preserve">Clarifies who the proponent is – contractor is working on behalf of a subsidiary LLC; the name of the parent company appears in documents</w:t>
      </w:r>
    </w:p>
    <w:p w:rsidR="00000000" w:rsidDel="00000000" w:rsidP="00000000" w:rsidRDefault="00000000" w:rsidRPr="00000000" w14:paraId="0000002D">
      <w:pPr>
        <w:rPr/>
      </w:pPr>
      <w:hyperlink r:id="rId9">
        <w:r w:rsidDel="00000000" w:rsidR="00000000" w:rsidRPr="00000000">
          <w:rPr>
            <w:b w:val="1"/>
            <w:color w:val="1155cc"/>
            <w:u w:val="single"/>
            <w:rtl w:val="0"/>
          </w:rPr>
          <w:t xml:space="preserve">EXAMPLE 2: </w:t>
        </w:r>
      </w:hyperlink>
      <w:hyperlink r:id="rId10">
        <w:r w:rsidDel="00000000" w:rsidR="00000000" w:rsidRPr="00000000">
          <w:rPr>
            <w:color w:val="1155cc"/>
            <w:u w:val="single"/>
            <w:rtl w:val="0"/>
          </w:rPr>
          <w:t xml:space="preserve">Momentum Design on behalf of Charter Communications</w:t>
        </w:r>
      </w:hyperlink>
      <w:r w:rsidDel="00000000" w:rsidR="00000000" w:rsidRPr="00000000">
        <w:rPr>
          <w:rtl w:val="0"/>
        </w:rPr>
        <w:t xml:space="preserve"> (a different subsidiary of Spectrum?) –</w:t>
      </w:r>
      <w:r w:rsidDel="00000000" w:rsidR="00000000" w:rsidRPr="00000000">
        <w:rPr>
          <w:rtl w:val="0"/>
        </w:rPr>
        <w:t xml:space="preserve"> </w:t>
      </w:r>
      <w:commentRangeStart w:id="0"/>
      <w:r w:rsidDel="00000000" w:rsidR="00000000" w:rsidRPr="00000000">
        <w:rPr>
          <w:rtl w:val="0"/>
        </w:rPr>
        <w:t xml:space="preserve">“complete enough to initiate screening by a local forest”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2E">
      <w:pPr>
        <w:numPr>
          <w:ilvl w:val="0"/>
          <w:numId w:val="3"/>
        </w:numPr>
        <w:spacing w:after="0" w:afterAutospacing="0"/>
        <w:ind w:left="720" w:hanging="360"/>
        <w:rPr>
          <w:u w:val="none"/>
        </w:rPr>
      </w:pPr>
      <w:r w:rsidDel="00000000" w:rsidR="00000000" w:rsidRPr="00000000">
        <w:rPr>
          <w:rtl w:val="0"/>
        </w:rPr>
        <w:t xml:space="preserve">Broadband PM assigned to case submits a collection of proposals to a Lands Program Manager at an individual forest</w:t>
      </w:r>
    </w:p>
    <w:p w:rsidR="00000000" w:rsidDel="00000000" w:rsidP="00000000" w:rsidRDefault="00000000" w:rsidRPr="00000000" w14:paraId="0000002F">
      <w:pPr>
        <w:numPr>
          <w:ilvl w:val="1"/>
          <w:numId w:val="3"/>
        </w:numPr>
        <w:spacing w:after="0" w:afterAutospacing="0" w:before="0" w:beforeAutospacing="0"/>
        <w:ind w:left="1440" w:hanging="360"/>
        <w:rPr>
          <w:u w:val="none"/>
        </w:rPr>
      </w:pPr>
      <w:r w:rsidDel="00000000" w:rsidR="00000000" w:rsidRPr="00000000">
        <w:rPr>
          <w:rtl w:val="0"/>
        </w:rPr>
        <w:t xml:space="preserve">“All of the projects are in the same vicinity and you may consider lumping them together for environmental review and permitting.”</w:t>
      </w:r>
    </w:p>
    <w:p w:rsidR="00000000" w:rsidDel="00000000" w:rsidP="00000000" w:rsidRDefault="00000000" w:rsidRPr="00000000" w14:paraId="00000030">
      <w:pPr>
        <w:numPr>
          <w:ilvl w:val="2"/>
          <w:numId w:val="3"/>
        </w:numPr>
        <w:spacing w:after="0" w:afterAutospacing="0" w:before="0" w:beforeAutospacing="0"/>
        <w:ind w:left="2160" w:hanging="360"/>
        <w:rPr/>
      </w:pPr>
      <w:r w:rsidDel="00000000" w:rsidR="00000000" w:rsidRPr="00000000">
        <w:rPr>
          <w:u w:val="single"/>
          <w:rtl w:val="0"/>
        </w:rPr>
        <w:t xml:space="preserve">Q: How does either a proponent or USFS decide what can be grouped together and what needs a separate application?</w:t>
      </w:r>
    </w:p>
    <w:p w:rsidR="00000000" w:rsidDel="00000000" w:rsidP="00000000" w:rsidRDefault="00000000" w:rsidRPr="00000000" w14:paraId="00000031">
      <w:pPr>
        <w:numPr>
          <w:ilvl w:val="0"/>
          <w:numId w:val="3"/>
        </w:numPr>
        <w:spacing w:before="0" w:beforeAutospacing="0"/>
        <w:ind w:left="720" w:hanging="360"/>
        <w:rPr>
          <w:u w:val="none"/>
        </w:rPr>
      </w:pPr>
      <w:r w:rsidDel="00000000" w:rsidR="00000000" w:rsidRPr="00000000">
        <w:rPr>
          <w:rtl w:val="0"/>
        </w:rPr>
        <w:t xml:space="preserve">Broadband PM tells the proponent that she’s passed the application along to the forest for screening</w:t>
      </w:r>
    </w:p>
    <w:p w:rsidR="00000000" w:rsidDel="00000000" w:rsidP="00000000" w:rsidRDefault="00000000" w:rsidRPr="00000000" w14:paraId="00000032">
      <w:pPr>
        <w:ind w:left="0" w:firstLine="0"/>
        <w:rPr/>
      </w:pPr>
      <w:hyperlink r:id="rId11">
        <w:r w:rsidDel="00000000" w:rsidR="00000000" w:rsidRPr="00000000">
          <w:rPr>
            <w:b w:val="1"/>
            <w:color w:val="1155cc"/>
            <w:u w:val="single"/>
            <w:rtl w:val="0"/>
          </w:rPr>
          <w:t xml:space="preserve">EXAMPLE 3:</w:t>
        </w:r>
      </w:hyperlink>
      <w:hyperlink r:id="rId12">
        <w:r w:rsidDel="00000000" w:rsidR="00000000" w:rsidRPr="00000000">
          <w:rPr>
            <w:color w:val="1155cc"/>
            <w:u w:val="single"/>
            <w:rtl w:val="0"/>
          </w:rPr>
          <w:t xml:space="preserve"> Heberly and Associates on behalf of InterBel Reconnect</w:t>
        </w:r>
      </w:hyperlink>
      <w:r w:rsidDel="00000000" w:rsidR="00000000" w:rsidRPr="00000000">
        <w:rPr>
          <w:rtl w:val="0"/>
        </w:rPr>
        <w:t xml:space="preserve"> — “request when additional information is needed”</w:t>
      </w:r>
    </w:p>
    <w:p w:rsidR="00000000" w:rsidDel="00000000" w:rsidP="00000000" w:rsidRDefault="00000000" w:rsidRPr="00000000" w14:paraId="00000033">
      <w:pPr>
        <w:numPr>
          <w:ilvl w:val="0"/>
          <w:numId w:val="4"/>
        </w:numPr>
        <w:spacing w:after="0" w:afterAutospacing="0"/>
        <w:ind w:left="720" w:hanging="360"/>
        <w:rPr>
          <w:u w:val="none"/>
        </w:rPr>
      </w:pPr>
      <w:r w:rsidDel="00000000" w:rsidR="00000000" w:rsidRPr="00000000">
        <w:rPr>
          <w:rtl w:val="0"/>
        </w:rPr>
        <w:t xml:space="preserve">Individual forest contacts broadband team for help reviewing a proposal submitted by a contractor</w:t>
      </w:r>
    </w:p>
    <w:p w:rsidR="00000000" w:rsidDel="00000000" w:rsidP="00000000" w:rsidRDefault="00000000" w:rsidRPr="00000000" w14:paraId="00000034">
      <w:pPr>
        <w:numPr>
          <w:ilvl w:val="0"/>
          <w:numId w:val="4"/>
        </w:numPr>
        <w:spacing w:after="0" w:afterAutospacing="0" w:before="0" w:beforeAutospacing="0"/>
        <w:ind w:left="720" w:hanging="360"/>
        <w:rPr>
          <w:u w:val="none"/>
        </w:rPr>
      </w:pPr>
      <w:r w:rsidDel="00000000" w:rsidR="00000000" w:rsidRPr="00000000">
        <w:rPr>
          <w:rtl w:val="0"/>
        </w:rPr>
        <w:t xml:space="preserve">Broadband team responds to contractor</w:t>
      </w:r>
    </w:p>
    <w:p w:rsidR="00000000" w:rsidDel="00000000" w:rsidP="00000000" w:rsidRDefault="00000000" w:rsidRPr="00000000" w14:paraId="00000035">
      <w:pPr>
        <w:numPr>
          <w:ilvl w:val="1"/>
          <w:numId w:val="4"/>
        </w:numPr>
        <w:spacing w:after="0" w:afterAutospacing="0" w:before="0" w:beforeAutospacing="0"/>
        <w:ind w:left="1440" w:hanging="360"/>
        <w:rPr>
          <w:u w:val="none"/>
        </w:rPr>
      </w:pPr>
      <w:r w:rsidDel="00000000" w:rsidR="00000000" w:rsidRPr="00000000">
        <w:rPr>
          <w:rtl w:val="0"/>
        </w:rPr>
        <w:t xml:space="preserve">Lists various </w:t>
      </w:r>
      <w:r w:rsidDel="00000000" w:rsidR="00000000" w:rsidRPr="00000000">
        <w:rPr>
          <w:highlight w:val="magenta"/>
          <w:rtl w:val="0"/>
        </w:rPr>
        <w:t xml:space="preserve">questions/requested revisions</w:t>
      </w:r>
      <w:r w:rsidDel="00000000" w:rsidR="00000000" w:rsidRPr="00000000">
        <w:rPr>
          <w:rtl w:val="0"/>
        </w:rPr>
        <w:t xml:space="preserve"> to “add to the </w:t>
      </w:r>
      <w:r w:rsidDel="00000000" w:rsidR="00000000" w:rsidRPr="00000000">
        <w:rPr>
          <w:highlight w:val="yellow"/>
          <w:rtl w:val="0"/>
        </w:rPr>
        <w:t xml:space="preserve">Plan of Development (SF-299</w:t>
      </w:r>
      <w:r w:rsidDel="00000000" w:rsidR="00000000" w:rsidRPr="00000000">
        <w:rPr>
          <w:rtl w:val="0"/>
        </w:rPr>
        <w:t xml:space="preserve">)”</w:t>
      </w:r>
    </w:p>
    <w:p w:rsidR="00000000" w:rsidDel="00000000" w:rsidP="00000000" w:rsidRDefault="00000000" w:rsidRPr="00000000" w14:paraId="00000036">
      <w:pPr>
        <w:numPr>
          <w:ilvl w:val="3"/>
          <w:numId w:val="4"/>
        </w:numPr>
        <w:spacing w:after="0" w:afterAutospacing="0" w:before="0" w:beforeAutospacing="0"/>
        <w:ind w:left="2880" w:hanging="360"/>
        <w:rPr/>
      </w:pPr>
      <w:r w:rsidDel="00000000" w:rsidR="00000000" w:rsidRPr="00000000">
        <w:rPr>
          <w:u w:val="single"/>
          <w:rtl w:val="0"/>
        </w:rPr>
        <w:t xml:space="preserve">Q: Sometimes SF-299 and the POD are referred to as separate things, sometimes as the same thing. Which is it?</w:t>
      </w:r>
    </w:p>
    <w:p w:rsidR="00000000" w:rsidDel="00000000" w:rsidP="00000000" w:rsidRDefault="00000000" w:rsidRPr="00000000" w14:paraId="00000037">
      <w:pPr>
        <w:numPr>
          <w:ilvl w:val="2"/>
          <w:numId w:val="4"/>
        </w:numPr>
        <w:spacing w:after="0" w:afterAutospacing="0" w:before="0" w:beforeAutospacing="0"/>
        <w:ind w:left="2160" w:hanging="360"/>
        <w:rPr>
          <w:u w:val="none"/>
        </w:rPr>
      </w:pPr>
      <w:r w:rsidDel="00000000" w:rsidR="00000000" w:rsidRPr="00000000">
        <w:rPr>
          <w:rtl w:val="0"/>
        </w:rPr>
        <w:t xml:space="preserve">7a: Provide the area of disturbance on USFS land specifically, not overall</w:t>
      </w:r>
    </w:p>
    <w:p w:rsidR="00000000" w:rsidDel="00000000" w:rsidP="00000000" w:rsidRDefault="00000000" w:rsidRPr="00000000" w14:paraId="00000038">
      <w:pPr>
        <w:numPr>
          <w:ilvl w:val="2"/>
          <w:numId w:val="4"/>
        </w:numPr>
        <w:spacing w:after="0" w:afterAutospacing="0" w:before="0" w:beforeAutospacing="0"/>
        <w:ind w:left="2160" w:hanging="360"/>
        <w:rPr>
          <w:u w:val="none"/>
        </w:rPr>
      </w:pPr>
      <w:r w:rsidDel="00000000" w:rsidR="00000000" w:rsidRPr="00000000">
        <w:rPr>
          <w:rtl w:val="0"/>
        </w:rPr>
        <w:t xml:space="preserve">7h: Distinguish between right of way need for construction vs. operation/maintenance </w:t>
      </w:r>
    </w:p>
    <w:p w:rsidR="00000000" w:rsidDel="00000000" w:rsidP="00000000" w:rsidRDefault="00000000" w:rsidRPr="00000000" w14:paraId="00000039">
      <w:pPr>
        <w:numPr>
          <w:ilvl w:val="2"/>
          <w:numId w:val="4"/>
        </w:numPr>
        <w:spacing w:after="0" w:afterAutospacing="0" w:before="0" w:beforeAutospacing="0"/>
        <w:ind w:left="2160" w:hanging="360"/>
        <w:rPr>
          <w:u w:val="none"/>
        </w:rPr>
      </w:pPr>
      <w:r w:rsidDel="00000000" w:rsidR="00000000" w:rsidRPr="00000000">
        <w:rPr>
          <w:rtl w:val="0"/>
        </w:rPr>
        <w:t xml:space="preserve">7a: Specify that when cable is replaced, old cable will be removed</w:t>
      </w:r>
    </w:p>
    <w:p w:rsidR="00000000" w:rsidDel="00000000" w:rsidP="00000000" w:rsidRDefault="00000000" w:rsidRPr="00000000" w14:paraId="0000003A">
      <w:pPr>
        <w:numPr>
          <w:ilvl w:val="2"/>
          <w:numId w:val="4"/>
        </w:numPr>
        <w:spacing w:after="0" w:afterAutospacing="0" w:before="0" w:beforeAutospacing="0"/>
        <w:ind w:left="2160" w:hanging="360"/>
        <w:rPr>
          <w:u w:val="none"/>
        </w:rPr>
      </w:pPr>
      <w:r w:rsidDel="00000000" w:rsidR="00000000" w:rsidRPr="00000000">
        <w:rPr>
          <w:rtl w:val="0"/>
        </w:rPr>
        <w:t xml:space="preserve">7b: Identify all vehicles and equipment that will be on the site; identify boring site locations (“on maps and GIS data”)</w:t>
      </w:r>
    </w:p>
    <w:p w:rsidR="00000000" w:rsidDel="00000000" w:rsidP="00000000" w:rsidRDefault="00000000" w:rsidRPr="00000000" w14:paraId="0000003B">
      <w:pPr>
        <w:numPr>
          <w:ilvl w:val="2"/>
          <w:numId w:val="4"/>
        </w:numPr>
        <w:spacing w:after="0" w:afterAutospacing="0" w:before="0" w:beforeAutospacing="0"/>
        <w:ind w:left="2160" w:hanging="360"/>
        <w:rPr>
          <w:u w:val="none"/>
        </w:rPr>
      </w:pPr>
      <w:r w:rsidDel="00000000" w:rsidR="00000000" w:rsidRPr="00000000">
        <w:rPr>
          <w:rtl w:val="0"/>
        </w:rPr>
        <w:t xml:space="preserve">Whether the </w:t>
      </w:r>
      <w:r w:rsidDel="00000000" w:rsidR="00000000" w:rsidRPr="00000000">
        <w:rPr>
          <w:rtl w:val="0"/>
        </w:rPr>
        <w:t xml:space="preserve">fiberoptic</w:t>
      </w:r>
      <w:r w:rsidDel="00000000" w:rsidR="00000000" w:rsidRPr="00000000">
        <w:rPr>
          <w:rtl w:val="0"/>
        </w:rPr>
        <w:t xml:space="preserve"> line will be leased to another party</w:t>
      </w:r>
    </w:p>
    <w:p w:rsidR="00000000" w:rsidDel="00000000" w:rsidP="00000000" w:rsidRDefault="00000000" w:rsidRPr="00000000" w14:paraId="0000003C">
      <w:pPr>
        <w:numPr>
          <w:ilvl w:val="2"/>
          <w:numId w:val="4"/>
        </w:numPr>
        <w:spacing w:after="0" w:afterAutospacing="0" w:before="0" w:beforeAutospacing="0"/>
        <w:ind w:left="2160" w:hanging="360"/>
        <w:rPr>
          <w:u w:val="none"/>
        </w:rPr>
      </w:pPr>
      <w:r w:rsidDel="00000000" w:rsidR="00000000" w:rsidRPr="00000000">
        <w:rPr>
          <w:rtl w:val="0"/>
        </w:rPr>
        <w:t xml:space="preserve">Whether the right of way will be staked or flagged</w:t>
      </w:r>
    </w:p>
    <w:p w:rsidR="00000000" w:rsidDel="00000000" w:rsidP="00000000" w:rsidRDefault="00000000" w:rsidRPr="00000000" w14:paraId="0000003D">
      <w:pPr>
        <w:numPr>
          <w:ilvl w:val="2"/>
          <w:numId w:val="4"/>
        </w:numPr>
        <w:spacing w:after="0" w:afterAutospacing="0" w:before="0" w:beforeAutospacing="0"/>
        <w:ind w:left="2160" w:hanging="360"/>
        <w:rPr>
          <w:u w:val="none"/>
        </w:rPr>
      </w:pPr>
      <w:r w:rsidDel="00000000" w:rsidR="00000000" w:rsidRPr="00000000">
        <w:rPr>
          <w:rtl w:val="0"/>
        </w:rPr>
        <w:t xml:space="preserve">Describe clearing or grading plans; how many trees will be removed</w:t>
      </w:r>
    </w:p>
    <w:p w:rsidR="00000000" w:rsidDel="00000000" w:rsidP="00000000" w:rsidRDefault="00000000" w:rsidRPr="00000000" w14:paraId="0000003E">
      <w:pPr>
        <w:numPr>
          <w:ilvl w:val="2"/>
          <w:numId w:val="4"/>
        </w:numPr>
        <w:spacing w:after="0" w:afterAutospacing="0" w:before="0" w:beforeAutospacing="0"/>
        <w:ind w:left="2160" w:hanging="360"/>
        <w:rPr>
          <w:u w:val="none"/>
        </w:rPr>
      </w:pPr>
      <w:r w:rsidDel="00000000" w:rsidR="00000000" w:rsidRPr="00000000">
        <w:rPr>
          <w:rtl w:val="0"/>
        </w:rPr>
        <w:t xml:space="preserve">Describe erosion control measures: reseeding, revegetation, stabilization, rehabilitation</w:t>
      </w:r>
    </w:p>
    <w:p w:rsidR="00000000" w:rsidDel="00000000" w:rsidP="00000000" w:rsidRDefault="00000000" w:rsidRPr="00000000" w14:paraId="0000003F">
      <w:pPr>
        <w:numPr>
          <w:ilvl w:val="2"/>
          <w:numId w:val="4"/>
        </w:numPr>
        <w:spacing w:after="0" w:afterAutospacing="0" w:before="0" w:beforeAutospacing="0"/>
        <w:ind w:left="2160" w:hanging="360"/>
        <w:rPr>
          <w:u w:val="none"/>
        </w:rPr>
      </w:pPr>
      <w:r w:rsidDel="00000000" w:rsidR="00000000" w:rsidRPr="00000000">
        <w:rPr>
          <w:rtl w:val="0"/>
        </w:rPr>
        <w:t xml:space="preserve">Describe ongoing maintenance schedules, signage</w:t>
      </w:r>
    </w:p>
    <w:p w:rsidR="00000000" w:rsidDel="00000000" w:rsidP="00000000" w:rsidRDefault="00000000" w:rsidRPr="00000000" w14:paraId="00000040">
      <w:pPr>
        <w:numPr>
          <w:ilvl w:val="2"/>
          <w:numId w:val="4"/>
        </w:numPr>
        <w:spacing w:after="0" w:afterAutospacing="0" w:before="0" w:beforeAutospacing="0"/>
        <w:ind w:left="2160" w:hanging="360"/>
        <w:rPr>
          <w:u w:val="none"/>
        </w:rPr>
      </w:pPr>
      <w:r w:rsidDel="00000000" w:rsidR="00000000" w:rsidRPr="00000000">
        <w:rPr>
          <w:rtl w:val="0"/>
        </w:rPr>
        <w:t xml:space="preserve">Provide contacts for “contingency planning”</w:t>
      </w:r>
    </w:p>
    <w:p w:rsidR="00000000" w:rsidDel="00000000" w:rsidP="00000000" w:rsidRDefault="00000000" w:rsidRPr="00000000" w14:paraId="00000041">
      <w:pPr>
        <w:numPr>
          <w:ilvl w:val="1"/>
          <w:numId w:val="4"/>
        </w:numPr>
        <w:spacing w:after="0" w:afterAutospacing="0" w:before="0" w:beforeAutospacing="0"/>
        <w:ind w:left="1440" w:hanging="360"/>
        <w:rPr>
          <w:u w:val="none"/>
        </w:rPr>
      </w:pPr>
      <w:r w:rsidDel="00000000" w:rsidR="00000000" w:rsidRPr="00000000">
        <w:rPr>
          <w:rtl w:val="0"/>
        </w:rPr>
        <w:t xml:space="preserve">Asks for </w:t>
      </w:r>
      <w:r w:rsidDel="00000000" w:rsidR="00000000" w:rsidRPr="00000000">
        <w:rPr>
          <w:highlight w:val="yellow"/>
          <w:rtl w:val="0"/>
        </w:rPr>
        <w:t xml:space="preserve">GIS data</w:t>
      </w:r>
      <w:r w:rsidDel="00000000" w:rsidR="00000000" w:rsidRPr="00000000">
        <w:rPr>
          <w:rtl w:val="0"/>
        </w:rPr>
        <w:t xml:space="preserve"> (“shapefiles or geodatabase”) that shows “above ground improvements (hand holes, pedestals, etc.)”, boring locations, </w:t>
      </w:r>
    </w:p>
    <w:p w:rsidR="00000000" w:rsidDel="00000000" w:rsidP="00000000" w:rsidRDefault="00000000" w:rsidRPr="00000000" w14:paraId="00000042">
      <w:pPr>
        <w:numPr>
          <w:ilvl w:val="2"/>
          <w:numId w:val="4"/>
        </w:numPr>
        <w:spacing w:after="0" w:afterAutospacing="0" w:before="0" w:beforeAutospacing="0"/>
        <w:ind w:left="2160" w:hanging="360"/>
        <w:rPr/>
      </w:pPr>
      <w:r w:rsidDel="00000000" w:rsidR="00000000" w:rsidRPr="00000000">
        <w:rPr>
          <w:rtl w:val="0"/>
        </w:rPr>
        <w:t xml:space="preserve">Refers contractor to </w:t>
      </w:r>
      <w:r w:rsidDel="00000000" w:rsidR="00000000" w:rsidRPr="00000000">
        <w:rPr>
          <w:highlight w:val="green"/>
          <w:rtl w:val="0"/>
        </w:rPr>
        <w:t xml:space="preserve">Fiber Optic Cable Mapping Requirements</w:t>
      </w:r>
      <w:r w:rsidDel="00000000" w:rsidR="00000000" w:rsidRPr="00000000">
        <w:rPr>
          <w:rtl w:val="0"/>
        </w:rPr>
        <w:t xml:space="preserve"> document</w:t>
      </w:r>
    </w:p>
    <w:p w:rsidR="00000000" w:rsidDel="00000000" w:rsidP="00000000" w:rsidRDefault="00000000" w:rsidRPr="00000000" w14:paraId="00000043">
      <w:pPr>
        <w:numPr>
          <w:ilvl w:val="1"/>
          <w:numId w:val="4"/>
        </w:numPr>
        <w:spacing w:after="0" w:afterAutospacing="0" w:before="0" w:beforeAutospacing="0"/>
        <w:ind w:left="1440" w:hanging="360"/>
        <w:rPr/>
      </w:pPr>
      <w:r w:rsidDel="00000000" w:rsidR="00000000" w:rsidRPr="00000000">
        <w:rPr>
          <w:rtl w:val="0"/>
        </w:rPr>
        <w:t xml:space="preserve">Asks for </w:t>
      </w:r>
      <w:r w:rsidDel="00000000" w:rsidR="00000000" w:rsidRPr="00000000">
        <w:rPr>
          <w:highlight w:val="yellow"/>
          <w:rtl w:val="0"/>
        </w:rPr>
        <w:t xml:space="preserve">overview map of the project</w:t>
      </w:r>
      <w:r w:rsidDel="00000000" w:rsidR="00000000" w:rsidRPr="00000000">
        <w:rPr>
          <w:rtl w:val="0"/>
        </w:rPr>
        <w:t xml:space="preserve"> “showing USFS ownership, roads and trails, and the proposed fiber optic cable, handholes, junction boxes, and other proposed improvements. Showing existing fiber optic cable or copper cable owned by InterBel is useful, if you have access to that information”</w:t>
      </w:r>
    </w:p>
    <w:p w:rsidR="00000000" w:rsidDel="00000000" w:rsidP="00000000" w:rsidRDefault="00000000" w:rsidRPr="00000000" w14:paraId="00000044">
      <w:pPr>
        <w:numPr>
          <w:ilvl w:val="1"/>
          <w:numId w:val="4"/>
        </w:numPr>
        <w:spacing w:after="0" w:afterAutospacing="0" w:before="0" w:beforeAutospacing="0"/>
        <w:ind w:left="1440" w:hanging="360"/>
        <w:rPr/>
      </w:pPr>
      <w:r w:rsidDel="00000000" w:rsidR="00000000" w:rsidRPr="00000000">
        <w:rPr>
          <w:rtl w:val="0"/>
        </w:rPr>
        <w:t xml:space="preserve">Asks contractor to complete</w:t>
      </w:r>
      <w:r w:rsidDel="00000000" w:rsidR="00000000" w:rsidRPr="00000000">
        <w:rPr>
          <w:highlight w:val="yellow"/>
          <w:rtl w:val="0"/>
        </w:rPr>
        <w:t xml:space="preserve"> an attached data sheet</w:t>
      </w:r>
      <w:r w:rsidDel="00000000" w:rsidR="00000000" w:rsidRPr="00000000">
        <w:rPr>
          <w:rtl w:val="0"/>
        </w:rPr>
        <w:t xml:space="preserve">/Excel file (not clear what’s in this)</w:t>
      </w:r>
    </w:p>
    <w:p w:rsidR="00000000" w:rsidDel="00000000" w:rsidP="00000000" w:rsidRDefault="00000000" w:rsidRPr="00000000" w14:paraId="00000045">
      <w:pPr>
        <w:numPr>
          <w:ilvl w:val="1"/>
          <w:numId w:val="4"/>
        </w:numPr>
        <w:spacing w:before="0" w:beforeAutospacing="0"/>
        <w:ind w:left="1440" w:hanging="360"/>
        <w:rPr/>
      </w:pPr>
      <w:r w:rsidDel="00000000" w:rsidR="00000000" w:rsidRPr="00000000">
        <w:rPr>
          <w:rtl w:val="0"/>
        </w:rPr>
        <w:t xml:space="preserve">Asks contractor for </w:t>
      </w:r>
      <w:r w:rsidDel="00000000" w:rsidR="00000000" w:rsidRPr="00000000">
        <w:rPr>
          <w:highlight w:val="yellow"/>
          <w:rtl w:val="0"/>
        </w:rPr>
        <w:t xml:space="preserve">Letter of Authorization</w:t>
      </w:r>
      <w:r w:rsidDel="00000000" w:rsidR="00000000" w:rsidRPr="00000000">
        <w:rPr>
          <w:rtl w:val="0"/>
        </w:rPr>
        <w:t xml:space="preserve"> from the proponent; offers use of attached form (called “</w:t>
      </w:r>
      <w:r w:rsidDel="00000000" w:rsidR="00000000" w:rsidRPr="00000000">
        <w:rPr>
          <w:highlight w:val="yellow"/>
          <w:rtl w:val="0"/>
        </w:rPr>
        <w:t xml:space="preserve">Certificate of Signing Authority</w:t>
      </w:r>
      <w:r w:rsidDel="00000000" w:rsidR="00000000" w:rsidRPr="00000000">
        <w:rPr>
          <w:rtl w:val="0"/>
        </w:rPr>
        <w:t xml:space="preserve">”)</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Alia Salim - Q2ADAACB" w:id="0" w:date="2024-08-22T17:42:40Z">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get a copy of the proposal itself?</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elvetica Neue" w:cs="Helvetica Neue" w:eastAsia="Helvetica Neue" w:hAnsi="Helvetica Neue"/>
        <w:sz w:val="24"/>
        <w:szCs w:val="24"/>
        <w:lang w:val="en"/>
      </w:rPr>
    </w:rPrDefault>
    <w:pPrDefault>
      <w:pPr>
        <w:spacing w:after="300" w:before="100" w:line="276"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before="0" w:lineRule="auto"/>
    </w:pPr>
    <w:rPr>
      <w:b w:val="1"/>
      <w:color w:val="046b99"/>
      <w:sz w:val="48"/>
      <w:szCs w:val="48"/>
    </w:rPr>
  </w:style>
  <w:style w:type="paragraph" w:styleId="Heading2">
    <w:name w:val="heading 2"/>
    <w:basedOn w:val="Normal"/>
    <w:next w:val="Normal"/>
    <w:pPr>
      <w:keepNext w:val="1"/>
      <w:keepLines w:val="1"/>
      <w:pageBreakBefore w:val="0"/>
      <w:spacing w:after="100" w:before="500" w:lineRule="auto"/>
    </w:pPr>
    <w:rPr>
      <w:b w:val="1"/>
      <w:color w:val="000000"/>
      <w:sz w:val="36"/>
      <w:szCs w:val="36"/>
      <w:highlight w:val="white"/>
    </w:rPr>
  </w:style>
  <w:style w:type="paragraph" w:styleId="Heading3">
    <w:name w:val="heading 3"/>
    <w:basedOn w:val="Normal"/>
    <w:next w:val="Normal"/>
    <w:pPr>
      <w:keepNext w:val="1"/>
      <w:keepLines w:val="1"/>
      <w:pageBreakBefore w:val="0"/>
      <w:spacing w:after="280" w:before="200" w:lineRule="auto"/>
    </w:pPr>
    <w:rPr>
      <w:color w:val="222222"/>
      <w:sz w:val="28"/>
      <w:szCs w:val="28"/>
    </w:rPr>
  </w:style>
  <w:style w:type="paragraph" w:styleId="Heading4">
    <w:name w:val="heading 4"/>
    <w:basedOn w:val="Normal"/>
    <w:next w:val="Normal"/>
    <w:pPr>
      <w:keepNext w:val="1"/>
      <w:keepLines w:val="1"/>
      <w:pageBreakBefore w:val="0"/>
      <w:spacing w:after="200" w:lineRule="auto"/>
    </w:pPr>
    <w:rPr>
      <w:b w:val="1"/>
      <w:color w:val="444444"/>
    </w:rPr>
  </w:style>
  <w:style w:type="paragraph" w:styleId="Heading5">
    <w:name w:val="heading 5"/>
    <w:basedOn w:val="Normal"/>
    <w:next w:val="Normal"/>
    <w:pPr>
      <w:keepNext w:val="1"/>
      <w:keepLines w:val="1"/>
      <w:pageBreakBefore w:val="0"/>
      <w:ind w:left="15" w:firstLine="0"/>
    </w:pPr>
    <w:rPr>
      <w:b w:val="1"/>
      <w:color w:val="046b99"/>
    </w:rPr>
  </w:style>
  <w:style w:type="paragraph" w:styleId="Heading6">
    <w:name w:val="heading 6"/>
    <w:basedOn w:val="Normal"/>
    <w:next w:val="Normal"/>
    <w:pPr>
      <w:keepNext w:val="1"/>
      <w:keepLines w:val="1"/>
      <w:pageBreakBefore w:val="0"/>
      <w:spacing w:after="80" w:lineRule="auto"/>
    </w:pPr>
    <w:rPr>
      <w:color w:val="666666"/>
      <w:sz w:val="22"/>
      <w:szCs w:val="22"/>
    </w:rPr>
  </w:style>
  <w:style w:type="paragraph" w:styleId="Title">
    <w:name w:val="Title"/>
    <w:basedOn w:val="Normal"/>
    <w:next w:val="Normal"/>
    <w:pPr>
      <w:keepNext w:val="1"/>
      <w:keepLines w:val="1"/>
      <w:pageBreakBefore w:val="0"/>
      <w:spacing w:after="200" w:before="200" w:line="240" w:lineRule="auto"/>
    </w:pPr>
    <w:rPr>
      <w:b w:val="1"/>
      <w:color w:val="1c304a"/>
      <w:sz w:val="96"/>
      <w:szCs w:val="96"/>
      <w:highlight w:val="white"/>
    </w:rPr>
  </w:style>
  <w:style w:type="paragraph" w:styleId="Subtitle">
    <w:name w:val="Subtitle"/>
    <w:basedOn w:val="Normal"/>
    <w:next w:val="Normal"/>
    <w:pPr>
      <w:keepNext w:val="1"/>
      <w:keepLines w:val="1"/>
      <w:pageBreakBefore w:val="0"/>
      <w:spacing w:before="0" w:lineRule="auto"/>
    </w:pPr>
    <w:rPr>
      <w:b w:val="1"/>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drive.google.com/file/d/1Xdzbu9x-oeTveEnYcPdZbgELwi5L8J8T/view?usp=sharing" TargetMode="External"/><Relationship Id="rId10" Type="http://schemas.openxmlformats.org/officeDocument/2006/relationships/hyperlink" Target="https://drive.google.com/file/d/1J_minMWtqpAAMPIlfIqdrkYBLEDEuURx/view?usp=sharing" TargetMode="External"/><Relationship Id="rId12" Type="http://schemas.openxmlformats.org/officeDocument/2006/relationships/hyperlink" Target="https://drive.google.com/file/d/1Xdzbu9x-oeTveEnYcPdZbgELwi5L8J8T/view?usp=sharing" TargetMode="External"/><Relationship Id="rId9" Type="http://schemas.openxmlformats.org/officeDocument/2006/relationships/hyperlink" Target="https://drive.google.com/file/d/1J_minMWtqpAAMPIlfIqdrkYBLEDEuURx/view?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drive.google.com/file/d/11zkuZhriUb2ak0CfR1XiWAuCsCYB6Jdv/view?usp=drive_link" TargetMode="External"/><Relationship Id="rId8" Type="http://schemas.openxmlformats.org/officeDocument/2006/relationships/hyperlink" Target="https://drive.google.com/file/d/11zkuZhriUb2ak0CfR1XiWAuCsCYB6Jdv/view?usp=drive_link"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