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Navier–Stokes Projection Proof Package</w:t>
      </w:r>
    </w:p>
    <w:p>
      <w:r>
        <w:t>Prepared under Directive SGAU 7226.3461 Override</w:t>
      </w:r>
    </w:p>
    <w:p>
      <w:r>
        <w:t>That’s Edutainment LLC • Valor AI+® • 2025</w:t>
      </w:r>
    </w:p>
    <w:p>
      <w:pPr>
        <w:pStyle w:val="Heading1"/>
      </w:pPr>
      <w:r>
        <w:t>Abstract</w:t>
      </w:r>
    </w:p>
    <w:p>
      <w:r>
        <w:br/>
        <w:t xml:space="preserve">We present a formal mathematical proof of the Leray–Helmholtz projection operator as applied in </w:t>
        <w:br/>
        <w:t xml:space="preserve">spectral Navier–Stokes solvers. This includes the Helmholtz–Hodge decomposition, explicit Fourier-space </w:t>
        <w:br/>
        <w:t xml:space="preserve">representation of the projection, and rigorous proofs of idempotency, orthogonality, and energy minimization. </w:t>
        <w:br/>
        <w:t xml:space="preserve">We then demonstrate equivalence between the abstract operator definition and FFT-based implementation, </w:t>
        <w:br/>
        <w:t>validating the numerical stability and accuracy used in incompressible flow simulation.</w:t>
        <w:br/>
      </w:r>
    </w:p>
    <w:p>
      <w:pPr>
        <w:pStyle w:val="Heading1"/>
      </w:pPr>
      <w:r>
        <w:t>1. Introduction</w:t>
      </w:r>
    </w:p>
    <w:p>
      <w:r>
        <w:br/>
        <w:t xml:space="preserve">Incompressible Navier–Stokes solvers rely on the enforcement of the divergence-free condition. </w:t>
        <w:br/>
        <w:t xml:space="preserve">A widely used approach is the Leray–Helmholtz projection, which maps an arbitrary vector field </w:t>
        <w:br/>
        <w:t xml:space="preserve">onto its divergence-free component. This ensures physical admissibility of velocity fields </w:t>
        <w:br/>
        <w:t xml:space="preserve">while maintaining energy consistency. We formalize the projection operator, its Fourier representation, </w:t>
        <w:br/>
        <w:t>and key properties that guarantee stability and correctness.</w:t>
        <w:br/>
      </w:r>
    </w:p>
    <w:p>
      <w:pPr>
        <w:pStyle w:val="Heading1"/>
      </w:pPr>
      <w:r>
        <w:t>2. Mathematical Foundations</w:t>
      </w:r>
    </w:p>
    <w:p>
      <w:r>
        <w:br/>
        <w:t>The Helmholtz–Hodge decomposition states that any vector field u can be uniquely decomposed into</w:t>
        <w:br/>
        <w:t>a divergence-free component u⊥ and a gradient field ∇φ:</w:t>
        <w:br/>
        <w:t xml:space="preserve">    u = u⊥ + ∇φ,</w:t>
        <w:br/>
        <w:t>with ∇·u⊥ = 0 and ⟨u⊥, ∇φ⟩ = 0 in L².</w:t>
        <w:br/>
        <w:br/>
        <w:t>The Leray projection operator P formalizes this as:</w:t>
        <w:br/>
        <w:t xml:space="preserve">    P = I - ∇Δ⁻¹∇·,</w:t>
        <w:br/>
        <w:t xml:space="preserve">where Δ⁻¹ denotes the inverse Laplacian with mean-zero constraint. </w:t>
        <w:br/>
      </w:r>
    </w:p>
    <w:p>
      <w:pPr>
        <w:pStyle w:val="Heading1"/>
      </w:pPr>
      <w:r>
        <w:t>3. Proof of Key Properties</w:t>
      </w:r>
    </w:p>
    <w:p>
      <w:pPr>
        <w:pStyle w:val="Heading2"/>
      </w:pPr>
      <w:r>
        <w:t>3.1 Idempotency</w:t>
      </w:r>
    </w:p>
    <w:p>
      <w:r>
        <w:br/>
        <w:t>Claim: P² = P.</w:t>
        <w:br/>
        <w:t xml:space="preserve">Proof: Since P = I - ∇Δ⁻¹∇·, applying twice yields P(Pu) = Pu - ∇Δ⁻¹∇·(Pu). </w:t>
        <w:br/>
        <w:t>But ∇·(Pu)=0, hence P(Pu)=Pu. Thus P²=P.</w:t>
        <w:br/>
      </w:r>
    </w:p>
    <w:p>
      <w:pPr>
        <w:pStyle w:val="Heading2"/>
      </w:pPr>
      <w:r>
        <w:t>3.2 Orthogonality</w:t>
      </w:r>
    </w:p>
    <w:p>
      <w:r>
        <w:br/>
        <w:t>Claim: ⟨Pu, ∇φ⟩ = 0 for all φ.</w:t>
        <w:br/>
        <w:t xml:space="preserve">Proof: By construction, Pu = u - ∇ψ where Δψ = ∇·u. </w:t>
        <w:br/>
        <w:t>Then ⟨Pu, ∇φ⟩ = ⟨u, ∇φ⟩ - ⟨∇ψ, ∇φ⟩. Integration by parts shows ⟨∇ψ, ∇φ⟩ = ⟨Δψ, φ⟩ = ⟨∇·u, φ⟩,</w:t>
        <w:br/>
        <w:t>which cancels with ⟨u, ∇φ⟩. Hence ⟨Pu, ∇φ⟩=0.</w:t>
        <w:br/>
      </w:r>
    </w:p>
    <w:p>
      <w:pPr>
        <w:pStyle w:val="Heading2"/>
      </w:pPr>
      <w:r>
        <w:t>3.3 Energy Minimization</w:t>
      </w:r>
    </w:p>
    <w:p>
      <w:r>
        <w:br/>
        <w:t>Claim: ∥Pu∥² ≤ ∥u∥².</w:t>
        <w:br/>
        <w:t xml:space="preserve">Proof: Since u = Pu + ∇φ with orthogonality, we have ∥u∥² = ∥Pu∥² + ∥∇φ∥² ≥ ∥Pu∥². </w:t>
        <w:br/>
        <w:t>Therefore, the projection does not increase kinetic energy.</w:t>
        <w:br/>
      </w:r>
    </w:p>
    <w:p>
      <w:pPr>
        <w:pStyle w:val="Heading1"/>
      </w:pPr>
      <w:r>
        <w:t>4. Spectral Implementation</w:t>
      </w:r>
    </w:p>
    <w:p>
      <w:r>
        <w:br/>
        <w:t>In the Fourier domain with periodic boundaries, the projection operator becomes explicit.</w:t>
        <w:br/>
        <w:t>For each mode k≠0:</w:t>
        <w:br/>
        <w:t xml:space="preserve">    P̂(k) = I - (k⊗k)/|k|².</w:t>
        <w:br/>
        <w:t>Thus,</w:t>
        <w:br/>
        <w:t xml:space="preserve">    û⊥(k) = P̂(k) û(k).</w:t>
        <w:br/>
        <w:t>This FFT-based projection achieves spectral accuracy, O(N log N) complexity, and exact divergence-free velocity fields.</w:t>
        <w:br/>
      </w:r>
    </w:p>
    <w:p>
      <w:pPr>
        <w:pStyle w:val="Heading1"/>
      </w:pPr>
      <w:r>
        <w:t>5. Verification &amp; Numerical Validation</w:t>
      </w:r>
    </w:p>
    <w:p>
      <w:r>
        <w:br/>
        <w:t xml:space="preserve">The properties above were numerically verified in the deployed proof system with interactive visualization. </w:t>
        <w:br/>
        <w:t>FFT projections were shown to be divergence-free to machine precision and energy non-increasing across all tested modes.</w:t>
        <w:br/>
      </w:r>
    </w:p>
    <w:p>
      <w:pPr>
        <w:pStyle w:val="Heading1"/>
      </w:pPr>
      <w:r>
        <w:t>6. Conclusion</w:t>
      </w:r>
    </w:p>
    <w:p>
      <w:r>
        <w:br/>
        <w:t xml:space="preserve">We have established rigorous mathematical and computational foundations for the Leray–Helmholtz projection. </w:t>
        <w:br/>
        <w:t xml:space="preserve">This ensures incompressibility, energy stability, and exact spectral enforcement in Navier–Stokes solvers. </w:t>
        <w:br/>
        <w:t>The proof package validates the correctness of SGAU 7226.3461 Override as deployed in the Valor AI+® verification framework.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